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CA1F8" w14:textId="4D5990E9" w:rsidR="00CA4513" w:rsidRDefault="00CA4513" w:rsidP="000E3D17">
      <w:pPr>
        <w:spacing w:line="276" w:lineRule="auto"/>
        <w:jc w:val="both"/>
        <w:rPr>
          <w:rFonts w:ascii="Arial Narrow" w:hAnsi="Arial Narrow"/>
          <w:b/>
          <w:bCs/>
        </w:rPr>
      </w:pPr>
      <w:r w:rsidRPr="00CA4513">
        <w:rPr>
          <w:rFonts w:ascii="Arial Narrow" w:hAnsi="Arial Narrow"/>
          <w:b/>
          <w:bCs/>
        </w:rPr>
        <w:t xml:space="preserve">Del aula a la cuenca: docencia, </w:t>
      </w:r>
      <w:r>
        <w:rPr>
          <w:rFonts w:ascii="Arial Narrow" w:hAnsi="Arial Narrow"/>
          <w:b/>
          <w:bCs/>
        </w:rPr>
        <w:t xml:space="preserve">ciencia de </w:t>
      </w:r>
      <w:r w:rsidRPr="00CA4513">
        <w:rPr>
          <w:rFonts w:ascii="Arial Narrow" w:hAnsi="Arial Narrow"/>
          <w:b/>
          <w:bCs/>
        </w:rPr>
        <w:t>datos y diálogo para la gestión</w:t>
      </w:r>
      <w:r>
        <w:rPr>
          <w:rFonts w:ascii="Arial Narrow" w:hAnsi="Arial Narrow"/>
          <w:b/>
          <w:bCs/>
        </w:rPr>
        <w:t xml:space="preserve"> integral</w:t>
      </w:r>
      <w:r w:rsidRPr="00CA4513">
        <w:rPr>
          <w:rFonts w:ascii="Arial Narrow" w:hAnsi="Arial Narrow"/>
          <w:b/>
          <w:bCs/>
        </w:rPr>
        <w:t xml:space="preserve"> </w:t>
      </w:r>
      <w:r>
        <w:rPr>
          <w:rFonts w:ascii="Arial Narrow" w:hAnsi="Arial Narrow"/>
          <w:b/>
          <w:bCs/>
        </w:rPr>
        <w:t xml:space="preserve">del recurso </w:t>
      </w:r>
      <w:r w:rsidRPr="00CA4513">
        <w:rPr>
          <w:rFonts w:ascii="Arial Narrow" w:hAnsi="Arial Narrow"/>
          <w:b/>
          <w:bCs/>
        </w:rPr>
        <w:t>hídric</w:t>
      </w:r>
      <w:r>
        <w:rPr>
          <w:rFonts w:ascii="Arial Narrow" w:hAnsi="Arial Narrow"/>
          <w:b/>
          <w:bCs/>
        </w:rPr>
        <w:t>o</w:t>
      </w:r>
      <w:r w:rsidRPr="00CA4513">
        <w:rPr>
          <w:rFonts w:ascii="Arial Narrow" w:hAnsi="Arial Narrow"/>
          <w:b/>
          <w:bCs/>
        </w:rPr>
        <w:t xml:space="preserve"> en el DICA-UNAL</w:t>
      </w:r>
    </w:p>
    <w:p w14:paraId="1A5085B5" w14:textId="3F296F6F" w:rsidR="000E3D17" w:rsidRPr="005B4514" w:rsidRDefault="000E3D17" w:rsidP="000E3D17">
      <w:pPr>
        <w:spacing w:line="276" w:lineRule="auto"/>
        <w:jc w:val="both"/>
        <w:rPr>
          <w:rFonts w:ascii="Arial Narrow" w:hAnsi="Arial Narrow"/>
          <w:b/>
          <w:bCs/>
        </w:rPr>
      </w:pPr>
      <w:r w:rsidRPr="005B4514">
        <w:rPr>
          <w:rFonts w:ascii="Arial Narrow" w:hAnsi="Arial Narrow"/>
          <w:b/>
          <w:bCs/>
        </w:rPr>
        <w:t>Resumen</w:t>
      </w:r>
    </w:p>
    <w:p w14:paraId="61427C54" w14:textId="3A70D5CF" w:rsidR="009C1D75" w:rsidRPr="005B4514" w:rsidRDefault="009C1D75" w:rsidP="000E3D17">
      <w:pPr>
        <w:spacing w:line="276" w:lineRule="auto"/>
        <w:jc w:val="both"/>
        <w:rPr>
          <w:rFonts w:ascii="Arial Narrow" w:hAnsi="Arial Narrow"/>
        </w:rPr>
      </w:pPr>
      <w:r w:rsidRPr="005B4514">
        <w:rPr>
          <w:rFonts w:ascii="Arial Narrow" w:hAnsi="Arial Narrow"/>
        </w:rPr>
        <w:t>La presente propuesta académica plantea una actuación integrada en docencia, investigación y extensión orientada al análisis y planeamiento del recurso hídrico en el Departamento de Ingeniería Civil y Agrícola de la Universidad Nacional de Colombia</w:t>
      </w:r>
      <w:r w:rsidR="005B4514" w:rsidRPr="005B4514">
        <w:rPr>
          <w:rFonts w:ascii="Arial Narrow" w:hAnsi="Arial Narrow"/>
        </w:rPr>
        <w:t xml:space="preserve"> (DICA-UNAL)</w:t>
      </w:r>
      <w:r w:rsidRPr="005B4514">
        <w:rPr>
          <w:rFonts w:ascii="Arial Narrow" w:hAnsi="Arial Narrow"/>
        </w:rPr>
        <w:t>, Sede Bogotá. El enfoque se fundamenta en la Gestión Integral del Recurso Hídrico</w:t>
      </w:r>
      <w:r w:rsidR="001F441E">
        <w:rPr>
          <w:rFonts w:ascii="Arial Narrow" w:hAnsi="Arial Narrow"/>
        </w:rPr>
        <w:t xml:space="preserve"> (GIRH)</w:t>
      </w:r>
      <w:r w:rsidRPr="005B4514">
        <w:rPr>
          <w:rFonts w:ascii="Arial Narrow" w:hAnsi="Arial Narrow"/>
        </w:rPr>
        <w:t xml:space="preserve"> como marco transversal para la formación, la generación de conocimiento aplicado y la articulación con el territorio, incorporando metodologías pedagógicas activas</w:t>
      </w:r>
      <w:r w:rsidR="00065EEA">
        <w:rPr>
          <w:rFonts w:ascii="Arial Narrow" w:hAnsi="Arial Narrow"/>
        </w:rPr>
        <w:t xml:space="preserve"> </w:t>
      </w:r>
      <w:r w:rsidR="00065EEA" w:rsidRPr="00065EEA">
        <w:rPr>
          <w:rFonts w:ascii="Arial Narrow" w:hAnsi="Arial Narrow"/>
        </w:rPr>
        <w:t>y herramientas analíticas basadas en datos para la toma de decisiones técnicas</w:t>
      </w:r>
      <w:r w:rsidRPr="005B4514">
        <w:rPr>
          <w:rFonts w:ascii="Arial Narrow" w:hAnsi="Arial Narrow"/>
        </w:rPr>
        <w:t xml:space="preserve">. La propuesta se </w:t>
      </w:r>
      <w:r w:rsidR="00967359">
        <w:rPr>
          <w:rFonts w:ascii="Arial Narrow" w:hAnsi="Arial Narrow"/>
        </w:rPr>
        <w:t>integra</w:t>
      </w:r>
      <w:r w:rsidRPr="005B4514">
        <w:rPr>
          <w:rFonts w:ascii="Arial Narrow" w:hAnsi="Arial Narrow"/>
        </w:rPr>
        <w:t xml:space="preserve"> con las líneas del Grupo de Investigación en Ingeniería de Recursos Hídricos (GIREH) y con el proceso de armonización curricular de la Universidad Nacional, promoviendo coherencia entre formación, investigación y compromiso social frente a los desafíos hídricos del país.</w:t>
      </w:r>
    </w:p>
    <w:p w14:paraId="445F69CD" w14:textId="63B69C28" w:rsidR="009C1D75" w:rsidRPr="005B4514" w:rsidRDefault="000E3D17" w:rsidP="000E3D17">
      <w:pPr>
        <w:spacing w:line="276" w:lineRule="auto"/>
        <w:jc w:val="both"/>
        <w:rPr>
          <w:rFonts w:ascii="Arial Narrow" w:hAnsi="Arial Narrow"/>
        </w:rPr>
      </w:pPr>
      <w:r w:rsidRPr="005B4514">
        <w:rPr>
          <w:rFonts w:ascii="Arial Narrow" w:hAnsi="Arial Narrow"/>
          <w:b/>
          <w:bCs/>
        </w:rPr>
        <w:t>Palabras clave:</w:t>
      </w:r>
      <w:r w:rsidRPr="005B4514">
        <w:rPr>
          <w:rFonts w:ascii="Arial Narrow" w:hAnsi="Arial Narrow"/>
        </w:rPr>
        <w:t xml:space="preserve"> </w:t>
      </w:r>
      <w:r w:rsidR="009C1D75" w:rsidRPr="005B4514">
        <w:rPr>
          <w:rFonts w:ascii="Arial Narrow" w:hAnsi="Arial Narrow"/>
        </w:rPr>
        <w:t xml:space="preserve">planeamiento hídrico; </w:t>
      </w:r>
      <w:r w:rsidR="001F441E">
        <w:rPr>
          <w:rFonts w:ascii="Arial Narrow" w:hAnsi="Arial Narrow"/>
        </w:rPr>
        <w:t xml:space="preserve">GIRH, </w:t>
      </w:r>
      <w:r w:rsidR="009C1D75" w:rsidRPr="005B4514">
        <w:rPr>
          <w:rFonts w:ascii="Arial Narrow" w:hAnsi="Arial Narrow"/>
        </w:rPr>
        <w:t>modelación hidrológica; armonización curricular; extensión universitaria; cambio climático; cuencas hidrográficas; GIREH.</w:t>
      </w:r>
    </w:p>
    <w:p w14:paraId="743D8A5F" w14:textId="365A619C" w:rsidR="000E3D17" w:rsidRPr="005B4514" w:rsidRDefault="000E3D17" w:rsidP="000E3D17">
      <w:pPr>
        <w:spacing w:line="276" w:lineRule="auto"/>
        <w:jc w:val="both"/>
        <w:rPr>
          <w:rFonts w:ascii="Arial Narrow" w:hAnsi="Arial Narrow"/>
          <w:b/>
          <w:bCs/>
        </w:rPr>
      </w:pPr>
      <w:r w:rsidRPr="005B4514">
        <w:rPr>
          <w:rFonts w:ascii="Arial Narrow" w:hAnsi="Arial Narrow"/>
          <w:b/>
          <w:bCs/>
        </w:rPr>
        <w:t>a) Justificación</w:t>
      </w:r>
    </w:p>
    <w:p w14:paraId="67BB416C" w14:textId="233D1973" w:rsidR="0034051B" w:rsidRDefault="0034051B" w:rsidP="00E14E10">
      <w:pPr>
        <w:spacing w:line="276" w:lineRule="auto"/>
        <w:ind w:firstLine="708"/>
        <w:jc w:val="both"/>
        <w:rPr>
          <w:rFonts w:ascii="Arial Narrow" w:hAnsi="Arial Narrow"/>
        </w:rPr>
      </w:pPr>
      <w:r w:rsidRPr="0034051B">
        <w:rPr>
          <w:rFonts w:ascii="Arial Narrow" w:hAnsi="Arial Narrow"/>
        </w:rPr>
        <w:t>El análisis y planeamiento del recurso hídrico constituyen uno de los principales desafíos técnicos, ambientales y sociales para Colombia, particularmente bajo escenarios de cambio climático, crecimiento urbano, expansión de la frontera agropecuaria, presión sobre ecosistemas estratégicos y brechas persistentes en saneamiento y acceso equitativo al agua</w:t>
      </w:r>
      <w:r w:rsidR="00065EEA">
        <w:rPr>
          <w:rFonts w:ascii="Arial Narrow" w:hAnsi="Arial Narrow"/>
        </w:rPr>
        <w:t xml:space="preserve"> (</w:t>
      </w:r>
      <w:r w:rsidR="00065EEA" w:rsidRPr="0034051B">
        <w:rPr>
          <w:rFonts w:ascii="Arial Narrow" w:hAnsi="Arial Narrow"/>
        </w:rPr>
        <w:t>CEPAL, 2023; UNESCO, 2023</w:t>
      </w:r>
      <w:r w:rsidR="00065EEA">
        <w:rPr>
          <w:rFonts w:ascii="Arial Narrow" w:hAnsi="Arial Narrow"/>
        </w:rPr>
        <w:t>)</w:t>
      </w:r>
      <w:r w:rsidRPr="0034051B">
        <w:rPr>
          <w:rFonts w:ascii="Arial Narrow" w:hAnsi="Arial Narrow"/>
        </w:rPr>
        <w:t>. A pesar de la reconocida riqueza hídrica del país, la degradación de cuencas, la contaminación de fuentes superficiales y subterráneas, y una gestión históricamente fragmentada del recurso hídrico limitan la sostenibilidad de estos sistemas y aumentan la vulnerabilidad de poblaciones y actividades productivas (UN-Water, 2023; IDEAM, 2023).</w:t>
      </w:r>
    </w:p>
    <w:p w14:paraId="2792EAF4" w14:textId="01F9D05D" w:rsidR="000E3D17" w:rsidRPr="005B4514" w:rsidRDefault="000E3D17" w:rsidP="00E14E10">
      <w:pPr>
        <w:spacing w:line="276" w:lineRule="auto"/>
        <w:ind w:firstLine="708"/>
        <w:jc w:val="both"/>
        <w:rPr>
          <w:rFonts w:ascii="Arial Narrow" w:hAnsi="Arial Narrow"/>
        </w:rPr>
      </w:pPr>
      <w:r w:rsidRPr="005B4514">
        <w:rPr>
          <w:rFonts w:ascii="Arial Narrow" w:hAnsi="Arial Narrow"/>
        </w:rPr>
        <w:t xml:space="preserve">Según el </w:t>
      </w:r>
      <w:r w:rsidRPr="005B4514">
        <w:rPr>
          <w:rFonts w:ascii="Arial Narrow" w:hAnsi="Arial Narrow"/>
          <w:i/>
          <w:iCs/>
        </w:rPr>
        <w:t>Estudio Nacional del Agua 2022</w:t>
      </w:r>
      <w:r w:rsidRPr="005B4514">
        <w:rPr>
          <w:rFonts w:ascii="Arial Narrow" w:hAnsi="Arial Narrow"/>
        </w:rPr>
        <w:t>, el 65% de la población colombiana habita en cuencas con algún grado de estrés hídrico, mientras que el cambio climático proyecta reducciones en la disponibilidad de agua superficial del 10-20% para el periodo 2026-2050 en regiones críticas como el altiplano cundiboyacense y el Caribe seco (IDEAM, 2023). El Decreto 1076 de 2015 estableció la cuenca hidrográfica como unidad espacial de planificación, demandando profesionales capacitados en herramientas de modelación, ordenamiento y gobernanza del agua que aún son escasos en el mercado laboral colombiano.</w:t>
      </w:r>
      <w:r w:rsidR="00E75ECF" w:rsidRPr="005B4514">
        <w:rPr>
          <w:rFonts w:ascii="Arial Narrow" w:hAnsi="Arial Narrow"/>
        </w:rPr>
        <w:t xml:space="preserve"> </w:t>
      </w:r>
    </w:p>
    <w:p w14:paraId="78741DAD" w14:textId="77777777" w:rsidR="0034051B" w:rsidRDefault="0034051B" w:rsidP="00E14E10">
      <w:pPr>
        <w:spacing w:line="276" w:lineRule="auto"/>
        <w:ind w:firstLine="708"/>
        <w:jc w:val="both"/>
        <w:rPr>
          <w:rFonts w:ascii="Arial Narrow" w:hAnsi="Arial Narrow"/>
        </w:rPr>
      </w:pPr>
      <w:r w:rsidRPr="0034051B">
        <w:rPr>
          <w:rFonts w:ascii="Arial Narrow" w:hAnsi="Arial Narrow"/>
        </w:rPr>
        <w:t>En este contexto, la ingeniería civil y agrícola desempeñan un papel central en infraestructuras hídricas urbanas y rurales, mediante la evaluación y el diseño de sistemas de abastecimiento, saneamiento, riego y drenaje que contribuyen a garantizar la seguridad hídrica, la salud pública y la sostenibilidad productiva (RAS, Resolución 0330 de 2017). El fortalecimiento del área de desempeño asociada al análisis, planeamiento y optimización de la gestión integral del recurso hídrico resulta, por tanto, estratégico para responder a las demandas actuales del país desde una perspectiva técnica, territorial e interdisciplinar.</w:t>
      </w:r>
    </w:p>
    <w:p w14:paraId="227DF5F9" w14:textId="0819A477" w:rsidR="009C1D75" w:rsidRPr="005B4514" w:rsidRDefault="009C1D75" w:rsidP="00E14E10">
      <w:pPr>
        <w:spacing w:line="276" w:lineRule="auto"/>
        <w:ind w:firstLine="708"/>
        <w:jc w:val="both"/>
        <w:rPr>
          <w:rFonts w:ascii="Arial Narrow" w:hAnsi="Arial Narrow"/>
        </w:rPr>
      </w:pPr>
      <w:r w:rsidRPr="005B4514">
        <w:rPr>
          <w:rFonts w:ascii="Arial Narrow" w:hAnsi="Arial Narrow"/>
        </w:rPr>
        <w:t xml:space="preserve">Mi propuesta académica se fundamenta en una visión sistémica del agua como componente estructurante de los sistemas socioecológicos e ingenieriles, y se articula con las capacidades académicas del Departamento de Ingeniería Civil y Agrícola y del grupo GIREH, integrando hidrología, calidad del agua, saneamiento, manejo del suelo, infraestructura hidráulica y planeamiento territorial. Desde esta perspectiva, la docencia, la investigación y la extensión se conciben como funciones inseparables, orientadas a la generación de conocimiento pertinente, a la formación de profesionales </w:t>
      </w:r>
      <w:r w:rsidR="00045DA4">
        <w:rPr>
          <w:rFonts w:ascii="Arial Narrow" w:hAnsi="Arial Narrow"/>
        </w:rPr>
        <w:t>éticos</w:t>
      </w:r>
      <w:r w:rsidR="000B00D4">
        <w:rPr>
          <w:rFonts w:ascii="Arial Narrow" w:hAnsi="Arial Narrow"/>
        </w:rPr>
        <w:t xml:space="preserve"> y</w:t>
      </w:r>
      <w:r w:rsidR="00045DA4">
        <w:rPr>
          <w:rFonts w:ascii="Arial Narrow" w:hAnsi="Arial Narrow"/>
        </w:rPr>
        <w:t xml:space="preserve"> </w:t>
      </w:r>
      <w:r w:rsidRPr="005B4514">
        <w:rPr>
          <w:rFonts w:ascii="Arial Narrow" w:hAnsi="Arial Narrow"/>
        </w:rPr>
        <w:t>críticos</w:t>
      </w:r>
      <w:r w:rsidR="000B00D4">
        <w:rPr>
          <w:rFonts w:ascii="Arial Narrow" w:hAnsi="Arial Narrow"/>
        </w:rPr>
        <w:t xml:space="preserve">, </w:t>
      </w:r>
      <w:r w:rsidRPr="005B4514">
        <w:rPr>
          <w:rFonts w:ascii="Arial Narrow" w:hAnsi="Arial Narrow"/>
        </w:rPr>
        <w:t xml:space="preserve">y a la </w:t>
      </w:r>
      <w:r w:rsidRPr="005B4514">
        <w:rPr>
          <w:rFonts w:ascii="Arial Narrow" w:hAnsi="Arial Narrow"/>
        </w:rPr>
        <w:lastRenderedPageBreak/>
        <w:t>implementación de soluciones técnicas aplicadas a contextos reales de gestión hídrica (</w:t>
      </w:r>
      <w:r w:rsidR="00DC6D79" w:rsidRPr="005B4514">
        <w:rPr>
          <w:rFonts w:ascii="Arial Narrow" w:hAnsi="Arial Narrow"/>
        </w:rPr>
        <w:t xml:space="preserve">Universidad Nacional de Colombia, 2005; </w:t>
      </w:r>
      <w:r w:rsidRPr="005B4514">
        <w:rPr>
          <w:rFonts w:ascii="Arial Narrow" w:hAnsi="Arial Narrow"/>
        </w:rPr>
        <w:t>Folke et al., 2010; Capra &amp; Luisi, 2014).</w:t>
      </w:r>
    </w:p>
    <w:p w14:paraId="4F77150A" w14:textId="7EBC65E1" w:rsidR="00646196" w:rsidRPr="005B4514" w:rsidRDefault="00045DA4" w:rsidP="00C2495A">
      <w:pPr>
        <w:spacing w:line="276" w:lineRule="auto"/>
        <w:ind w:firstLine="708"/>
        <w:jc w:val="both"/>
        <w:rPr>
          <w:rFonts w:ascii="Arial Narrow" w:hAnsi="Arial Narrow"/>
        </w:rPr>
      </w:pPr>
      <w:r w:rsidRPr="00045DA4">
        <w:rPr>
          <w:rFonts w:ascii="Arial Narrow" w:hAnsi="Arial Narrow"/>
        </w:rPr>
        <w:t>Esta visión se articula de manera directa con los lineamientos institucionales de la Universidad Nacional de Colombia en materia de armonización curricular y con las líneas estratégicas del DICA en gestión integral del recurso hídrico, saneamiento ambiental y adaptación al cambio climático</w:t>
      </w:r>
      <w:r w:rsidR="000B00D4">
        <w:rPr>
          <w:rFonts w:ascii="Arial Narrow" w:hAnsi="Arial Narrow"/>
        </w:rPr>
        <w:t xml:space="preserve"> (</w:t>
      </w:r>
      <w:r w:rsidR="000B00D4" w:rsidRPr="00045DA4">
        <w:rPr>
          <w:rFonts w:ascii="Arial Narrow" w:hAnsi="Arial Narrow"/>
        </w:rPr>
        <w:t>Phillips et al., 2009</w:t>
      </w:r>
      <w:r w:rsidR="000B00D4">
        <w:rPr>
          <w:rFonts w:ascii="Arial Narrow" w:hAnsi="Arial Narrow"/>
        </w:rPr>
        <w:t xml:space="preserve">; </w:t>
      </w:r>
      <w:r w:rsidR="000B00D4" w:rsidRPr="00045DA4">
        <w:rPr>
          <w:rFonts w:ascii="Arial Narrow" w:hAnsi="Arial Narrow"/>
        </w:rPr>
        <w:t>IPCC, 2022</w:t>
      </w:r>
      <w:r w:rsidR="000B00D4">
        <w:rPr>
          <w:rFonts w:ascii="Arial Narrow" w:hAnsi="Arial Narrow"/>
        </w:rPr>
        <w:t>)</w:t>
      </w:r>
      <w:r w:rsidRPr="00045DA4">
        <w:rPr>
          <w:rFonts w:ascii="Arial Narrow" w:hAnsi="Arial Narrow"/>
        </w:rPr>
        <w:t>, fortaleciendo el perfil E2 de análisis y planificación hídrica</w:t>
      </w:r>
      <w:r w:rsidR="00065EEA">
        <w:rPr>
          <w:rFonts w:ascii="Arial Narrow" w:hAnsi="Arial Narrow"/>
        </w:rPr>
        <w:t xml:space="preserve"> (Figura 1)</w:t>
      </w:r>
      <w:r w:rsidRPr="00045DA4">
        <w:rPr>
          <w:rFonts w:ascii="Arial Narrow" w:hAnsi="Arial Narrow"/>
        </w:rPr>
        <w:t>. La propuesta se materializa mediante la integración de modelación hidrológica, herramientas analíticas avanzadas (SIG, sensores remotos, análisis de datos e inteligencia artificial), pedagogía activa y extensión participativa, orientadas a la toma de decisiones técnicas en ingeniería civil y agrícola y a la planificación integrada de infraestructuras y territorios (</w:t>
      </w:r>
      <w:r w:rsidR="000B00D4" w:rsidRPr="00045DA4">
        <w:rPr>
          <w:rFonts w:ascii="Arial Narrow" w:hAnsi="Arial Narrow"/>
        </w:rPr>
        <w:t>UNDRR, 2015</w:t>
      </w:r>
      <w:r w:rsidR="000B00D4">
        <w:rPr>
          <w:rFonts w:ascii="Arial Narrow" w:hAnsi="Arial Narrow"/>
        </w:rPr>
        <w:t xml:space="preserve">; </w:t>
      </w:r>
      <w:r w:rsidRPr="00045DA4">
        <w:rPr>
          <w:rFonts w:ascii="Arial Narrow" w:hAnsi="Arial Narrow"/>
        </w:rPr>
        <w:t>Decreto 1330 de 2019; Decreto 0529 de 2024).</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26"/>
        <w:gridCol w:w="2078"/>
      </w:tblGrid>
      <w:tr w:rsidR="00534787" w:rsidRPr="005B4514" w14:paraId="66A5CAFD" w14:textId="77777777" w:rsidTr="00534787">
        <w:tc>
          <w:tcPr>
            <w:tcW w:w="4247" w:type="dxa"/>
          </w:tcPr>
          <w:p w14:paraId="2399AD04" w14:textId="108EE4A5" w:rsidR="00534787" w:rsidRPr="005B4514" w:rsidRDefault="00534787" w:rsidP="000E3D17">
            <w:pPr>
              <w:spacing w:line="276" w:lineRule="auto"/>
              <w:jc w:val="both"/>
              <w:rPr>
                <w:rFonts w:ascii="Arial Narrow" w:hAnsi="Arial Narrow"/>
              </w:rPr>
            </w:pPr>
            <w:r w:rsidRPr="005B4514">
              <w:rPr>
                <w:rFonts w:ascii="Arial Narrow" w:hAnsi="Arial Narrow" w:cs="Times New Roman"/>
                <w:noProof/>
              </w:rPr>
              <w:drawing>
                <wp:inline distT="0" distB="0" distL="0" distR="0" wp14:anchorId="54E64E9B" wp14:editId="12707812">
                  <wp:extent cx="3941445" cy="2449187"/>
                  <wp:effectExtent l="0" t="0" r="1905" b="8890"/>
                  <wp:docPr id="1609763570" name="Imagen 6"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63570" name="Imagen 6" descr="Diagrama&#10;&#10;El contenido generado por IA puede ser incorrecto."/>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601" r="1564"/>
                          <a:stretch>
                            <a:fillRect/>
                          </a:stretch>
                        </pic:blipFill>
                        <pic:spPr bwMode="auto">
                          <a:xfrm>
                            <a:off x="0" y="0"/>
                            <a:ext cx="3953867" cy="24569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47" w:type="dxa"/>
          </w:tcPr>
          <w:p w14:paraId="5482CE60" w14:textId="77777777" w:rsidR="00534787" w:rsidRPr="005B4514" w:rsidRDefault="00534787" w:rsidP="00534787">
            <w:pPr>
              <w:spacing w:line="276" w:lineRule="auto"/>
              <w:jc w:val="both"/>
              <w:rPr>
                <w:rFonts w:ascii="Arial Narrow" w:hAnsi="Arial Narrow"/>
              </w:rPr>
            </w:pPr>
          </w:p>
          <w:p w14:paraId="3934139D" w14:textId="7D310A6B" w:rsidR="00534787" w:rsidRPr="005B4514" w:rsidRDefault="00534787" w:rsidP="00534787">
            <w:pPr>
              <w:spacing w:line="276" w:lineRule="auto"/>
              <w:rPr>
                <w:rFonts w:ascii="Arial Narrow" w:hAnsi="Arial Narrow" w:cs="Times New Roman"/>
              </w:rPr>
            </w:pPr>
            <w:r w:rsidRPr="005B4514">
              <w:rPr>
                <w:rFonts w:ascii="Arial Narrow" w:hAnsi="Arial Narrow" w:cs="Times New Roman"/>
                <w:b/>
                <w:bCs/>
              </w:rPr>
              <w:t>Figura 1</w:t>
            </w:r>
            <w:r w:rsidRPr="005B4514">
              <w:rPr>
                <w:rFonts w:ascii="Arial Narrow" w:hAnsi="Arial Narrow" w:cs="Times New Roman"/>
              </w:rPr>
              <w:t xml:space="preserve">. </w:t>
            </w:r>
            <w:r w:rsidR="000B00D4" w:rsidRPr="003B7BE9">
              <w:rPr>
                <w:rFonts w:ascii="Arial Narrow" w:hAnsi="Arial Narrow" w:cs="Times New Roman"/>
              </w:rPr>
              <w:t>Esquema conceptual de la gestión integral del recurso hídrico y su articulación multiescalar con docencia, investigación y extensión en el contexto de la ingeniería civil y agrícola</w:t>
            </w:r>
            <w:r w:rsidR="009D2E11">
              <w:rPr>
                <w:rFonts w:ascii="Arial Narrow" w:hAnsi="Arial Narrow" w:cs="Times New Roman"/>
              </w:rPr>
              <w:t>.</w:t>
            </w:r>
          </w:p>
          <w:p w14:paraId="598F39B5" w14:textId="77777777" w:rsidR="00534787" w:rsidRPr="005B4514" w:rsidRDefault="00534787" w:rsidP="000E3D17">
            <w:pPr>
              <w:spacing w:line="276" w:lineRule="auto"/>
              <w:jc w:val="both"/>
              <w:rPr>
                <w:rFonts w:ascii="Arial Narrow" w:hAnsi="Arial Narrow"/>
              </w:rPr>
            </w:pPr>
          </w:p>
        </w:tc>
      </w:tr>
    </w:tbl>
    <w:p w14:paraId="4A93CD4F" w14:textId="3877074F" w:rsidR="000E3D17" w:rsidRPr="005B4514" w:rsidRDefault="000E3D17" w:rsidP="000E3D17">
      <w:pPr>
        <w:spacing w:line="276" w:lineRule="auto"/>
        <w:jc w:val="both"/>
        <w:rPr>
          <w:rFonts w:ascii="Arial Narrow" w:hAnsi="Arial Narrow"/>
          <w:b/>
          <w:bCs/>
        </w:rPr>
      </w:pPr>
      <w:r w:rsidRPr="005B4514">
        <w:rPr>
          <w:rFonts w:ascii="Arial Narrow" w:hAnsi="Arial Narrow"/>
          <w:b/>
          <w:bCs/>
        </w:rPr>
        <w:t>b) Objetivos</w:t>
      </w:r>
    </w:p>
    <w:p w14:paraId="23381D67" w14:textId="790BAE89" w:rsidR="000E3D17" w:rsidRPr="005B4514" w:rsidRDefault="000E3D17" w:rsidP="000E3D17">
      <w:pPr>
        <w:spacing w:line="276" w:lineRule="auto"/>
        <w:jc w:val="both"/>
        <w:rPr>
          <w:rFonts w:ascii="Arial Narrow" w:hAnsi="Arial Narrow"/>
          <w:b/>
          <w:bCs/>
        </w:rPr>
      </w:pPr>
      <w:r w:rsidRPr="005B4514">
        <w:rPr>
          <w:rFonts w:ascii="Arial Narrow" w:hAnsi="Arial Narrow"/>
          <w:b/>
          <w:bCs/>
        </w:rPr>
        <w:t>Objetivo general</w:t>
      </w:r>
    </w:p>
    <w:p w14:paraId="674CC8BC" w14:textId="0FF71831" w:rsidR="0053334C" w:rsidRPr="005B4514" w:rsidRDefault="000E3D17" w:rsidP="009E3834">
      <w:pPr>
        <w:spacing w:line="276" w:lineRule="auto"/>
        <w:jc w:val="both"/>
        <w:rPr>
          <w:rFonts w:ascii="Arial Narrow" w:hAnsi="Arial Narrow"/>
          <w:b/>
          <w:bCs/>
        </w:rPr>
      </w:pPr>
      <w:r w:rsidRPr="005B4514">
        <w:rPr>
          <w:rFonts w:ascii="Arial Narrow" w:hAnsi="Arial Narrow"/>
        </w:rPr>
        <w:t>Proponer una actuación académica integrada en docencia, investigación y extensión, orientada al análisis, planeamiento, optimización y gestión integral del recurso hídrico, que contribuya a la formación de profesionales y a la generación de conocimiento aplicado en el ámbito de la ingeniería civil y agrícola, en coherencia con el proceso de armonización curricular de la Universidad Nacional de Colombia y las líneas estratégicas del GIREH.</w:t>
      </w:r>
    </w:p>
    <w:p w14:paraId="5AFF09F0" w14:textId="7266A820" w:rsidR="000E3D17" w:rsidRPr="005B4514" w:rsidRDefault="000E3D17" w:rsidP="000E3D17">
      <w:pPr>
        <w:spacing w:line="276" w:lineRule="auto"/>
        <w:jc w:val="both"/>
        <w:rPr>
          <w:rFonts w:ascii="Arial Narrow" w:hAnsi="Arial Narrow"/>
          <w:b/>
          <w:bCs/>
        </w:rPr>
      </w:pPr>
      <w:r w:rsidRPr="005B4514">
        <w:rPr>
          <w:rFonts w:ascii="Arial Narrow" w:hAnsi="Arial Narrow"/>
          <w:b/>
          <w:bCs/>
        </w:rPr>
        <w:t>Objetivos específicos</w:t>
      </w:r>
    </w:p>
    <w:p w14:paraId="052D1A74" w14:textId="77777777" w:rsidR="000E3D17" w:rsidRPr="005B4514" w:rsidRDefault="000E3D17" w:rsidP="000E3D17">
      <w:pPr>
        <w:numPr>
          <w:ilvl w:val="0"/>
          <w:numId w:val="1"/>
        </w:numPr>
        <w:spacing w:line="276" w:lineRule="auto"/>
        <w:jc w:val="both"/>
        <w:rPr>
          <w:rFonts w:ascii="Arial Narrow" w:hAnsi="Arial Narrow"/>
        </w:rPr>
      </w:pPr>
      <w:r w:rsidRPr="005B4514">
        <w:rPr>
          <w:rFonts w:ascii="Arial Narrow" w:hAnsi="Arial Narrow"/>
        </w:rPr>
        <w:t>Fortalecer la formación en gestión integral del recurso hídrico, saneamiento e infraestructura hidráulica mediante enfoques pedagógicos activos (CDIO-ABP) contextualizados a cuencas colombianas y alineados con los niveles macro, meso y microcurricular de la armonización curricular.</w:t>
      </w:r>
    </w:p>
    <w:p w14:paraId="2E5C7496" w14:textId="03A4BED0" w:rsidR="000E3D17" w:rsidRPr="005B4514" w:rsidRDefault="000E3D17" w:rsidP="000E3D17">
      <w:pPr>
        <w:numPr>
          <w:ilvl w:val="0"/>
          <w:numId w:val="1"/>
        </w:numPr>
        <w:spacing w:line="276" w:lineRule="auto"/>
        <w:jc w:val="both"/>
        <w:rPr>
          <w:rFonts w:ascii="Arial Narrow" w:hAnsi="Arial Narrow"/>
        </w:rPr>
      </w:pPr>
      <w:r w:rsidRPr="005B4514">
        <w:rPr>
          <w:rFonts w:ascii="Arial Narrow" w:hAnsi="Arial Narrow"/>
        </w:rPr>
        <w:t>Consolidar una agenda de investigación aplicada, articulada con el GIREH, orientada al análisis del uso y la calidad del agua, la modelación hidrológica de cuencas prioritarias, los procesos de contaminación difusa y la adaptación al cambio climático</w:t>
      </w:r>
      <w:r w:rsidR="00E14E10" w:rsidRPr="005B4514">
        <w:rPr>
          <w:rFonts w:ascii="Arial Narrow" w:hAnsi="Arial Narrow"/>
        </w:rPr>
        <w:t xml:space="preserve"> mediante el análisis de eventos extremos</w:t>
      </w:r>
      <w:r w:rsidRPr="005B4514">
        <w:rPr>
          <w:rFonts w:ascii="Arial Narrow" w:hAnsi="Arial Narrow"/>
        </w:rPr>
        <w:t xml:space="preserve"> en sistemas hídricos urbanos y rurales.</w:t>
      </w:r>
    </w:p>
    <w:p w14:paraId="2BF16AEC" w14:textId="7FBB11A4" w:rsidR="000E3D17" w:rsidRPr="005B4514" w:rsidRDefault="000E3D17" w:rsidP="000E3D17">
      <w:pPr>
        <w:numPr>
          <w:ilvl w:val="0"/>
          <w:numId w:val="1"/>
        </w:numPr>
        <w:spacing w:line="276" w:lineRule="auto"/>
        <w:jc w:val="both"/>
        <w:rPr>
          <w:rFonts w:ascii="Arial Narrow" w:hAnsi="Arial Narrow"/>
        </w:rPr>
      </w:pPr>
      <w:r w:rsidRPr="005B4514">
        <w:rPr>
          <w:rFonts w:ascii="Arial Narrow" w:hAnsi="Arial Narrow"/>
        </w:rPr>
        <w:t>Integrar herramientas técnicas y analíticas avanzadas (SIG, teledetección, modelación SWAT/WEAP, inteligencia artificial) para el estudio, optimización y toma de decisiones en sistemas hídricos</w:t>
      </w:r>
      <w:r w:rsidR="000B00D4">
        <w:rPr>
          <w:rFonts w:ascii="Arial Narrow" w:hAnsi="Arial Narrow"/>
        </w:rPr>
        <w:t>.</w:t>
      </w:r>
    </w:p>
    <w:p w14:paraId="7171BE2E" w14:textId="36E29903" w:rsidR="000E3D17" w:rsidRPr="005B4514" w:rsidRDefault="000E3D17" w:rsidP="000E3D17">
      <w:pPr>
        <w:numPr>
          <w:ilvl w:val="0"/>
          <w:numId w:val="1"/>
        </w:numPr>
        <w:spacing w:line="276" w:lineRule="auto"/>
        <w:jc w:val="both"/>
        <w:rPr>
          <w:rFonts w:ascii="Arial Narrow" w:hAnsi="Arial Narrow"/>
        </w:rPr>
      </w:pPr>
      <w:r w:rsidRPr="005B4514">
        <w:rPr>
          <w:rFonts w:ascii="Arial Narrow" w:hAnsi="Arial Narrow"/>
        </w:rPr>
        <w:lastRenderedPageBreak/>
        <w:t>Promover procesos de extensión universitaria basados en acompañamiento participativo (Escuelas de Campo, mesas técnicas, monitoreo comunitario) orientados al fortalecimiento de la gobernanza hídrica local en cuencas prioritarias de Colombia (páramos, La Mojana, Caribe seco).</w:t>
      </w:r>
    </w:p>
    <w:p w14:paraId="3399E8F7" w14:textId="04BC4933" w:rsidR="000E3D17" w:rsidRPr="005B4514" w:rsidRDefault="000E3D17" w:rsidP="000E3D17">
      <w:pPr>
        <w:spacing w:line="276" w:lineRule="auto"/>
        <w:jc w:val="both"/>
        <w:rPr>
          <w:rFonts w:ascii="Arial Narrow" w:hAnsi="Arial Narrow"/>
          <w:b/>
          <w:bCs/>
        </w:rPr>
      </w:pPr>
      <w:r w:rsidRPr="005B4514">
        <w:rPr>
          <w:rFonts w:ascii="Arial Narrow" w:hAnsi="Arial Narrow"/>
          <w:b/>
          <w:bCs/>
        </w:rPr>
        <w:t>c) Propuesta en el componente de docencia</w:t>
      </w:r>
    </w:p>
    <w:p w14:paraId="328B281E" w14:textId="31EB99B8" w:rsidR="000E3D17" w:rsidRPr="005B4514" w:rsidRDefault="000E3D17" w:rsidP="00E14E10">
      <w:pPr>
        <w:spacing w:line="276" w:lineRule="auto"/>
        <w:ind w:firstLine="708"/>
        <w:jc w:val="both"/>
        <w:rPr>
          <w:rFonts w:ascii="Arial Narrow" w:hAnsi="Arial Narrow"/>
        </w:rPr>
      </w:pPr>
      <w:r w:rsidRPr="005B4514">
        <w:rPr>
          <w:rFonts w:ascii="Arial Narrow" w:hAnsi="Arial Narrow"/>
        </w:rPr>
        <w:t xml:space="preserve">Concibo la docencia universitaria como un proceso orientado a la formación de profesionales capaces de analizar, diseñar y gestionar sistemas hídricos complejos desde una perspectiva técnica, crítica y territorial. En el marco de la ingeniería civil y agrícola, la formación para el análisis, </w:t>
      </w:r>
      <w:r w:rsidR="00F9339B" w:rsidRPr="005B4514">
        <w:rPr>
          <w:rFonts w:ascii="Arial Narrow" w:hAnsi="Arial Narrow"/>
        </w:rPr>
        <w:t>el planeamiento</w:t>
      </w:r>
      <w:r w:rsidRPr="005B4514">
        <w:rPr>
          <w:rFonts w:ascii="Arial Narrow" w:hAnsi="Arial Narrow"/>
        </w:rPr>
        <w:t xml:space="preserve"> y </w:t>
      </w:r>
      <w:r w:rsidR="00065EEA">
        <w:rPr>
          <w:rFonts w:ascii="Arial Narrow" w:hAnsi="Arial Narrow"/>
        </w:rPr>
        <w:t xml:space="preserve">la </w:t>
      </w:r>
      <w:r w:rsidR="00C56CF5">
        <w:rPr>
          <w:rFonts w:ascii="Arial Narrow" w:hAnsi="Arial Narrow"/>
        </w:rPr>
        <w:t xml:space="preserve">GIRH </w:t>
      </w:r>
      <w:r w:rsidRPr="005B4514">
        <w:rPr>
          <w:rFonts w:ascii="Arial Narrow" w:hAnsi="Arial Narrow"/>
        </w:rPr>
        <w:t xml:space="preserve">debe trascender la transmisión de conocimientos aislados y promover la comprensión integrada de los procesos hidrológicos, la calidad del agua, el saneamiento, la infraestructura hidráulica y la planificación del territorio (Conesa, </w:t>
      </w:r>
      <w:r w:rsidR="00A428AF" w:rsidRPr="005B4514">
        <w:rPr>
          <w:rFonts w:ascii="Arial Narrow" w:hAnsi="Arial Narrow"/>
        </w:rPr>
        <w:t>2011</w:t>
      </w:r>
      <w:r w:rsidRPr="005B4514">
        <w:rPr>
          <w:rFonts w:ascii="Arial Narrow" w:hAnsi="Arial Narrow"/>
        </w:rPr>
        <w:t xml:space="preserve">; </w:t>
      </w:r>
      <w:r w:rsidR="00A428AF" w:rsidRPr="005B4514">
        <w:rPr>
          <w:rFonts w:ascii="Arial Narrow" w:hAnsi="Arial Narrow"/>
        </w:rPr>
        <w:t>Valencia et al., 2024</w:t>
      </w:r>
      <w:r w:rsidRPr="005B4514">
        <w:rPr>
          <w:rFonts w:ascii="Arial Narrow" w:hAnsi="Arial Narrow"/>
        </w:rPr>
        <w:t>).</w:t>
      </w:r>
    </w:p>
    <w:p w14:paraId="12FC6259" w14:textId="77777777" w:rsidR="00066A9D" w:rsidRDefault="00066A9D" w:rsidP="0053334C">
      <w:pPr>
        <w:spacing w:line="276" w:lineRule="auto"/>
        <w:ind w:firstLine="360"/>
        <w:jc w:val="both"/>
        <w:rPr>
          <w:rFonts w:ascii="Arial Narrow" w:hAnsi="Arial Narrow"/>
        </w:rPr>
      </w:pPr>
      <w:r w:rsidRPr="00066A9D">
        <w:rPr>
          <w:rFonts w:ascii="Arial Narrow" w:hAnsi="Arial Narrow"/>
        </w:rPr>
        <w:t>Mi propuesta docente se fundamenta en metodologías activas, particularmente el Aprendizaje Basado en Proyectos (ABP) y el enfoque CDIO (Conceive–Design–Implement–Operate), que permiten a los estudiantes abordar problemáticas reales de cuencas colombianas, tales como la gestión del recurso hídrico, el diseño de obras hidráulicas y la planificación de sistemas agroalimentarios (Kolmos et al., 2009; Crawley et al., 2014; Navarro-Soria et al., 2024; Arantes do Amaral et al., 2025). Desde estos enfoques, el proceso formativo integra la identificación de problemas hídricos territoriales, el diseño de soluciones técnicas apoyadas en modelación hidrológica y de calidad del agua, y la evaluación de alternativas de gestión y operación en contextos locales, articulando teoría, práctica y toma de decisiones propias del ejercicio profesional en la ingeniería civil y agrícola.</w:t>
      </w:r>
    </w:p>
    <w:p w14:paraId="130747C5" w14:textId="6B78C3CC" w:rsidR="000E3D17" w:rsidRPr="005B4514" w:rsidRDefault="000E3D17" w:rsidP="0053334C">
      <w:pPr>
        <w:spacing w:line="276" w:lineRule="auto"/>
        <w:ind w:firstLine="360"/>
        <w:jc w:val="both"/>
        <w:rPr>
          <w:rFonts w:ascii="Arial Narrow" w:hAnsi="Arial Narrow"/>
        </w:rPr>
      </w:pPr>
      <w:r w:rsidRPr="005B4514">
        <w:rPr>
          <w:rFonts w:ascii="Arial Narrow" w:hAnsi="Arial Narrow"/>
        </w:rPr>
        <w:t>Estas metodologías deben ir acompañadas de estrategias de aula invertida, trabajo colaborativo y el desarrollo de productos académicos aplicados, tales como diagnósticos de cuencas, análisis de calidad del agua para consumo humano, evaluaciones de impacto ambiental y propuestas técnicas de manejo hídrico en contextos urbanos y rurales.</w:t>
      </w:r>
      <w:r w:rsidR="00F9339B" w:rsidRPr="005B4514">
        <w:rPr>
          <w:rFonts w:ascii="Arial Narrow" w:hAnsi="Arial Narrow"/>
        </w:rPr>
        <w:t xml:space="preserve"> </w:t>
      </w:r>
      <w:r w:rsidRPr="005B4514">
        <w:rPr>
          <w:rFonts w:ascii="Arial Narrow" w:hAnsi="Arial Narrow"/>
        </w:rPr>
        <w:t xml:space="preserve">De manera complementaria, la propuesta docente se articula explícitamente con el enfoque </w:t>
      </w:r>
      <w:r w:rsidRPr="00066A9D">
        <w:rPr>
          <w:rFonts w:ascii="Arial Narrow" w:hAnsi="Arial Narrow"/>
        </w:rPr>
        <w:t>de armonización curricular desde</w:t>
      </w:r>
      <w:r w:rsidRPr="005B4514">
        <w:rPr>
          <w:rFonts w:ascii="Arial Narrow" w:hAnsi="Arial Narrow"/>
        </w:rPr>
        <w:t xml:space="preserve"> los niveles macrocurricular, mesocurricular y microcurricular (</w:t>
      </w:r>
      <w:r w:rsidR="00A31E59" w:rsidRPr="005B4514">
        <w:rPr>
          <w:rFonts w:ascii="Arial Narrow" w:hAnsi="Arial Narrow"/>
        </w:rPr>
        <w:t>Decreto 1330 de 2019; Universidad Nacional de Colombia, 2025</w:t>
      </w:r>
      <w:r w:rsidRPr="005B4514">
        <w:rPr>
          <w:rFonts w:ascii="Arial Narrow" w:hAnsi="Arial Narrow"/>
        </w:rPr>
        <w:t>):</w:t>
      </w:r>
    </w:p>
    <w:p w14:paraId="19591A60" w14:textId="3F96DBFE" w:rsidR="000E3D17" w:rsidRPr="005B4514" w:rsidRDefault="000E3D17" w:rsidP="000E3D17">
      <w:pPr>
        <w:numPr>
          <w:ilvl w:val="0"/>
          <w:numId w:val="3"/>
        </w:numPr>
        <w:spacing w:line="276" w:lineRule="auto"/>
        <w:jc w:val="both"/>
        <w:rPr>
          <w:rFonts w:ascii="Arial Narrow" w:hAnsi="Arial Narrow"/>
        </w:rPr>
      </w:pPr>
      <w:r w:rsidRPr="005B4514">
        <w:rPr>
          <w:rFonts w:ascii="Arial Narrow" w:hAnsi="Arial Narrow"/>
          <w:b/>
          <w:bCs/>
        </w:rPr>
        <w:t>A nivel macrocurricular:</w:t>
      </w:r>
      <w:r w:rsidRPr="005B4514">
        <w:rPr>
          <w:rFonts w:ascii="Arial Narrow" w:hAnsi="Arial Narrow"/>
        </w:rPr>
        <w:t xml:space="preserve"> La formación en </w:t>
      </w:r>
      <w:r w:rsidR="00C56CF5">
        <w:rPr>
          <w:rFonts w:ascii="Arial Narrow" w:hAnsi="Arial Narrow"/>
        </w:rPr>
        <w:t xml:space="preserve">GIRH </w:t>
      </w:r>
      <w:r w:rsidRPr="005B4514">
        <w:rPr>
          <w:rFonts w:ascii="Arial Narrow" w:hAnsi="Arial Narrow"/>
        </w:rPr>
        <w:t>se alinea con los fines del proyecto educativo del programa, reforzando la pertinencia social y académica de la ingeniería civil y agrícola frente a los desafíos hídricos del país.</w:t>
      </w:r>
    </w:p>
    <w:p w14:paraId="0A558522" w14:textId="2DCAED9B" w:rsidR="000E3D17" w:rsidRPr="005B4514" w:rsidRDefault="000E3D17" w:rsidP="000E3D17">
      <w:pPr>
        <w:numPr>
          <w:ilvl w:val="0"/>
          <w:numId w:val="3"/>
        </w:numPr>
        <w:spacing w:line="276" w:lineRule="auto"/>
        <w:jc w:val="both"/>
        <w:rPr>
          <w:rFonts w:ascii="Arial Narrow" w:hAnsi="Arial Narrow"/>
        </w:rPr>
      </w:pPr>
      <w:r w:rsidRPr="005B4514">
        <w:rPr>
          <w:rFonts w:ascii="Arial Narrow" w:hAnsi="Arial Narrow"/>
          <w:b/>
          <w:bCs/>
        </w:rPr>
        <w:t xml:space="preserve">A nivel </w:t>
      </w:r>
      <w:r w:rsidR="0053334C" w:rsidRPr="005B4514">
        <w:rPr>
          <w:rFonts w:ascii="Arial Narrow" w:hAnsi="Arial Narrow"/>
          <w:b/>
          <w:bCs/>
        </w:rPr>
        <w:t>mesocurricular</w:t>
      </w:r>
      <w:r w:rsidRPr="005B4514">
        <w:rPr>
          <w:rFonts w:ascii="Arial Narrow" w:hAnsi="Arial Narrow"/>
          <w:b/>
          <w:bCs/>
        </w:rPr>
        <w:t>:</w:t>
      </w:r>
      <w:r w:rsidRPr="005B4514">
        <w:rPr>
          <w:rFonts w:ascii="Arial Narrow" w:hAnsi="Arial Narrow"/>
        </w:rPr>
        <w:t xml:space="preserve"> Se promueve la coherencia entre los ejes misionales, el plan de estudios y las rutas de formación, asegurando que los contenidos asociados al agua, al saneamiento y la planificación del recurso hídrico se integren de manera progresiva y articulada.</w:t>
      </w:r>
    </w:p>
    <w:p w14:paraId="0DE11BEE" w14:textId="77777777" w:rsidR="000E3D17" w:rsidRPr="005B4514" w:rsidRDefault="000E3D17" w:rsidP="000E3D17">
      <w:pPr>
        <w:numPr>
          <w:ilvl w:val="0"/>
          <w:numId w:val="3"/>
        </w:numPr>
        <w:spacing w:line="276" w:lineRule="auto"/>
        <w:jc w:val="both"/>
        <w:rPr>
          <w:rFonts w:ascii="Arial Narrow" w:hAnsi="Arial Narrow"/>
        </w:rPr>
      </w:pPr>
      <w:r w:rsidRPr="005B4514">
        <w:rPr>
          <w:rFonts w:ascii="Arial Narrow" w:hAnsi="Arial Narrow"/>
          <w:b/>
          <w:bCs/>
        </w:rPr>
        <w:t>A nivel microcurricular:</w:t>
      </w:r>
      <w:r w:rsidRPr="005B4514">
        <w:rPr>
          <w:rFonts w:ascii="Arial Narrow" w:hAnsi="Arial Narrow"/>
        </w:rPr>
        <w:t xml:space="preserve"> La planeación de las asignaturas incorpora estrategias didácticas activas CDIO-ABP, resultados de aprendizaje explícitos alineados con las competencias del perfil de egreso y mecanismos de evaluación coherentes.</w:t>
      </w:r>
    </w:p>
    <w:p w14:paraId="38264563" w14:textId="77777777" w:rsidR="00613EBA" w:rsidRDefault="00613EBA" w:rsidP="00F9339B">
      <w:pPr>
        <w:spacing w:line="276" w:lineRule="auto"/>
        <w:ind w:firstLine="360"/>
        <w:jc w:val="both"/>
        <w:rPr>
          <w:rFonts w:ascii="Arial Narrow" w:hAnsi="Arial Narrow"/>
        </w:rPr>
      </w:pPr>
      <w:r w:rsidRPr="00613EBA">
        <w:rPr>
          <w:rFonts w:ascii="Arial Narrow" w:hAnsi="Arial Narrow"/>
        </w:rPr>
        <w:t>La docencia integra herramientas del GIREH, como la Red Pluviográfica UNAL, AQUALIOT (datos de calidad del agua en tiempo real) y el LEH (Laboratorio de Ensayos Hídricos), para que los estudiantes desarrollen proyectos con datos reales de cuencas colombianas, aplicando SIG, teledetección y aprendizaje automático en la toma de decisiones técnicas asociadas a la gestión hídrica, el diseño de infraestructuras y la planificación territorial. Este enfoque fortalece competencias analíticas, comunicativas y éticas esenciales para el ejercicio profesional.</w:t>
      </w:r>
    </w:p>
    <w:p w14:paraId="68BBBCA3" w14:textId="2CCD1C3B" w:rsidR="000E3D17" w:rsidRPr="005B4514" w:rsidRDefault="000E3D17" w:rsidP="00F9339B">
      <w:pPr>
        <w:spacing w:line="276" w:lineRule="auto"/>
        <w:ind w:firstLine="360"/>
        <w:jc w:val="both"/>
        <w:rPr>
          <w:rFonts w:ascii="Arial Narrow" w:hAnsi="Arial Narrow"/>
        </w:rPr>
      </w:pPr>
      <w:r w:rsidRPr="005B4514">
        <w:rPr>
          <w:rFonts w:ascii="Arial Narrow" w:hAnsi="Arial Narrow"/>
        </w:rPr>
        <w:t xml:space="preserve">Asimismo, se incorporan de forma explícita los marcos normativos, instrumentos de planificación (POMCAs, POTs) y estándares técnicos que regulan la gestión del recurso hídrico, permitiendo que los estudiantes comprendan la relación entre el diseño técnico, la toma de decisiones en ingeniería y los </w:t>
      </w:r>
      <w:r w:rsidRPr="005B4514">
        <w:rPr>
          <w:rFonts w:ascii="Arial Narrow" w:hAnsi="Arial Narrow"/>
        </w:rPr>
        <w:lastRenderedPageBreak/>
        <w:t>contextos institucionales y regulatorios (</w:t>
      </w:r>
      <w:r w:rsidR="00880BD1" w:rsidRPr="005B4514">
        <w:rPr>
          <w:rFonts w:ascii="Arial Narrow" w:hAnsi="Arial Narrow"/>
        </w:rPr>
        <w:t xml:space="preserve">Decreto 1076 de 2015, </w:t>
      </w:r>
      <w:r w:rsidR="00A31E59" w:rsidRPr="005B4514">
        <w:rPr>
          <w:rFonts w:ascii="Arial Narrow" w:hAnsi="Arial Narrow"/>
        </w:rPr>
        <w:t>Decreto 1330 de 2019</w:t>
      </w:r>
      <w:r w:rsidRPr="005B4514">
        <w:rPr>
          <w:rFonts w:ascii="Arial Narrow" w:hAnsi="Arial Narrow"/>
        </w:rPr>
        <w:t>). La gestión del riesgo y la adaptación al cambio climático se integran como ejes transversales, facilitando la comprensión de cómo la variabilidad climática, los cambios en el uso del suelo y las actividades productivas influyen en la disponibilidad y calidad del agua (IPCC, 2023; IDEAM, 2024).</w:t>
      </w:r>
    </w:p>
    <w:p w14:paraId="0540A950" w14:textId="77777777" w:rsidR="000E3D17" w:rsidRPr="005B4514" w:rsidRDefault="000E3D17" w:rsidP="005D4501">
      <w:pPr>
        <w:spacing w:line="276" w:lineRule="auto"/>
        <w:ind w:firstLine="360"/>
        <w:jc w:val="both"/>
        <w:rPr>
          <w:rFonts w:ascii="Arial Narrow" w:hAnsi="Arial Narrow"/>
        </w:rPr>
      </w:pPr>
      <w:r w:rsidRPr="005B4514">
        <w:rPr>
          <w:rFonts w:ascii="Arial Narrow" w:hAnsi="Arial Narrow"/>
        </w:rPr>
        <w:t xml:space="preserve">Un ejemplo concreto de este enfoque es la formulación y puesta en marcha de asignaturas basadas en contextos territoriales reales. Durante mi experiencia docente en la Orinoquia, identifiqué que una proporción significativa de los estudiantes provenía de familias vinculadas a sistemas agropecuarios, mientras que el programa no contaba con un espacio formativo específico orientado a esta realidad productiva. En respuesta, propuse y diseñé la asignatura </w:t>
      </w:r>
      <w:r w:rsidRPr="005B4514">
        <w:rPr>
          <w:rFonts w:ascii="Arial Narrow" w:hAnsi="Arial Narrow"/>
          <w:i/>
          <w:iCs/>
        </w:rPr>
        <w:t>Gestión del Agua en Sistemas Agroalimentarios (GASA)</w:t>
      </w:r>
      <w:r w:rsidRPr="005B4514">
        <w:rPr>
          <w:rFonts w:ascii="Arial Narrow" w:hAnsi="Arial Narrow"/>
        </w:rPr>
        <w:t>, permitiendo la apertura de una electiva en la que los estudiantes trabajaron directamente sobre sus propios entornos productivos, integrando evaluación de impactos, gestión del agua y del suelo, adaptación a la variación del clima y sostenibilidad en contextos locales. Esta experiencia demuestra la capacidad de innovación curricular alineada con la armonización y las necesidades territoriales.</w:t>
      </w:r>
    </w:p>
    <w:p w14:paraId="2F9B0323" w14:textId="77777777" w:rsidR="005D4501" w:rsidRPr="005B4514" w:rsidRDefault="000E3D17" w:rsidP="005D4501">
      <w:pPr>
        <w:spacing w:line="276" w:lineRule="auto"/>
        <w:ind w:firstLine="360"/>
        <w:jc w:val="both"/>
        <w:rPr>
          <w:rFonts w:ascii="Arial Narrow" w:hAnsi="Arial Narrow"/>
        </w:rPr>
      </w:pPr>
      <w:r w:rsidRPr="005B4514">
        <w:rPr>
          <w:rFonts w:ascii="Arial Narrow" w:hAnsi="Arial Narrow"/>
        </w:rPr>
        <w:t>La evaluación del aprendizaje se concibe como un proceso continuo y formativo, basado en retroalimentación y cocreación de proyectos aplicados, informes técnicos, análisis de casos reales y presentaciones orales, complementado con evaluaciones escritas individuales, apoyadas en rúbricas explícitas y criterios de desempeño alineados con los resultados de aprendizaje. Este enfoque permite valorar tanto el dominio conceptual y técnico como las capacidades de análisis, trabajo en equipo, comunicación y toma de decisiones propias del ejercicio profesional.</w:t>
      </w:r>
    </w:p>
    <w:p w14:paraId="2F1D0D2A" w14:textId="088ED423" w:rsidR="005D4501" w:rsidRPr="005B4514" w:rsidRDefault="005D4501" w:rsidP="005D4501">
      <w:pPr>
        <w:spacing w:line="276" w:lineRule="auto"/>
        <w:jc w:val="both"/>
        <w:rPr>
          <w:rFonts w:ascii="Arial Narrow" w:hAnsi="Arial Narrow"/>
        </w:rPr>
      </w:pPr>
      <w:r w:rsidRPr="005B4514">
        <w:rPr>
          <w:rFonts w:ascii="Arial Narrow" w:hAnsi="Arial Narrow"/>
          <w:b/>
          <w:bCs/>
        </w:rPr>
        <w:t>d) Propuesta en el componente de investigación</w:t>
      </w:r>
    </w:p>
    <w:p w14:paraId="22706F1F" w14:textId="0D7D2B14" w:rsidR="005D4501" w:rsidRPr="005B4514" w:rsidRDefault="007B5AFA" w:rsidP="005D4501">
      <w:pPr>
        <w:spacing w:line="276" w:lineRule="auto"/>
        <w:ind w:firstLine="360"/>
        <w:jc w:val="both"/>
        <w:rPr>
          <w:rFonts w:ascii="Arial Narrow" w:hAnsi="Arial Narrow"/>
        </w:rPr>
      </w:pPr>
      <w:r w:rsidRPr="005B4514">
        <w:rPr>
          <w:rFonts w:ascii="Arial Narrow" w:hAnsi="Arial Narrow"/>
        </w:rPr>
        <w:t>La propuesta de investigación se orienta al análisis, planificación y gestión integral del recurso hídrico desde una perspectiva sistémica y aplicada, reconociendo que los problemas asociados a la calidad, cantidad y acceso al agua emergen de la interacción entre procesos hidrológicos, usos del suelo, actividades productivas, infraestructura hidráulica y dinámicas territoriales (Turner et al., 2003; Ostrom, 2009). Desde el enfoque de la ingeniería civil y agrícola, esta aproximación permite analizar de manera integrada sistemas naturales y obras de ingeniería, y se concibe como un insumo permanente para los procesos de armonización curricular, en la medida en que los resultados de investigación retroalimentan la formación, la definición de problemas de aprendizaje y la articulación entre docencia y extensión (</w:t>
      </w:r>
      <w:r w:rsidR="00042514" w:rsidRPr="005B4514">
        <w:rPr>
          <w:rFonts w:ascii="Arial Narrow" w:hAnsi="Arial Narrow"/>
        </w:rPr>
        <w:t>Universidad Nacional de Colombia, 2005</w:t>
      </w:r>
      <w:r w:rsidRPr="005B4514">
        <w:rPr>
          <w:rFonts w:ascii="Arial Narrow" w:hAnsi="Arial Narrow"/>
        </w:rPr>
        <w:t>).</w:t>
      </w:r>
    </w:p>
    <w:p w14:paraId="7757FE67" w14:textId="3E0E65C4" w:rsidR="005D4501" w:rsidRPr="005B4514" w:rsidRDefault="00B8370E" w:rsidP="005D4501">
      <w:pPr>
        <w:spacing w:line="276" w:lineRule="auto"/>
        <w:ind w:firstLine="360"/>
        <w:jc w:val="both"/>
        <w:rPr>
          <w:rFonts w:ascii="Arial Narrow" w:hAnsi="Arial Narrow"/>
        </w:rPr>
      </w:pPr>
      <w:r w:rsidRPr="005B4514">
        <w:rPr>
          <w:rFonts w:ascii="Arial Narrow" w:hAnsi="Arial Narrow"/>
        </w:rPr>
        <w:t xml:space="preserve">Las líneas de investigación se estructuran en torno al GIREH: </w:t>
      </w:r>
      <w:r w:rsidRPr="00066A9D">
        <w:rPr>
          <w:rFonts w:ascii="Arial Narrow" w:hAnsi="Arial Narrow"/>
          <w:b/>
          <w:bCs/>
        </w:rPr>
        <w:t>(1)</w:t>
      </w:r>
      <w:r w:rsidRPr="005B4514">
        <w:rPr>
          <w:rFonts w:ascii="Arial Narrow" w:hAnsi="Arial Narrow"/>
        </w:rPr>
        <w:t xml:space="preserve"> modelación hidrológica y cambio climático (p. ej., SWAT-Tb, escenarios futuros, Valencia et al., 2024); </w:t>
      </w:r>
      <w:r w:rsidRPr="00066A9D">
        <w:rPr>
          <w:rFonts w:ascii="Arial Narrow" w:hAnsi="Arial Narrow"/>
          <w:b/>
          <w:bCs/>
        </w:rPr>
        <w:t>(2)</w:t>
      </w:r>
      <w:r w:rsidRPr="005B4514">
        <w:rPr>
          <w:rFonts w:ascii="Arial Narrow" w:hAnsi="Arial Narrow"/>
        </w:rPr>
        <w:t xml:space="preserve"> calidad del agua y contaminación (monitoreo, bases de datos, análisis espacia</w:t>
      </w:r>
      <w:r w:rsidR="001F441E">
        <w:rPr>
          <w:rFonts w:ascii="Arial Narrow" w:hAnsi="Arial Narrow"/>
        </w:rPr>
        <w:t>l</w:t>
      </w:r>
      <w:r w:rsidRPr="005B4514">
        <w:rPr>
          <w:rFonts w:ascii="Arial Narrow" w:hAnsi="Arial Narrow"/>
        </w:rPr>
        <w:t xml:space="preserve">, Rodríguez et al., 2020; Moyano et al., 2025); </w:t>
      </w:r>
      <w:r w:rsidRPr="00066A9D">
        <w:rPr>
          <w:rFonts w:ascii="Arial Narrow" w:hAnsi="Arial Narrow"/>
          <w:b/>
          <w:bCs/>
        </w:rPr>
        <w:t>(3)</w:t>
      </w:r>
      <w:r w:rsidRPr="005B4514">
        <w:rPr>
          <w:rFonts w:ascii="Arial Narrow" w:hAnsi="Arial Narrow"/>
        </w:rPr>
        <w:t xml:space="preserve"> adaptación al cambio climático y gestión del riesgo (eventos extremos, infraestructuras); </w:t>
      </w:r>
      <w:r w:rsidRPr="00066A9D">
        <w:rPr>
          <w:rFonts w:ascii="Arial Narrow" w:hAnsi="Arial Narrow"/>
          <w:b/>
          <w:bCs/>
        </w:rPr>
        <w:t>(4)</w:t>
      </w:r>
      <w:r w:rsidRPr="005B4514">
        <w:rPr>
          <w:rFonts w:ascii="Arial Narrow" w:hAnsi="Arial Narrow"/>
        </w:rPr>
        <w:t xml:space="preserve"> aguas subterráneas y seguridad hídrica; y </w:t>
      </w:r>
      <w:r w:rsidRPr="00066A9D">
        <w:rPr>
          <w:rFonts w:ascii="Arial Narrow" w:hAnsi="Arial Narrow"/>
          <w:b/>
          <w:bCs/>
        </w:rPr>
        <w:t>(5)</w:t>
      </w:r>
      <w:r w:rsidRPr="005B4514">
        <w:rPr>
          <w:rFonts w:ascii="Arial Narrow" w:hAnsi="Arial Narrow"/>
        </w:rPr>
        <w:t xml:space="preserve"> evaluación de impactos y planificación territorial aplicada.</w:t>
      </w:r>
      <w:r w:rsidR="005D4501" w:rsidRPr="005B4514">
        <w:rPr>
          <w:rFonts w:ascii="Arial Narrow" w:hAnsi="Arial Narrow"/>
        </w:rPr>
        <w:t xml:space="preserve"> </w:t>
      </w:r>
      <w:r w:rsidR="000E3D17" w:rsidRPr="005B4514">
        <w:rPr>
          <w:rFonts w:ascii="Arial Narrow" w:hAnsi="Arial Narrow"/>
        </w:rPr>
        <w:t>Desde el punto de vista metodológico, la investigación combina trabajo de campo, análisis de laboratorio, uso de bases de datos ambientales a gran escala e integración de herramientas de análisis espacial, modelación hidrológica e inteligencia artificial. Estas herramientas se emplean de manera integrada dentro de marcos analíticos orientados a la toma de decisiones técnicas en ingeniería</w:t>
      </w:r>
      <w:r w:rsidR="000B62F9" w:rsidRPr="005B4514">
        <w:rPr>
          <w:rFonts w:ascii="Arial Narrow" w:hAnsi="Arial Narrow"/>
        </w:rPr>
        <w:t xml:space="preserve"> (Duque-Gardeazabal &amp; Rodríguez, 2023). </w:t>
      </w:r>
    </w:p>
    <w:p w14:paraId="679E9A46" w14:textId="77777777" w:rsidR="0061106E" w:rsidRDefault="0061106E" w:rsidP="005D4501">
      <w:pPr>
        <w:spacing w:line="276" w:lineRule="auto"/>
        <w:ind w:firstLine="360"/>
        <w:jc w:val="both"/>
        <w:rPr>
          <w:rFonts w:ascii="Arial Narrow" w:hAnsi="Arial Narrow"/>
        </w:rPr>
      </w:pPr>
      <w:r w:rsidRPr="0061106E">
        <w:rPr>
          <w:rFonts w:ascii="Arial Narrow" w:hAnsi="Arial Narrow"/>
        </w:rPr>
        <w:t>Un ejemplo concreto de este enfoque es mi liderazgo en el análisis de grandes bases de datos hidroambientales y de calidad del agua a escala regional y global, destacando el desarrollo del conjunto de datos GlobSalt (Moyano et al., 2025), que integra más de 14 millones de registros de calidad del agua con énfasis en parámetros de salinidad a nivel mundial. De manera complementaria, he aplicado modelos estadísticos avanzados y técnicas de aprendizaje automático, incluyendo modelos aditivos generalizados (GAM) y Random Forest, para identificar, jerarquizar y cuantificar drivers climáticos y antrópicos que explican la dinámica temporal de la conductividad eléctrica en ríos (Moyano et al., 2023).</w:t>
      </w:r>
    </w:p>
    <w:p w14:paraId="5816256E" w14:textId="33052664" w:rsidR="005D4501" w:rsidRPr="005B4514" w:rsidRDefault="009E17C9" w:rsidP="005D4501">
      <w:pPr>
        <w:spacing w:line="276" w:lineRule="auto"/>
        <w:ind w:firstLine="360"/>
        <w:jc w:val="both"/>
        <w:rPr>
          <w:rFonts w:ascii="Arial Narrow" w:hAnsi="Arial Narrow"/>
        </w:rPr>
      </w:pPr>
      <w:r w:rsidRPr="005B4514">
        <w:rPr>
          <w:rFonts w:ascii="Arial Narrow" w:hAnsi="Arial Narrow"/>
        </w:rPr>
        <w:lastRenderedPageBreak/>
        <w:t>Estas capacidades permiten complementar proyectos en ejecución del GIREH: AQUALIOT (monitoreo en tiempo real y validación operativa de sensores de calidad del agua), el sistema de análisis y alerta temprana de sequías del Sistema Chingaza (monitoreo hidrometeorológico y pronóstico para la gestión del abastecimiento de Bogotá), y la validación satelital de los niveles de agua en los embalses San Rafael</w:t>
      </w:r>
      <w:r w:rsidR="00613EBA">
        <w:rPr>
          <w:rFonts w:ascii="Arial Narrow" w:hAnsi="Arial Narrow"/>
        </w:rPr>
        <w:t>-</w:t>
      </w:r>
      <w:r w:rsidRPr="005B4514">
        <w:rPr>
          <w:rFonts w:ascii="Arial Narrow" w:hAnsi="Arial Narrow"/>
        </w:rPr>
        <w:t xml:space="preserve">Chuza mediante el satélite SWOT, integrando observaciones remotas e información </w:t>
      </w:r>
      <w:r w:rsidRPr="007D4BCA">
        <w:rPr>
          <w:rFonts w:ascii="Arial Narrow" w:hAnsi="Arial Narrow"/>
          <w:i/>
          <w:iCs/>
        </w:rPr>
        <w:t>in situ</w:t>
      </w:r>
      <w:r w:rsidRPr="005B4514">
        <w:rPr>
          <w:rFonts w:ascii="Arial Narrow" w:hAnsi="Arial Narrow"/>
        </w:rPr>
        <w:t xml:space="preserve">. La transferencia de estos enfoques, big data, teledetección y aprendizaje automático, al contexto colombiano abre oportunidades prioritarias para avanzar hacia una gestión integrada de cantidad y calidad del recurso hídrico bajo estrés climático </w:t>
      </w:r>
      <w:r w:rsidR="000B62F9" w:rsidRPr="005B4514">
        <w:rPr>
          <w:rFonts w:ascii="Arial Narrow" w:hAnsi="Arial Narrow"/>
        </w:rPr>
        <w:t>(IPCC, 2023; IDEAM, 2024; Nauditt et al., 2022).</w:t>
      </w:r>
    </w:p>
    <w:p w14:paraId="41BBBF16" w14:textId="3BB552FF" w:rsidR="005D4501" w:rsidRPr="005B4514" w:rsidRDefault="00C2495A" w:rsidP="005D4501">
      <w:pPr>
        <w:spacing w:line="276" w:lineRule="auto"/>
        <w:ind w:firstLine="360"/>
        <w:jc w:val="both"/>
        <w:rPr>
          <w:rFonts w:ascii="Arial Narrow" w:hAnsi="Arial Narrow"/>
        </w:rPr>
      </w:pPr>
      <w:r w:rsidRPr="005B4514">
        <w:rPr>
          <w:rFonts w:ascii="Arial Narrow" w:hAnsi="Arial Narrow"/>
        </w:rPr>
        <w:t xml:space="preserve">Como resultado de esta agenda de investigación, se proyecta: </w:t>
      </w:r>
      <w:r w:rsidRPr="00066A9D">
        <w:rPr>
          <w:rFonts w:ascii="Arial Narrow" w:hAnsi="Arial Narrow"/>
          <w:b/>
          <w:bCs/>
        </w:rPr>
        <w:t>(corto/mediano plazo)</w:t>
      </w:r>
      <w:r w:rsidRPr="005B4514">
        <w:rPr>
          <w:rFonts w:ascii="Arial Narrow" w:hAnsi="Arial Narrow"/>
        </w:rPr>
        <w:t xml:space="preserve"> publicaciones indexadas, proyectos ejecutados, y productos técnicos aplicados, como diagnósticos de riesgo, mapas de uso del agua, lineamientos de manejo de cuencas e infraestructuras; </w:t>
      </w:r>
      <w:r w:rsidRPr="00066A9D">
        <w:rPr>
          <w:rFonts w:ascii="Arial Narrow" w:hAnsi="Arial Narrow"/>
          <w:b/>
          <w:bCs/>
        </w:rPr>
        <w:t>(largo plazo)</w:t>
      </w:r>
      <w:r w:rsidRPr="005B4514">
        <w:rPr>
          <w:rFonts w:ascii="Arial Narrow" w:hAnsi="Arial Narrow"/>
        </w:rPr>
        <w:t xml:space="preserve"> consolidación de capacidades investigativas sostenibles, formación de estudiantes, y posicionamiento de la UNAL como referente en </w:t>
      </w:r>
      <w:r w:rsidR="00C56CF5">
        <w:rPr>
          <w:rFonts w:ascii="Arial Narrow" w:hAnsi="Arial Narrow"/>
        </w:rPr>
        <w:t>GIRH</w:t>
      </w:r>
      <w:r w:rsidRPr="005B4514">
        <w:rPr>
          <w:rFonts w:ascii="Arial Narrow" w:hAnsi="Arial Narrow"/>
        </w:rPr>
        <w:t xml:space="preserve">, articulada con instituciones y comunidades. </w:t>
      </w:r>
    </w:p>
    <w:p w14:paraId="2FEF17EB" w14:textId="6A742218" w:rsidR="005D4501" w:rsidRPr="005B4514" w:rsidRDefault="00BC7ADC" w:rsidP="005D4501">
      <w:pPr>
        <w:spacing w:line="276" w:lineRule="auto"/>
        <w:jc w:val="both"/>
        <w:rPr>
          <w:rFonts w:ascii="Arial Narrow" w:hAnsi="Arial Narrow"/>
          <w:b/>
          <w:bCs/>
        </w:rPr>
      </w:pPr>
      <w:r>
        <w:rPr>
          <w:rFonts w:ascii="Arial Narrow" w:hAnsi="Arial Narrow"/>
          <w:b/>
          <w:bCs/>
        </w:rPr>
        <w:t>e</w:t>
      </w:r>
      <w:r w:rsidR="005D4501" w:rsidRPr="005B4514">
        <w:rPr>
          <w:rFonts w:ascii="Arial Narrow" w:hAnsi="Arial Narrow"/>
          <w:b/>
          <w:bCs/>
        </w:rPr>
        <w:t>) Propuesta en el componente de extensión</w:t>
      </w:r>
    </w:p>
    <w:p w14:paraId="26D01AF3" w14:textId="77777777" w:rsidR="00316AEB" w:rsidRDefault="000E3D17" w:rsidP="00316AEB">
      <w:pPr>
        <w:spacing w:line="276" w:lineRule="auto"/>
        <w:ind w:firstLine="360"/>
        <w:jc w:val="both"/>
        <w:rPr>
          <w:rFonts w:ascii="Arial Narrow" w:hAnsi="Arial Narrow"/>
        </w:rPr>
      </w:pPr>
      <w:r w:rsidRPr="005B4514">
        <w:rPr>
          <w:rFonts w:ascii="Arial Narrow" w:hAnsi="Arial Narrow"/>
        </w:rPr>
        <w:t xml:space="preserve">La extensión universitaria se concibe como un espacio estratégico de articulación entre la universidad, las instituciones y los actores territoriales para la coproducción de conocimiento y la aplicación de soluciones técnicas en el análisis, planificación y </w:t>
      </w:r>
      <w:r w:rsidR="00C56CF5">
        <w:rPr>
          <w:rFonts w:ascii="Arial Narrow" w:hAnsi="Arial Narrow"/>
        </w:rPr>
        <w:t xml:space="preserve">GIRH </w:t>
      </w:r>
      <w:r w:rsidRPr="005B4514">
        <w:rPr>
          <w:rFonts w:ascii="Arial Narrow" w:hAnsi="Arial Narrow"/>
        </w:rPr>
        <w:t>(Freire, 1970; de Sousa Santos, 2010). Desde la perspectiva de la ingeniería civil y agrícola, la extensión permite vincular la formación académica y la investigación con problemáticas reales asociadas a la planificación territorial, la infraestructura hidráulica, el saneamiento y la sostenibilidad de los sistemas productivos.</w:t>
      </w:r>
    </w:p>
    <w:p w14:paraId="3C6EBB59" w14:textId="78B9C8E7" w:rsidR="00316AEB" w:rsidRDefault="00316AEB" w:rsidP="00316AEB">
      <w:pPr>
        <w:spacing w:line="276" w:lineRule="auto"/>
        <w:ind w:firstLine="360"/>
        <w:jc w:val="both"/>
        <w:rPr>
          <w:rFonts w:ascii="Arial Narrow" w:hAnsi="Arial Narrow"/>
        </w:rPr>
      </w:pPr>
      <w:r w:rsidRPr="00316AEB">
        <w:rPr>
          <w:rFonts w:ascii="Arial Narrow" w:hAnsi="Arial Narrow"/>
        </w:rPr>
        <w:t>Desde el enfoque de armonización curricular, la extensión universitaria se reconoce como un componente clave para interpretar las necesidades, percepciones y expectativas de comunidades, instituciones y actores productivos, y para retroalimentar los procesos formativos y de investigación (Sharifi &amp; Rodríguez, 2002). Esta interacción contribuye a valorar la pertinencia social de los programas académicos y a ajustar contenidos, metodologías y enfoques. Mi propuesta de extensión se articula con proyectos como MANOS A LA CUENCA en Suesca, centrado en la gestión comunitaria del agua y el territorio, y con iniciativas de desarrollo local y construcción de paz en Uribe (Meta) impulsadas desde el GIREH, priorizando el acompañamiento técnico participativo en procesos de planificación territorial, manejo de cuencas, saneamiento y gestión integral del agua, superando el modelo tradicional de transferencia tecnológica vertical (Johnson et al., 2002; Clavijo, 2021; Issac &amp; Newell, 2025).</w:t>
      </w:r>
      <w:r>
        <w:rPr>
          <w:rFonts w:ascii="Arial Narrow" w:hAnsi="Arial Narrow"/>
        </w:rPr>
        <w:t xml:space="preserve"> </w:t>
      </w:r>
      <w:r w:rsidRPr="00316AEB">
        <w:rPr>
          <w:rFonts w:ascii="Arial Narrow" w:hAnsi="Arial Narrow"/>
        </w:rPr>
        <w:t xml:space="preserve">Se implementarán tres estrategias metodológicas: </w:t>
      </w:r>
    </w:p>
    <w:p w14:paraId="15AB93BB" w14:textId="29CD1A17" w:rsidR="007B5AFA" w:rsidRPr="005B4514" w:rsidRDefault="007B5AFA" w:rsidP="007B5AFA">
      <w:pPr>
        <w:spacing w:line="276" w:lineRule="auto"/>
        <w:jc w:val="both"/>
        <w:rPr>
          <w:rFonts w:ascii="Arial Narrow" w:hAnsi="Arial Narrow"/>
          <w:b/>
          <w:bCs/>
        </w:rPr>
      </w:pPr>
      <w:r w:rsidRPr="005B4514">
        <w:rPr>
          <w:rFonts w:ascii="Arial Narrow" w:hAnsi="Arial Narrow"/>
          <w:b/>
          <w:bCs/>
        </w:rPr>
        <w:t xml:space="preserve">Escuelas de Campo Hídricas (ECA): </w:t>
      </w:r>
      <w:r w:rsidRPr="005B4514">
        <w:rPr>
          <w:rFonts w:ascii="Arial Narrow" w:hAnsi="Arial Narrow"/>
        </w:rPr>
        <w:t>Espacios de diálogo horizontal entre ingenieros, técnicos y comunidades para el manejo de microcuencas, sistemas de captación de agua lluvia y prácticas de uso eficiente del recurso, fortaleciendo la gestión local del agua.</w:t>
      </w:r>
    </w:p>
    <w:p w14:paraId="724F2367" w14:textId="77777777" w:rsidR="007B5AFA" w:rsidRPr="005B4514" w:rsidRDefault="007B5AFA" w:rsidP="007B5AFA">
      <w:pPr>
        <w:spacing w:line="276" w:lineRule="auto"/>
        <w:jc w:val="both"/>
        <w:rPr>
          <w:rFonts w:ascii="Arial Narrow" w:hAnsi="Arial Narrow"/>
          <w:b/>
          <w:bCs/>
        </w:rPr>
      </w:pPr>
      <w:r w:rsidRPr="005B4514">
        <w:rPr>
          <w:rFonts w:ascii="Arial Narrow" w:hAnsi="Arial Narrow"/>
          <w:b/>
          <w:bCs/>
        </w:rPr>
        <w:t xml:space="preserve">Monitoreo Participativo del Agua: </w:t>
      </w:r>
      <w:r w:rsidRPr="005B4514">
        <w:rPr>
          <w:rFonts w:ascii="Arial Narrow" w:hAnsi="Arial Narrow"/>
        </w:rPr>
        <w:t>Implementación de redes comunitarias de monitoreo de caudales, precipitación y calidad del agua mediante tecnologías de bajo costo, como soporte para sistemas de alerta temprana y gobernanza hídrica local (UNESCO, 2024).</w:t>
      </w:r>
    </w:p>
    <w:p w14:paraId="09882D82" w14:textId="77777777" w:rsidR="007B5AFA" w:rsidRPr="005B4514" w:rsidRDefault="007B5AFA" w:rsidP="007B5AFA">
      <w:pPr>
        <w:spacing w:line="276" w:lineRule="auto"/>
        <w:jc w:val="both"/>
        <w:rPr>
          <w:rFonts w:ascii="Arial Narrow" w:hAnsi="Arial Narrow"/>
          <w:b/>
          <w:bCs/>
        </w:rPr>
      </w:pPr>
      <w:r w:rsidRPr="005B4514">
        <w:rPr>
          <w:rFonts w:ascii="Arial Narrow" w:hAnsi="Arial Narrow"/>
          <w:b/>
          <w:bCs/>
        </w:rPr>
        <w:t xml:space="preserve">Cogestión de Cuencas y POMCAs: </w:t>
      </w:r>
      <w:r w:rsidRPr="005B4514">
        <w:rPr>
          <w:rFonts w:ascii="Arial Narrow" w:hAnsi="Arial Narrow"/>
        </w:rPr>
        <w:t>Acompañamiento técnico a CARs y entes territoriales en la implementación de POMCAs, facilitando espacios multiactor para la resolución de conflictos y la asignación equitativa del recurso.</w:t>
      </w:r>
    </w:p>
    <w:p w14:paraId="5758493D" w14:textId="10620BE9" w:rsidR="007B5AFA" w:rsidRPr="005B4514" w:rsidRDefault="007B5AFA" w:rsidP="000E3D17">
      <w:pPr>
        <w:spacing w:line="276" w:lineRule="auto"/>
        <w:jc w:val="both"/>
        <w:rPr>
          <w:rFonts w:ascii="Arial Narrow" w:hAnsi="Arial Narrow"/>
        </w:rPr>
      </w:pPr>
      <w:r w:rsidRPr="005B4514">
        <w:rPr>
          <w:rFonts w:ascii="Arial Narrow" w:hAnsi="Arial Narrow"/>
          <w:b/>
          <w:bCs/>
        </w:rPr>
        <w:t xml:space="preserve">Territorios prioritarios: </w:t>
      </w:r>
      <w:r w:rsidRPr="005B4514">
        <w:rPr>
          <w:rFonts w:ascii="Arial Narrow" w:hAnsi="Arial Narrow"/>
        </w:rPr>
        <w:t xml:space="preserve">cuencas de páramo estratégicas para el abastecimiento de Bogotá </w:t>
      </w:r>
      <w:r w:rsidR="00764950" w:rsidRPr="005B4514">
        <w:rPr>
          <w:rFonts w:ascii="Arial Narrow" w:hAnsi="Arial Narrow"/>
        </w:rPr>
        <w:t>(complejos de páramo de Chingaza, Sumapaz y Guerrero)</w:t>
      </w:r>
      <w:r w:rsidRPr="005B4514">
        <w:rPr>
          <w:rFonts w:ascii="Arial Narrow" w:hAnsi="Arial Narrow"/>
        </w:rPr>
        <w:t>, sistemas de riego y producción vulnerables al cambio climático (La Mojana, Catatumbo) y zonas de estrés hídrico como el Caribe seco y el Altiplano Cundiboyacense.</w:t>
      </w:r>
      <w:r w:rsidR="00764950" w:rsidRPr="005B4514">
        <w:rPr>
          <w:rFonts w:ascii="Arial Narrow" w:hAnsi="Arial Narrow"/>
        </w:rPr>
        <w:t xml:space="preserve"> </w:t>
      </w:r>
    </w:p>
    <w:p w14:paraId="73E7F000" w14:textId="77777777" w:rsidR="005D4501" w:rsidRPr="005B4514" w:rsidRDefault="005D4501" w:rsidP="005D4501">
      <w:pPr>
        <w:spacing w:line="276" w:lineRule="auto"/>
        <w:ind w:firstLine="360"/>
        <w:jc w:val="both"/>
        <w:rPr>
          <w:rFonts w:ascii="Arial Narrow" w:hAnsi="Arial Narrow"/>
        </w:rPr>
      </w:pPr>
      <w:r w:rsidRPr="005B4514">
        <w:rPr>
          <w:rFonts w:ascii="Arial Narrow" w:hAnsi="Arial Narrow"/>
        </w:rPr>
        <w:lastRenderedPageBreak/>
        <w:t>Además, se promoverán convenios marco y específicos con entidades técnicas (p. ej., IDEAM, AGROSAVIA, ICA), sedes UNAL, otras universidades y aliados internacionales con los que el candidato de la presente propuesta mantiene vínculos (Unión Europea/JRC, Universidad de Barcelona, IDAEA-CSIC, University of Maryland, University of Canberra), para apoyar mesas técnicas, formación en herramientas (SIG, teledetección) y la transferencia de productos (mapas, indicadores) hacia CARs y entes territoriales en cuencas prioritarias.</w:t>
      </w:r>
    </w:p>
    <w:p w14:paraId="61282A82" w14:textId="2E956FF9" w:rsidR="005F75F6" w:rsidRDefault="00613EBA" w:rsidP="005F75F6">
      <w:pPr>
        <w:spacing w:line="276" w:lineRule="auto"/>
        <w:ind w:firstLine="360"/>
        <w:jc w:val="both"/>
        <w:rPr>
          <w:rFonts w:ascii="Arial Narrow" w:hAnsi="Arial Narrow"/>
        </w:rPr>
      </w:pPr>
      <w:r w:rsidRPr="00613EBA">
        <w:rPr>
          <w:rFonts w:ascii="Arial Narrow" w:hAnsi="Arial Narrow"/>
        </w:rPr>
        <w:t xml:space="preserve">Un ejemplo concreto es mi trabajo en la cuenca lechera de Buenos Aires (2011–2012), donde evalué la huella hídrica </w:t>
      </w:r>
      <w:r w:rsidRPr="008A43BE">
        <w:rPr>
          <w:rFonts w:ascii="Arial Narrow" w:hAnsi="Arial Narrow"/>
          <w:i/>
          <w:iCs/>
        </w:rPr>
        <w:t>in situ</w:t>
      </w:r>
      <w:r w:rsidRPr="00613EBA">
        <w:rPr>
          <w:rFonts w:ascii="Arial Narrow" w:hAnsi="Arial Narrow"/>
        </w:rPr>
        <w:t xml:space="preserve"> en 38 tambos mediante CLIMWAT® y CROPWAT® de la FAO, calibrados con datos reales de la cuenca. Los resultados mostraron que el agua asociada a la alimentación</w:t>
      </w:r>
      <w:r>
        <w:rPr>
          <w:rFonts w:ascii="Arial Narrow" w:hAnsi="Arial Narrow"/>
        </w:rPr>
        <w:t xml:space="preserve"> del ganado</w:t>
      </w:r>
      <w:r w:rsidRPr="00613EBA">
        <w:rPr>
          <w:rFonts w:ascii="Arial Narrow" w:hAnsi="Arial Narrow"/>
        </w:rPr>
        <w:t xml:space="preserve"> representaba el 98% del consumo total (928 ± 453 L</w:t>
      </w:r>
      <w:r>
        <w:rPr>
          <w:rFonts w:ascii="Arial Narrow" w:hAnsi="Arial Narrow"/>
        </w:rPr>
        <w:t xml:space="preserve"> de agua</w:t>
      </w:r>
      <w:r w:rsidRPr="00613EBA">
        <w:rPr>
          <w:rFonts w:ascii="Arial Narrow" w:hAnsi="Arial Narrow"/>
        </w:rPr>
        <w:t>/L de leche). A partir de este análisis, diseñé modelos de reuso que evidenciaron ahorros de 3–10 L</w:t>
      </w:r>
      <w:r>
        <w:rPr>
          <w:rFonts w:ascii="Arial Narrow" w:hAnsi="Arial Narrow"/>
        </w:rPr>
        <w:t xml:space="preserve"> de agua</w:t>
      </w:r>
      <w:r w:rsidRPr="00613EBA">
        <w:rPr>
          <w:rFonts w:ascii="Arial Narrow" w:hAnsi="Arial Narrow"/>
        </w:rPr>
        <w:t>/L de leche, con indicadores posteriormente adoptados por la Asociación de Productores Lecheros. Esta metodología fue replicada en</w:t>
      </w:r>
      <w:r w:rsidR="00C83E09">
        <w:rPr>
          <w:rFonts w:ascii="Arial Narrow" w:hAnsi="Arial Narrow"/>
        </w:rPr>
        <w:t xml:space="preserve"> fincas de</w:t>
      </w:r>
      <w:r w:rsidRPr="00613EBA">
        <w:rPr>
          <w:rFonts w:ascii="Arial Narrow" w:hAnsi="Arial Narrow"/>
        </w:rPr>
        <w:t xml:space="preserve"> la Orinoquia e integrada como caso de estudio en la asignatura universitaria GASA, articulando extensión, investigación publicada y docencia contextualizada.</w:t>
      </w:r>
    </w:p>
    <w:p w14:paraId="0C1EC900" w14:textId="38E2410E" w:rsidR="005F75F6" w:rsidRDefault="005F75F6" w:rsidP="005F75F6">
      <w:pPr>
        <w:spacing w:line="276" w:lineRule="auto"/>
        <w:ind w:firstLine="360"/>
        <w:jc w:val="both"/>
        <w:rPr>
          <w:rFonts w:ascii="Arial Narrow" w:hAnsi="Arial Narrow"/>
        </w:rPr>
      </w:pPr>
      <w:r w:rsidRPr="005F75F6">
        <w:rPr>
          <w:rFonts w:ascii="Arial Narrow" w:hAnsi="Arial Narrow"/>
        </w:rPr>
        <w:t xml:space="preserve">En conjunto, mi propuesta se centra en la integración de la modelación hidrológica, el saneamiento y la calidad del agua en cuencas como marco operativo de ingeniería para la gestión hídrica en contextos de presión climática y productiva. Este enfoque, demostrado desde la creación de asignaturas como GASA en la Orinoquia hasta el liderazgo de GlobSalt con más de 14 millones de registros de calidad hídrica global, se traduce en docencia sistémica, investigación aplicada y extensión participativa que </w:t>
      </w:r>
      <w:r w:rsidR="00513382">
        <w:rPr>
          <w:rFonts w:ascii="Arial Narrow" w:hAnsi="Arial Narrow"/>
        </w:rPr>
        <w:t>posicionará</w:t>
      </w:r>
      <w:r w:rsidRPr="005F75F6">
        <w:rPr>
          <w:rFonts w:ascii="Arial Narrow" w:hAnsi="Arial Narrow"/>
        </w:rPr>
        <w:t xml:space="preserve"> al DICA-UNAL como referente en el análisis, diseño y planeamiento de sistemas hídricos.</w:t>
      </w:r>
      <w:r w:rsidR="00316AEB">
        <w:rPr>
          <w:rFonts w:ascii="Arial Narrow" w:hAnsi="Arial Narrow"/>
        </w:rPr>
        <w:t xml:space="preserve"> </w:t>
      </w:r>
      <w:r w:rsidR="00513382" w:rsidRPr="00513382">
        <w:rPr>
          <w:rFonts w:ascii="Arial Narrow" w:hAnsi="Arial Narrow"/>
        </w:rPr>
        <w:t>La formación de profesionales capaces de traducir complejidad hidrológica en decisiones territoriales sensibles a contextos socioambientales diversos no solo reducirá vulnerabilidades: construirá paz hídrica en territorios fragmentados.</w:t>
      </w:r>
    </w:p>
    <w:p w14:paraId="7D02568B" w14:textId="77777777" w:rsidR="00D15642" w:rsidRDefault="00D15642" w:rsidP="00316AEB">
      <w:pPr>
        <w:spacing w:line="276" w:lineRule="auto"/>
        <w:rPr>
          <w:rFonts w:ascii="Arial Narrow" w:hAnsi="Arial Narrow"/>
          <w:b/>
          <w:bCs/>
        </w:rPr>
      </w:pPr>
    </w:p>
    <w:p w14:paraId="5D860C90" w14:textId="1140C641" w:rsidR="00316AEB" w:rsidRDefault="00316AEB" w:rsidP="00316AEB">
      <w:pPr>
        <w:spacing w:line="276" w:lineRule="auto"/>
        <w:rPr>
          <w:rFonts w:ascii="Arial Narrow" w:hAnsi="Arial Narrow"/>
        </w:rPr>
      </w:pPr>
      <w:r w:rsidRPr="00316AEB">
        <w:rPr>
          <w:rFonts w:ascii="Arial Narrow" w:hAnsi="Arial Narrow"/>
          <w:b/>
          <w:bCs/>
        </w:rPr>
        <w:t>Alvaro Javier Moyano Salcedo</w:t>
      </w:r>
      <w:r w:rsidRPr="00316AEB">
        <w:rPr>
          <w:rFonts w:ascii="Arial Narrow" w:hAnsi="Arial Narrow"/>
          <w:b/>
          <w:bCs/>
        </w:rPr>
        <w:br/>
      </w:r>
      <w:r w:rsidRPr="00316AEB">
        <w:rPr>
          <w:rFonts w:ascii="Arial Narrow" w:hAnsi="Arial Narrow"/>
        </w:rPr>
        <w:t>C.C. 1075240150</w:t>
      </w:r>
      <w:r w:rsidRPr="00316AEB">
        <w:rPr>
          <w:rFonts w:ascii="Arial Narrow" w:hAnsi="Arial Narrow"/>
        </w:rPr>
        <w:br/>
        <w:t>Perfil E2</w:t>
      </w:r>
      <w:r w:rsidR="00C84F09">
        <w:rPr>
          <w:rFonts w:ascii="Arial Narrow" w:hAnsi="Arial Narrow"/>
        </w:rPr>
        <w:t xml:space="preserve">, </w:t>
      </w:r>
      <w:r w:rsidRPr="00316AEB">
        <w:rPr>
          <w:rFonts w:ascii="Arial Narrow" w:hAnsi="Arial Narrow"/>
        </w:rPr>
        <w:t>Departamento de Ingeniería Civil y Agrícola</w:t>
      </w:r>
    </w:p>
    <w:p w14:paraId="1B648485" w14:textId="77777777" w:rsidR="00D843EA" w:rsidRDefault="00D843EA" w:rsidP="00316AEB">
      <w:pPr>
        <w:spacing w:line="276" w:lineRule="auto"/>
        <w:rPr>
          <w:rFonts w:ascii="Arial Narrow" w:hAnsi="Arial Narrow"/>
        </w:rPr>
      </w:pPr>
    </w:p>
    <w:p w14:paraId="03B8427D" w14:textId="77777777" w:rsidR="00D843EA" w:rsidRDefault="00D843EA" w:rsidP="00316AEB">
      <w:pPr>
        <w:spacing w:line="276" w:lineRule="auto"/>
        <w:rPr>
          <w:rFonts w:ascii="Arial Narrow" w:hAnsi="Arial Narrow"/>
        </w:rPr>
      </w:pPr>
    </w:p>
    <w:p w14:paraId="511D2C1A" w14:textId="77777777" w:rsidR="00D843EA" w:rsidRDefault="00D843EA" w:rsidP="00316AEB">
      <w:pPr>
        <w:spacing w:line="276" w:lineRule="auto"/>
        <w:rPr>
          <w:rFonts w:ascii="Arial Narrow" w:hAnsi="Arial Narrow"/>
        </w:rPr>
      </w:pPr>
    </w:p>
    <w:p w14:paraId="7D4ECA22" w14:textId="77777777" w:rsidR="00D843EA" w:rsidRDefault="00D843EA" w:rsidP="00316AEB">
      <w:pPr>
        <w:spacing w:line="276" w:lineRule="auto"/>
        <w:rPr>
          <w:rFonts w:ascii="Arial Narrow" w:hAnsi="Arial Narrow"/>
        </w:rPr>
      </w:pPr>
    </w:p>
    <w:p w14:paraId="61A88956" w14:textId="77777777" w:rsidR="00D843EA" w:rsidRDefault="00D843EA" w:rsidP="00316AEB">
      <w:pPr>
        <w:spacing w:line="276" w:lineRule="auto"/>
        <w:rPr>
          <w:rFonts w:ascii="Arial Narrow" w:hAnsi="Arial Narrow"/>
        </w:rPr>
      </w:pPr>
    </w:p>
    <w:p w14:paraId="17774B3A" w14:textId="77777777" w:rsidR="00D843EA" w:rsidRDefault="00D843EA" w:rsidP="00316AEB">
      <w:pPr>
        <w:spacing w:line="276" w:lineRule="auto"/>
        <w:rPr>
          <w:rFonts w:ascii="Arial Narrow" w:hAnsi="Arial Narrow"/>
        </w:rPr>
      </w:pPr>
    </w:p>
    <w:p w14:paraId="126EE78B" w14:textId="77777777" w:rsidR="00D843EA" w:rsidRDefault="00D843EA" w:rsidP="00316AEB">
      <w:pPr>
        <w:spacing w:line="276" w:lineRule="auto"/>
        <w:rPr>
          <w:rFonts w:ascii="Arial Narrow" w:hAnsi="Arial Narrow"/>
        </w:rPr>
      </w:pPr>
    </w:p>
    <w:p w14:paraId="24DD170D" w14:textId="77777777" w:rsidR="00D843EA" w:rsidRDefault="00D843EA" w:rsidP="00316AEB">
      <w:pPr>
        <w:spacing w:line="276" w:lineRule="auto"/>
        <w:rPr>
          <w:rFonts w:ascii="Arial Narrow" w:hAnsi="Arial Narrow"/>
        </w:rPr>
      </w:pPr>
    </w:p>
    <w:p w14:paraId="735D1383" w14:textId="77777777" w:rsidR="00D843EA" w:rsidRDefault="00D843EA" w:rsidP="00316AEB">
      <w:pPr>
        <w:spacing w:line="276" w:lineRule="auto"/>
        <w:rPr>
          <w:rFonts w:ascii="Arial Narrow" w:hAnsi="Arial Narrow"/>
        </w:rPr>
      </w:pPr>
    </w:p>
    <w:p w14:paraId="4420DB6D" w14:textId="77777777" w:rsidR="00D843EA" w:rsidRDefault="00D843EA" w:rsidP="00316AEB">
      <w:pPr>
        <w:spacing w:line="276" w:lineRule="auto"/>
        <w:rPr>
          <w:rFonts w:ascii="Arial Narrow" w:hAnsi="Arial Narrow"/>
        </w:rPr>
      </w:pPr>
    </w:p>
    <w:p w14:paraId="6B556114" w14:textId="77777777" w:rsidR="00D843EA" w:rsidRDefault="00D843EA" w:rsidP="00316AEB">
      <w:pPr>
        <w:spacing w:line="276" w:lineRule="auto"/>
        <w:rPr>
          <w:rFonts w:ascii="Arial Narrow" w:hAnsi="Arial Narrow"/>
        </w:rPr>
      </w:pPr>
    </w:p>
    <w:p w14:paraId="276C6384" w14:textId="77777777" w:rsidR="00D843EA" w:rsidRDefault="00D843EA" w:rsidP="00316AEB">
      <w:pPr>
        <w:spacing w:line="276" w:lineRule="auto"/>
        <w:rPr>
          <w:rFonts w:ascii="Arial Narrow" w:hAnsi="Arial Narrow"/>
          <w:b/>
          <w:bCs/>
          <w:lang w:val="pt-BR"/>
        </w:rPr>
      </w:pPr>
    </w:p>
    <w:p w14:paraId="79AE1EFC" w14:textId="2787FFC8" w:rsidR="005B4514" w:rsidRPr="0061106E" w:rsidRDefault="007D4BCA" w:rsidP="00316AEB">
      <w:pPr>
        <w:spacing w:line="276" w:lineRule="auto"/>
        <w:rPr>
          <w:rFonts w:ascii="Arial Narrow" w:hAnsi="Arial Narrow"/>
          <w:b/>
          <w:bCs/>
          <w:lang w:val="pt-BR"/>
        </w:rPr>
      </w:pPr>
      <w:r w:rsidRPr="0061106E">
        <w:rPr>
          <w:rFonts w:ascii="Arial Narrow" w:hAnsi="Arial Narrow"/>
          <w:b/>
          <w:bCs/>
          <w:lang w:val="pt-BR"/>
        </w:rPr>
        <w:lastRenderedPageBreak/>
        <w:t xml:space="preserve">Referencias </w:t>
      </w:r>
    </w:p>
    <w:p w14:paraId="7C9ED419" w14:textId="77777777" w:rsidR="007D4BCA" w:rsidRPr="0061106E" w:rsidRDefault="007D4BCA" w:rsidP="007D4BCA">
      <w:pPr>
        <w:autoSpaceDE w:val="0"/>
        <w:autoSpaceDN w:val="0"/>
        <w:spacing w:after="0" w:line="276" w:lineRule="auto"/>
        <w:ind w:left="482" w:hanging="482"/>
        <w:rPr>
          <w:rFonts w:ascii="Arial Narrow" w:hAnsi="Arial Narrow" w:cs="Times New Roman"/>
          <w:lang w:val="pt-BR"/>
        </w:rPr>
        <w:sectPr w:rsidR="007D4BCA" w:rsidRPr="0061106E">
          <w:pgSz w:w="11906" w:h="16838"/>
          <w:pgMar w:top="1417" w:right="1701" w:bottom="1417" w:left="1701" w:header="708" w:footer="708" w:gutter="0"/>
          <w:cols w:space="708"/>
          <w:docGrid w:linePitch="360"/>
        </w:sectPr>
      </w:pPr>
    </w:p>
    <w:p w14:paraId="590A4AA9"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316AEB">
        <w:rPr>
          <w:rFonts w:ascii="Arial Narrow" w:hAnsi="Arial Narrow" w:cs="Times New Roman"/>
          <w:lang w:val="pt-BR"/>
        </w:rPr>
        <w:t xml:space="preserve">Arantes do Amaral, J. A., Meister, I. P., dos Santos Faria, A., Mancini, F., Sperduti Lima, V., &amp; Gamez, L. (2025). </w:t>
      </w:r>
      <w:r w:rsidRPr="007D4BCA">
        <w:rPr>
          <w:rFonts w:ascii="Arial Narrow" w:hAnsi="Arial Narrow" w:cs="Times New Roman"/>
          <w:i/>
          <w:iCs/>
          <w:lang w:val="en-US"/>
        </w:rPr>
        <w:t>Integrating design thinking and problem-based learning in MOOCs</w:t>
      </w:r>
      <w:r w:rsidRPr="007D4BCA">
        <w:rPr>
          <w:rFonts w:ascii="Arial Narrow" w:hAnsi="Arial Narrow" w:cs="Times New Roman"/>
          <w:lang w:val="en-US"/>
        </w:rPr>
        <w:t xml:space="preserve">. Journal of Open, Flexible and Distance Learning, 29(2), 40–69. </w:t>
      </w:r>
      <w:hyperlink r:id="rId6" w:history="1">
        <w:r w:rsidRPr="007D4BCA">
          <w:rPr>
            <w:rStyle w:val="Hipervnculo"/>
            <w:rFonts w:ascii="Arial Narrow" w:hAnsi="Arial Narrow" w:cs="Times New Roman"/>
          </w:rPr>
          <w:t>https://files.eric.ed.gov/fulltext/EJ1492771.pdf</w:t>
        </w:r>
      </w:hyperlink>
    </w:p>
    <w:p w14:paraId="7ADF0DCF"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rPr>
        <w:t xml:space="preserve">Capra, F., &amp; Luisi, P. L. (2014). </w:t>
      </w:r>
      <w:r w:rsidRPr="007D4BCA">
        <w:rPr>
          <w:rFonts w:ascii="Arial Narrow" w:hAnsi="Arial Narrow" w:cs="Times New Roman"/>
          <w:lang w:val="en-US"/>
        </w:rPr>
        <w:t xml:space="preserve">The systems view of life: A unifying vision. </w:t>
      </w:r>
      <w:r w:rsidRPr="007D4BCA">
        <w:rPr>
          <w:rFonts w:ascii="Arial Narrow" w:hAnsi="Arial Narrow" w:cs="Times New Roman"/>
        </w:rPr>
        <w:t>Cambridge University Press.</w:t>
      </w:r>
    </w:p>
    <w:p w14:paraId="5A21A4ED" w14:textId="77777777" w:rsidR="007D4BCA" w:rsidRPr="007D4BCA" w:rsidRDefault="007D4BCA" w:rsidP="007D4BCA">
      <w:pPr>
        <w:autoSpaceDE w:val="0"/>
        <w:autoSpaceDN w:val="0"/>
        <w:spacing w:after="0" w:line="276" w:lineRule="auto"/>
        <w:ind w:left="482" w:hanging="482"/>
        <w:rPr>
          <w:rFonts w:ascii="Arial Narrow" w:hAnsi="Arial Narrow"/>
        </w:rPr>
      </w:pPr>
      <w:r w:rsidRPr="007D4BCA">
        <w:rPr>
          <w:rFonts w:ascii="Arial Narrow" w:hAnsi="Arial Narrow" w:cs="Times New Roman"/>
        </w:rPr>
        <w:t xml:space="preserve">CEPAL. (2023). Seguridad hídrica y desarrollo sostenible en América Latina y el Caribe. Comisión Económica para América Latina y el Caribe. </w:t>
      </w:r>
      <w:hyperlink r:id="rId7" w:tgtFrame="_new" w:history="1">
        <w:r w:rsidRPr="007D4BCA">
          <w:rPr>
            <w:rFonts w:ascii="Arial Narrow" w:hAnsi="Arial Narrow" w:cs="Times New Roman"/>
          </w:rPr>
          <w:t>https://www.cepal.org</w:t>
        </w:r>
      </w:hyperlink>
    </w:p>
    <w:p w14:paraId="57C0F322"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rPr>
        <w:t>Clavijo Rojas, D. I. (2021). Evaluación de Impactos Socioambientales en pequeñas comunidades bajo el enfoque de los Sistemas Socioecológicos: el caso de la minería ilícita del oro en el departamento del Chocó-Colombia (Doctoral dissertation, Universidade de São Paulo).</w:t>
      </w:r>
    </w:p>
    <w:p w14:paraId="203C53CB"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rPr>
        <w:t xml:space="preserve">Colombia. Presidencia de la República (26 mayo 2015). </w:t>
      </w:r>
      <w:r w:rsidRPr="007D4BCA">
        <w:rPr>
          <w:rFonts w:ascii="Arial Narrow" w:hAnsi="Arial Narrow" w:cs="Times New Roman"/>
          <w:i/>
          <w:iCs/>
        </w:rPr>
        <w:t>Por medio del cual se expide el Decreto Único Reglamentario del Sector Ambiente y Desarrollo Sostenible</w:t>
      </w:r>
      <w:r w:rsidRPr="007D4BCA">
        <w:rPr>
          <w:rFonts w:ascii="Arial Narrow" w:hAnsi="Arial Narrow" w:cs="Times New Roman"/>
        </w:rPr>
        <w:t xml:space="preserve">. [Decreto 1076 de 2015]. Recuperado de: </w:t>
      </w:r>
      <w:hyperlink r:id="rId8" w:history="1">
        <w:r w:rsidRPr="007D4BCA">
          <w:rPr>
            <w:rStyle w:val="Hipervnculo"/>
            <w:rFonts w:ascii="Arial Narrow" w:hAnsi="Arial Narrow" w:cs="Times New Roman"/>
          </w:rPr>
          <w:t>https://www.funcionpublica.gov.co/eva/gestornormativo/norma.php?i=62511</w:t>
        </w:r>
      </w:hyperlink>
    </w:p>
    <w:p w14:paraId="45675090"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rPr>
        <w:t xml:space="preserve">Colombia. Universidad Nacional de Colombia, Consejo Superior Universitario. (2005). </w:t>
      </w:r>
      <w:r w:rsidRPr="007D4BCA">
        <w:rPr>
          <w:rFonts w:ascii="Arial Narrow" w:hAnsi="Arial Narrow" w:cs="Times New Roman"/>
          <w:i/>
          <w:iCs/>
        </w:rPr>
        <w:t>Estatuto General de la Universidad Nacional de Colombia</w:t>
      </w:r>
      <w:r w:rsidRPr="007D4BCA">
        <w:rPr>
          <w:rFonts w:ascii="Arial Narrow" w:hAnsi="Arial Narrow" w:cs="Times New Roman"/>
        </w:rPr>
        <w:t xml:space="preserve"> (Acuerdo 011 de 2005). </w:t>
      </w:r>
      <w:hyperlink r:id="rId9" w:tgtFrame="_new" w:history="1">
        <w:r w:rsidRPr="007D4BCA">
          <w:rPr>
            <w:rStyle w:val="Hipervnculo"/>
            <w:rFonts w:ascii="Arial Narrow" w:hAnsi="Arial Narrow" w:cs="Times New Roman"/>
          </w:rPr>
          <w:t>https://www.funcionpublica.gov.co/eva/gestornormativo/norma.php?i=84580</w:t>
        </w:r>
      </w:hyperlink>
    </w:p>
    <w:p w14:paraId="278A7889"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rPr>
        <w:t xml:space="preserve">Conesa Fdez.-Vítora, V. (2011). </w:t>
      </w:r>
      <w:r w:rsidRPr="007D4BCA">
        <w:rPr>
          <w:rFonts w:ascii="Arial Narrow" w:hAnsi="Arial Narrow" w:cs="Times New Roman"/>
          <w:i/>
          <w:iCs/>
        </w:rPr>
        <w:t>Guía metodológica para la evaluación del impacto ambiental</w:t>
      </w:r>
      <w:r w:rsidRPr="007D4BCA">
        <w:rPr>
          <w:rFonts w:ascii="Arial Narrow" w:hAnsi="Arial Narrow" w:cs="Times New Roman"/>
        </w:rPr>
        <w:t xml:space="preserve"> (4.ª ed. rev. y ampl.). Ediciones Mundi-Prensa.</w:t>
      </w:r>
    </w:p>
    <w:p w14:paraId="063ED98B"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61106E">
        <w:rPr>
          <w:rFonts w:ascii="Arial Narrow" w:hAnsi="Arial Narrow" w:cs="Times New Roman"/>
        </w:rPr>
        <w:t xml:space="preserve">Crawley, E. F., Malmqvist, J., Östlund, S., Brodeur, D. R., &amp; Edström, K. (2014). </w:t>
      </w:r>
      <w:r w:rsidRPr="007D4BCA">
        <w:rPr>
          <w:rFonts w:ascii="Arial Narrow" w:hAnsi="Arial Narrow" w:cs="Times New Roman"/>
          <w:i/>
          <w:iCs/>
          <w:lang w:val="en-US"/>
        </w:rPr>
        <w:t>Rethinking engineering education: The CDIO approach</w:t>
      </w:r>
      <w:r w:rsidRPr="007D4BCA">
        <w:rPr>
          <w:rFonts w:ascii="Arial Narrow" w:hAnsi="Arial Narrow" w:cs="Times New Roman"/>
          <w:lang w:val="en-US"/>
        </w:rPr>
        <w:t xml:space="preserve"> (2nd ed.). Springer. </w:t>
      </w:r>
      <w:hyperlink r:id="rId10" w:history="1">
        <w:r w:rsidRPr="007D4BCA">
          <w:rPr>
            <w:rStyle w:val="Hipervnculo"/>
            <w:rFonts w:ascii="Arial Narrow" w:hAnsi="Arial Narrow" w:cs="Times New Roman"/>
            <w:lang w:val="en-US"/>
          </w:rPr>
          <w:t>https://doi.org/10.1007/978-3-319-05561-9</w:t>
        </w:r>
      </w:hyperlink>
    </w:p>
    <w:p w14:paraId="342C5EB2"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7D4BCA">
        <w:rPr>
          <w:rFonts w:ascii="Arial Narrow" w:hAnsi="Arial Narrow" w:cs="Times New Roman"/>
          <w:lang w:val="en-US"/>
        </w:rPr>
        <w:t xml:space="preserve">de Sousa Santos, B. (2010). Descolonizar </w:t>
      </w:r>
      <w:proofErr w:type="spellStart"/>
      <w:r w:rsidRPr="007D4BCA">
        <w:rPr>
          <w:rFonts w:ascii="Arial Narrow" w:hAnsi="Arial Narrow" w:cs="Times New Roman"/>
          <w:lang w:val="en-US"/>
        </w:rPr>
        <w:t>el</w:t>
      </w:r>
      <w:proofErr w:type="spellEnd"/>
      <w:r w:rsidRPr="007D4BCA">
        <w:rPr>
          <w:rFonts w:ascii="Arial Narrow" w:hAnsi="Arial Narrow" w:cs="Times New Roman"/>
          <w:lang w:val="en-US"/>
        </w:rPr>
        <w:t xml:space="preserve"> saber, reinventar </w:t>
      </w:r>
      <w:proofErr w:type="spellStart"/>
      <w:r w:rsidRPr="007D4BCA">
        <w:rPr>
          <w:rFonts w:ascii="Arial Narrow" w:hAnsi="Arial Narrow" w:cs="Times New Roman"/>
          <w:lang w:val="en-US"/>
        </w:rPr>
        <w:t>el</w:t>
      </w:r>
      <w:proofErr w:type="spellEnd"/>
      <w:r w:rsidRPr="007D4BCA">
        <w:rPr>
          <w:rFonts w:ascii="Arial Narrow" w:hAnsi="Arial Narrow" w:cs="Times New Roman"/>
          <w:lang w:val="en-US"/>
        </w:rPr>
        <w:t xml:space="preserve"> poder. Ediciones Trilce.</w:t>
      </w:r>
    </w:p>
    <w:p w14:paraId="2539AB28"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61106E">
        <w:rPr>
          <w:rFonts w:ascii="Arial Narrow" w:hAnsi="Arial Narrow" w:cs="Times New Roman"/>
          <w:lang w:val="en-US"/>
        </w:rPr>
        <w:t xml:space="preserve">Duque-Gardeazabal, N., &amp; Rodríguez, E. A. (2023). </w:t>
      </w:r>
      <w:r w:rsidRPr="007D4BCA">
        <w:rPr>
          <w:rFonts w:ascii="Arial Narrow" w:hAnsi="Arial Narrow" w:cs="Times New Roman"/>
          <w:i/>
          <w:iCs/>
          <w:lang w:val="en-US"/>
        </w:rPr>
        <w:t>Improving rainfall fields in data-scarce basins: Influence of the kernel bandwidth value of merging on hydrometeorological modeling</w:t>
      </w:r>
      <w:r w:rsidRPr="007D4BCA">
        <w:rPr>
          <w:rFonts w:ascii="Arial Narrow" w:hAnsi="Arial Narrow" w:cs="Times New Roman"/>
          <w:lang w:val="en-US"/>
        </w:rPr>
        <w:t>. Journal of Hydrologic Engineering, 28(7), 04023029.</w:t>
      </w:r>
      <w:r w:rsidRPr="007D4BCA">
        <w:rPr>
          <w:rFonts w:ascii="Arial Narrow" w:hAnsi="Arial Narrow" w:cs="Times New Roman"/>
          <w:lang w:val="en-US"/>
        </w:rPr>
        <w:br/>
      </w:r>
      <w:hyperlink r:id="rId11" w:tgtFrame="_new" w:history="1">
        <w:r w:rsidRPr="007D4BCA">
          <w:rPr>
            <w:rStyle w:val="Hipervnculo"/>
            <w:rFonts w:ascii="Arial Narrow" w:hAnsi="Arial Narrow" w:cs="Times New Roman"/>
            <w:lang w:val="en-US"/>
          </w:rPr>
          <w:t>https://doi.org/10.1061/JHYEFF.HEENG-5541</w:t>
        </w:r>
      </w:hyperlink>
    </w:p>
    <w:p w14:paraId="3067E4DD" w14:textId="77777777" w:rsidR="007D4BCA" w:rsidRPr="007D4BCA" w:rsidRDefault="007D4BCA" w:rsidP="007D4BCA">
      <w:pPr>
        <w:autoSpaceDE w:val="0"/>
        <w:autoSpaceDN w:val="0"/>
        <w:spacing w:after="0" w:line="276" w:lineRule="auto"/>
        <w:ind w:left="482" w:hanging="482"/>
        <w:rPr>
          <w:rStyle w:val="Hipervnculo"/>
          <w:rFonts w:ascii="Arial Narrow" w:hAnsi="Arial Narrow" w:cs="Times New Roman"/>
          <w:lang w:val="en-US"/>
        </w:rPr>
      </w:pPr>
      <w:r w:rsidRPr="007D4BCA">
        <w:rPr>
          <w:rFonts w:ascii="Arial Narrow" w:hAnsi="Arial Narrow" w:cs="Times New Roman"/>
          <w:lang w:val="en-US"/>
        </w:rPr>
        <w:t xml:space="preserve">Folke, C., Carpenter, S. R., Walker, B., Scheffer, M., Chapin, T., &amp; Rockström, J. (2010). Resilience thinking: Integrating resilience, adaptability and transformability. Ecology and Society, 15(4), 20. </w:t>
      </w:r>
      <w:hyperlink r:id="rId12" w:history="1">
        <w:r w:rsidRPr="007D4BCA">
          <w:rPr>
            <w:rStyle w:val="Hipervnculo"/>
            <w:rFonts w:ascii="Arial Narrow" w:hAnsi="Arial Narrow" w:cs="Times New Roman"/>
            <w:lang w:val="en-US"/>
          </w:rPr>
          <w:t>https://doi.org/10.5751/ES-03610-150420</w:t>
        </w:r>
      </w:hyperlink>
    </w:p>
    <w:p w14:paraId="1CC3C921"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lang w:val="en-US"/>
        </w:rPr>
        <w:t xml:space="preserve">Freire, P. (1970). Pedagogy of the oppressed. </w:t>
      </w:r>
      <w:r w:rsidRPr="007D4BCA">
        <w:rPr>
          <w:rFonts w:ascii="Arial Narrow" w:hAnsi="Arial Narrow" w:cs="Times New Roman"/>
        </w:rPr>
        <w:t>Continuum.</w:t>
      </w:r>
    </w:p>
    <w:p w14:paraId="1E07BE79"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rPr>
        <w:t xml:space="preserve">Instituto de Hidrología, Meteorología y Estudios Ambientales (IDEAM). (2023). </w:t>
      </w:r>
      <w:r w:rsidRPr="007D4BCA">
        <w:rPr>
          <w:rFonts w:ascii="Arial Narrow" w:hAnsi="Arial Narrow" w:cs="Times New Roman"/>
          <w:i/>
          <w:iCs/>
        </w:rPr>
        <w:t>Estudio Nacional del Agua 2022</w:t>
      </w:r>
      <w:r w:rsidRPr="007D4BCA">
        <w:rPr>
          <w:rFonts w:ascii="Arial Narrow" w:hAnsi="Arial Narrow" w:cs="Times New Roman"/>
        </w:rPr>
        <w:t xml:space="preserve">. IDEAM. </w:t>
      </w:r>
      <w:hyperlink r:id="rId13" w:history="1">
        <w:r w:rsidRPr="007D4BCA">
          <w:rPr>
            <w:rStyle w:val="Hipervnculo"/>
            <w:rFonts w:ascii="Arial Narrow" w:hAnsi="Arial Narrow" w:cs="Times New Roman"/>
          </w:rPr>
          <w:t>https://www.ideam.gov.co/sala-de-prensa/informes/Estudios%20nacionales%20del%20agua</w:t>
        </w:r>
      </w:hyperlink>
    </w:p>
    <w:p w14:paraId="2A22E660"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rPr>
        <w:t>Instituto de Hidrología, Meteorología y Estudios Ambientales (IDEAM). (2024). Información climática y ambiental de Colombia.</w:t>
      </w:r>
      <w:r w:rsidRPr="007D4BCA">
        <w:rPr>
          <w:rStyle w:val="Hipervnculo"/>
          <w:rFonts w:ascii="Arial Narrow" w:hAnsi="Arial Narrow" w:cs="Times New Roman"/>
        </w:rPr>
        <w:t xml:space="preserve"> </w:t>
      </w:r>
      <w:hyperlink r:id="rId14" w:history="1">
        <w:r w:rsidRPr="007D4BCA">
          <w:rPr>
            <w:rStyle w:val="Hipervnculo"/>
            <w:rFonts w:ascii="Arial Narrow" w:hAnsi="Arial Narrow" w:cs="Times New Roman"/>
          </w:rPr>
          <w:t>https://www.ideam.gov.co</w:t>
        </w:r>
      </w:hyperlink>
    </w:p>
    <w:p w14:paraId="17ECB01E" w14:textId="77777777" w:rsidR="007D4BCA" w:rsidRPr="007D4BCA" w:rsidRDefault="007D4BCA" w:rsidP="007D4BCA">
      <w:pPr>
        <w:autoSpaceDE w:val="0"/>
        <w:autoSpaceDN w:val="0"/>
        <w:spacing w:after="0" w:line="276" w:lineRule="auto"/>
        <w:ind w:left="482" w:hanging="482"/>
        <w:rPr>
          <w:rFonts w:ascii="Arial Narrow" w:hAnsi="Arial Narrow"/>
          <w:lang w:val="en-US"/>
        </w:rPr>
      </w:pPr>
      <w:r w:rsidRPr="007D4BCA">
        <w:rPr>
          <w:rFonts w:ascii="Arial Narrow" w:hAnsi="Arial Narrow" w:cs="Times New Roman"/>
          <w:lang w:val="en-US"/>
        </w:rPr>
        <w:t xml:space="preserve">Intergovernmental Panel on Climate Change (IPCC). (2022). Climate change 2022: Impacts, adaptation and vulnerability (Contribution of Working Group II to the Sixth Assessment Report). Cambridge University Press. </w:t>
      </w:r>
      <w:hyperlink r:id="rId15" w:tgtFrame="_new" w:history="1">
        <w:r w:rsidRPr="007D4BCA">
          <w:rPr>
            <w:rStyle w:val="Hipervnculo"/>
            <w:rFonts w:ascii="Arial Narrow" w:hAnsi="Arial Narrow" w:cs="Times New Roman"/>
            <w:lang w:val="en-US"/>
          </w:rPr>
          <w:t>https://www.ipcc.ch/report/ar6/wg2/</w:t>
        </w:r>
      </w:hyperlink>
    </w:p>
    <w:p w14:paraId="6E2D2E0F" w14:textId="77777777" w:rsidR="007D4BCA" w:rsidRPr="007D4BCA" w:rsidRDefault="007D4BCA" w:rsidP="007D4BCA">
      <w:pPr>
        <w:autoSpaceDE w:val="0"/>
        <w:autoSpaceDN w:val="0"/>
        <w:spacing w:after="0" w:line="276" w:lineRule="auto"/>
        <w:ind w:left="482" w:hanging="482"/>
        <w:rPr>
          <w:rStyle w:val="Hipervnculo"/>
          <w:rFonts w:ascii="Arial Narrow" w:hAnsi="Arial Narrow" w:cs="Times New Roman"/>
          <w:lang w:val="en-US"/>
        </w:rPr>
      </w:pPr>
      <w:r w:rsidRPr="007D4BCA">
        <w:rPr>
          <w:rFonts w:ascii="Arial Narrow" w:hAnsi="Arial Narrow" w:cs="Times New Roman"/>
          <w:lang w:val="en-US"/>
        </w:rPr>
        <w:t xml:space="preserve">Intergovernmental Panel on Climate Change (IPCC). (2023). Climate change 2023: Synthesis report of the Sixth Assessment Report. IPCC. </w:t>
      </w:r>
      <w:hyperlink r:id="rId16" w:history="1">
        <w:r w:rsidRPr="007D4BCA">
          <w:rPr>
            <w:rStyle w:val="Hipervnculo"/>
            <w:rFonts w:ascii="Arial Narrow" w:hAnsi="Arial Narrow" w:cs="Times New Roman"/>
            <w:lang w:val="en-US"/>
          </w:rPr>
          <w:t>https://apps.ipcc.ch/report/ar6/syr/</w:t>
        </w:r>
      </w:hyperlink>
    </w:p>
    <w:p w14:paraId="564CFA5F"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7D4BCA">
        <w:rPr>
          <w:rFonts w:ascii="Arial Narrow" w:hAnsi="Arial Narrow" w:cs="Times New Roman"/>
          <w:lang w:val="en-US"/>
        </w:rPr>
        <w:t xml:space="preserve">Issac, J., &amp; Newell, R. (2025). </w:t>
      </w:r>
      <w:r w:rsidRPr="007D4BCA">
        <w:rPr>
          <w:rFonts w:ascii="Arial Narrow" w:hAnsi="Arial Narrow" w:cs="Times New Roman"/>
          <w:i/>
          <w:iCs/>
          <w:lang w:val="en-US"/>
        </w:rPr>
        <w:t xml:space="preserve">Integrating stakeholder knowledge through a participatory approach and semi-quantitative analysis for local watershed </w:t>
      </w:r>
      <w:r w:rsidRPr="007D4BCA">
        <w:rPr>
          <w:rFonts w:ascii="Arial Narrow" w:hAnsi="Arial Narrow" w:cs="Times New Roman"/>
          <w:i/>
          <w:iCs/>
          <w:lang w:val="en-US"/>
        </w:rPr>
        <w:lastRenderedPageBreak/>
        <w:t>management</w:t>
      </w:r>
      <w:r w:rsidRPr="007D4BCA">
        <w:rPr>
          <w:rFonts w:ascii="Arial Narrow" w:hAnsi="Arial Narrow" w:cs="Times New Roman"/>
          <w:lang w:val="en-US"/>
        </w:rPr>
        <w:t xml:space="preserve">. Systems, 13(5), 364. </w:t>
      </w:r>
      <w:hyperlink r:id="rId17" w:tgtFrame="_new" w:history="1">
        <w:r w:rsidRPr="007D4BCA">
          <w:rPr>
            <w:rStyle w:val="Hipervnculo"/>
            <w:rFonts w:ascii="Arial Narrow" w:hAnsi="Arial Narrow" w:cs="Times New Roman"/>
            <w:lang w:val="en-US"/>
          </w:rPr>
          <w:t>https://doi.org/10.3390/systems13050364</w:t>
        </w:r>
      </w:hyperlink>
    </w:p>
    <w:p w14:paraId="622DF157"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7D4BCA">
        <w:rPr>
          <w:rFonts w:ascii="Arial Narrow" w:hAnsi="Arial Narrow" w:cs="Times New Roman"/>
          <w:lang w:val="en-US"/>
        </w:rPr>
        <w:t xml:space="preserve">Johnson, N., Ravnborg, H. M., Westermann, O., &amp; Probst, K. (2002). </w:t>
      </w:r>
      <w:r w:rsidRPr="007D4BCA">
        <w:rPr>
          <w:rFonts w:ascii="Arial Narrow" w:hAnsi="Arial Narrow" w:cs="Times New Roman"/>
          <w:i/>
          <w:iCs/>
          <w:lang w:val="en-US"/>
        </w:rPr>
        <w:t>User participation in watershed management and research</w:t>
      </w:r>
      <w:r w:rsidRPr="007D4BCA">
        <w:rPr>
          <w:rFonts w:ascii="Arial Narrow" w:hAnsi="Arial Narrow" w:cs="Times New Roman"/>
          <w:lang w:val="en-US"/>
        </w:rPr>
        <w:t xml:space="preserve">. Water Policy, 4(6), 507–525. </w:t>
      </w:r>
      <w:hyperlink r:id="rId18" w:tgtFrame="_new" w:history="1">
        <w:r w:rsidRPr="007D4BCA">
          <w:rPr>
            <w:rStyle w:val="Hipervnculo"/>
            <w:rFonts w:ascii="Arial Narrow" w:hAnsi="Arial Narrow" w:cs="Times New Roman"/>
            <w:lang w:val="en-US"/>
          </w:rPr>
          <w:t>https://doi.org/10.1016/S1366-7017(02)00014-4</w:t>
        </w:r>
      </w:hyperlink>
    </w:p>
    <w:p w14:paraId="179086DA"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lang w:val="en-US"/>
        </w:rPr>
        <w:t>Kolmos, A., de Graaff, E., &amp; Du, X. (2009). Diversity of PBL: - PBL Learning Principles and Models. In X. Du, P. de Graaff, &amp; A. Kolmos (Eds.), </w:t>
      </w:r>
      <w:r w:rsidRPr="007D4BCA">
        <w:rPr>
          <w:rFonts w:ascii="Arial Narrow" w:hAnsi="Arial Narrow" w:cs="Times New Roman"/>
          <w:i/>
          <w:iCs/>
          <w:lang w:val="en-US"/>
        </w:rPr>
        <w:t>Research on PBL Practice in Engineering Education </w:t>
      </w:r>
      <w:r w:rsidRPr="007D4BCA">
        <w:rPr>
          <w:rFonts w:ascii="Arial Narrow" w:hAnsi="Arial Narrow" w:cs="Times New Roman"/>
          <w:lang w:val="en-US"/>
        </w:rPr>
        <w:t xml:space="preserve">(pp. 9-21). </w:t>
      </w:r>
      <w:r w:rsidRPr="007D4BCA">
        <w:rPr>
          <w:rFonts w:ascii="Arial Narrow" w:hAnsi="Arial Narrow" w:cs="Times New Roman"/>
        </w:rPr>
        <w:t>Brill | Sense.</w:t>
      </w:r>
    </w:p>
    <w:p w14:paraId="1E92106B" w14:textId="77777777" w:rsidR="007D4BCA" w:rsidRPr="007D4BCA" w:rsidRDefault="007D4BCA" w:rsidP="007D4BCA">
      <w:pPr>
        <w:autoSpaceDE w:val="0"/>
        <w:autoSpaceDN w:val="0"/>
        <w:spacing w:after="0" w:line="276" w:lineRule="auto"/>
        <w:ind w:left="482" w:hanging="482"/>
        <w:rPr>
          <w:rFonts w:ascii="Arial Narrow" w:hAnsi="Arial Narrow"/>
          <w:lang w:val="en-US"/>
        </w:rPr>
      </w:pPr>
      <w:r w:rsidRPr="007D4BCA">
        <w:rPr>
          <w:rFonts w:ascii="Arial Narrow" w:hAnsi="Arial Narrow" w:cs="Times New Roman"/>
        </w:rPr>
        <w:t xml:space="preserve">Ministerio de Vivienda, Ciudad y Territorio. (2017). Resolución 0330 de 2017, por la cual se adopta el Reglamento Técnico del Sector de Agua Potable y Saneamiento Básico – RAS. </w:t>
      </w:r>
      <w:hyperlink r:id="rId19" w:history="1">
        <w:r w:rsidRPr="007D4BCA">
          <w:rPr>
            <w:rStyle w:val="Hipervnculo"/>
            <w:rFonts w:ascii="Arial Narrow" w:hAnsi="Arial Narrow" w:cs="Times New Roman"/>
            <w:lang w:val="en-US"/>
          </w:rPr>
          <w:t>https://www.minvivienda.gov.co</w:t>
        </w:r>
      </w:hyperlink>
    </w:p>
    <w:p w14:paraId="648CADB0"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7D4BCA">
        <w:rPr>
          <w:rFonts w:ascii="Arial Narrow" w:hAnsi="Arial Narrow" w:cs="Times New Roman"/>
          <w:lang w:val="en-US"/>
        </w:rPr>
        <w:t>Moyano-Salcedo, A. J., Estévez, E., Salvadó, H., Barquín, J., &amp; Prat, N. (2023).</w:t>
      </w:r>
      <w:r w:rsidRPr="007D4BCA">
        <w:rPr>
          <w:rFonts w:ascii="Arial Narrow" w:hAnsi="Arial Narrow" w:cs="Times New Roman"/>
          <w:lang w:val="en-US"/>
        </w:rPr>
        <w:br/>
        <w:t xml:space="preserve">Human activities disrupt the temporal dynamics of salinity in Spanish rivers. </w:t>
      </w:r>
      <w:r w:rsidRPr="007D4BCA">
        <w:rPr>
          <w:rFonts w:ascii="Arial Narrow" w:hAnsi="Arial Narrow" w:cs="Times New Roman"/>
          <w:i/>
          <w:iCs/>
          <w:lang w:val="en-US"/>
        </w:rPr>
        <w:t>Hydrobiologia, 850</w:t>
      </w:r>
      <w:r w:rsidRPr="007D4BCA">
        <w:rPr>
          <w:rFonts w:ascii="Arial Narrow" w:hAnsi="Arial Narrow" w:cs="Times New Roman"/>
          <w:lang w:val="en-US"/>
        </w:rPr>
        <w:t>, 4531–4546.</w:t>
      </w:r>
      <w:r w:rsidRPr="007D4BCA">
        <w:rPr>
          <w:rFonts w:ascii="Arial Narrow" w:hAnsi="Arial Narrow" w:cs="Times New Roman"/>
          <w:lang w:val="en-US"/>
        </w:rPr>
        <w:br/>
      </w:r>
      <w:hyperlink r:id="rId20" w:tgtFrame="_new" w:history="1">
        <w:r w:rsidRPr="007D4BCA">
          <w:rPr>
            <w:rStyle w:val="Hipervnculo"/>
            <w:rFonts w:ascii="Arial Narrow" w:hAnsi="Arial Narrow" w:cs="Times New Roman"/>
            <w:lang w:val="en-US"/>
          </w:rPr>
          <w:t>https://doi.org/10.1007/s10750-022-05063-9</w:t>
        </w:r>
      </w:hyperlink>
      <w:r w:rsidRPr="007D4BCA">
        <w:rPr>
          <w:rFonts w:ascii="Arial Narrow" w:hAnsi="Arial Narrow" w:cs="Times New Roman"/>
          <w:lang w:val="en-US"/>
        </w:rPr>
        <w:t xml:space="preserve"> </w:t>
      </w:r>
    </w:p>
    <w:p w14:paraId="03F02A75"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lang w:val="en-US"/>
        </w:rPr>
        <w:t xml:space="preserve">Moyano-Salcedo, A. J., Piana, T., Crabot, J., Kefford, B. J., Berger, E., Arnott, S. E., Thorslund, J., Meybeck, M., Kaushal, S. S., Schäfer, R. B., &amp; Cañedo-Argüelles, M. (2025). GLOBal river SALiniTy and associated ions (GlobSalt). </w:t>
      </w:r>
      <w:r w:rsidRPr="007D4BCA">
        <w:rPr>
          <w:rFonts w:ascii="Arial Narrow" w:hAnsi="Arial Narrow" w:cs="Times New Roman"/>
          <w:i/>
          <w:iCs/>
          <w:lang w:val="en-US"/>
        </w:rPr>
        <w:t>Scientific Reports, 15</w:t>
      </w:r>
      <w:r w:rsidRPr="007D4BCA">
        <w:rPr>
          <w:rFonts w:ascii="Arial Narrow" w:hAnsi="Arial Narrow" w:cs="Times New Roman"/>
          <w:lang w:val="en-US"/>
        </w:rPr>
        <w:t>, Article 18701.</w:t>
      </w:r>
      <w:r w:rsidRPr="007D4BCA">
        <w:rPr>
          <w:rFonts w:ascii="Arial Narrow" w:hAnsi="Arial Narrow" w:cs="Times New Roman"/>
          <w:lang w:val="en-US"/>
        </w:rPr>
        <w:br/>
      </w:r>
      <w:hyperlink r:id="rId21" w:history="1">
        <w:r w:rsidRPr="007D4BCA">
          <w:rPr>
            <w:rStyle w:val="Hipervnculo"/>
            <w:rFonts w:ascii="Arial Narrow" w:hAnsi="Arial Narrow" w:cs="Times New Roman"/>
          </w:rPr>
          <w:t>https://doi.org/10.1038/s41598-025-18701-x</w:t>
        </w:r>
      </w:hyperlink>
    </w:p>
    <w:p w14:paraId="2F998519"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rPr>
        <w:t xml:space="preserve">Naciones Unidas. (2015). </w:t>
      </w:r>
      <w:r w:rsidRPr="007D4BCA">
        <w:rPr>
          <w:rFonts w:ascii="Arial Narrow" w:hAnsi="Arial Narrow" w:cs="Times New Roman"/>
          <w:i/>
          <w:iCs/>
        </w:rPr>
        <w:t>Acuerdo de París</w:t>
      </w:r>
      <w:r w:rsidRPr="007D4BCA">
        <w:rPr>
          <w:rFonts w:ascii="Arial Narrow" w:hAnsi="Arial Narrow" w:cs="Times New Roman"/>
        </w:rPr>
        <w:t xml:space="preserve">. Convención Marco de las Naciones Unidas sobre el Cambio Climático. </w:t>
      </w:r>
      <w:hyperlink r:id="rId22" w:tgtFrame="_new" w:history="1">
        <w:r w:rsidRPr="007D4BCA">
          <w:rPr>
            <w:rStyle w:val="Hipervnculo"/>
            <w:rFonts w:ascii="Arial Narrow" w:hAnsi="Arial Narrow" w:cs="Times New Roman"/>
          </w:rPr>
          <w:t>https://unfccc.int/process-and-meetings/the-paris-agreement/the-paris-agreement</w:t>
        </w:r>
      </w:hyperlink>
    </w:p>
    <w:p w14:paraId="2F93EB92"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7D4BCA">
        <w:rPr>
          <w:rFonts w:ascii="Arial Narrow" w:hAnsi="Arial Narrow" w:cs="Times New Roman"/>
        </w:rPr>
        <w:t xml:space="preserve">Nauditt, A., Stahl, K., Rodríguez, E., Birkel, C., Formiga-Johnsson, R. M., Kallio, M., Ribbe, L., Baez-Villanueva, O. M., Thurner, J., &amp; Hann, H. (2022). </w:t>
      </w:r>
      <w:r w:rsidRPr="007D4BCA">
        <w:rPr>
          <w:rFonts w:ascii="Arial Narrow" w:hAnsi="Arial Narrow" w:cs="Times New Roman"/>
          <w:i/>
          <w:iCs/>
          <w:lang w:val="en-US"/>
        </w:rPr>
        <w:t xml:space="preserve">Evaluating tropical drought risk by combining open </w:t>
      </w:r>
      <w:r w:rsidRPr="007D4BCA">
        <w:rPr>
          <w:rFonts w:ascii="Arial Narrow" w:hAnsi="Arial Narrow" w:cs="Times New Roman"/>
          <w:i/>
          <w:iCs/>
          <w:lang w:val="en-US"/>
        </w:rPr>
        <w:t>access gridded vulnerability and hazard data products</w:t>
      </w:r>
      <w:r w:rsidRPr="007D4BCA">
        <w:rPr>
          <w:rFonts w:ascii="Arial Narrow" w:hAnsi="Arial Narrow" w:cs="Times New Roman"/>
          <w:lang w:val="en-US"/>
        </w:rPr>
        <w:t xml:space="preserve">. Science of the Total Environment, 822, 153493. </w:t>
      </w:r>
      <w:hyperlink r:id="rId23" w:tgtFrame="_new" w:history="1">
        <w:r w:rsidRPr="007D4BCA">
          <w:rPr>
            <w:rStyle w:val="Hipervnculo"/>
            <w:rFonts w:ascii="Arial Narrow" w:hAnsi="Arial Narrow" w:cs="Times New Roman"/>
            <w:lang w:val="en-US"/>
          </w:rPr>
          <w:t>https://doi.org/10.1016/j.scitotenv.2022.153493</w:t>
        </w:r>
      </w:hyperlink>
    </w:p>
    <w:p w14:paraId="58C1118F"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7D4BCA">
        <w:rPr>
          <w:rFonts w:ascii="Arial Narrow" w:hAnsi="Arial Narrow" w:cs="Times New Roman"/>
          <w:lang w:val="en-US"/>
        </w:rPr>
        <w:t xml:space="preserve">Navarro-Soria, I., Berrutti-Acquadro, V. A., Aldeguer-Pérez, A., Heliz-Llopis, J. R., Delgado-Domenech, B., Mañas-Viejo, C. R., Fernández-Carrasco, F., Lavigne-Cervan, R., Collado-Valero, J., &amp; Sánchez-Moreno, M. (2024). </w:t>
      </w:r>
      <w:r w:rsidRPr="007D4BCA">
        <w:rPr>
          <w:rFonts w:ascii="Arial Narrow" w:hAnsi="Arial Narrow" w:cs="Times New Roman"/>
          <w:i/>
          <w:iCs/>
        </w:rPr>
        <w:t>La eficacia del ABP en la experiencia universitaria: Un análisis desde la perspectiva del alumnado</w:t>
      </w:r>
      <w:r w:rsidRPr="007D4BCA">
        <w:rPr>
          <w:rFonts w:ascii="Arial Narrow" w:hAnsi="Arial Narrow" w:cs="Times New Roman"/>
        </w:rPr>
        <w:t xml:space="preserve">. </w:t>
      </w:r>
      <w:r w:rsidRPr="007D4BCA">
        <w:rPr>
          <w:rFonts w:ascii="Arial Narrow" w:hAnsi="Arial Narrow" w:cs="Times New Roman"/>
          <w:lang w:val="en-US"/>
        </w:rPr>
        <w:t xml:space="preserve">Education in the Knowledge Society, 25, e31706. </w:t>
      </w:r>
      <w:hyperlink r:id="rId24" w:tgtFrame="_new" w:history="1">
        <w:r w:rsidRPr="007D4BCA">
          <w:rPr>
            <w:rStyle w:val="Hipervnculo"/>
            <w:rFonts w:ascii="Arial Narrow" w:hAnsi="Arial Narrow" w:cs="Times New Roman"/>
            <w:lang w:val="en-US"/>
          </w:rPr>
          <w:t>https://doi.org/10.14201/eks.31706</w:t>
        </w:r>
      </w:hyperlink>
    </w:p>
    <w:p w14:paraId="01CB8CC5"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7D4BCA">
        <w:rPr>
          <w:rFonts w:ascii="Arial Narrow" w:hAnsi="Arial Narrow" w:cs="Times New Roman"/>
          <w:lang w:val="en-US"/>
        </w:rPr>
        <w:t>Ostrom, E. (2009). A general framework for analyzing sustainability of social-ecological systems. Science, 325(5939), 419–422</w:t>
      </w:r>
      <w:r w:rsidRPr="007D4BCA">
        <w:rPr>
          <w:rStyle w:val="Hipervnculo"/>
          <w:rFonts w:ascii="Arial Narrow" w:hAnsi="Arial Narrow" w:cs="Times New Roman"/>
          <w:lang w:val="en-US"/>
        </w:rPr>
        <w:t xml:space="preserve">. </w:t>
      </w:r>
      <w:hyperlink r:id="rId25" w:tgtFrame="_new" w:history="1">
        <w:r w:rsidRPr="007D4BCA">
          <w:rPr>
            <w:rStyle w:val="Hipervnculo"/>
            <w:rFonts w:ascii="Arial Narrow" w:hAnsi="Arial Narrow" w:cs="Times New Roman"/>
            <w:lang w:val="en-US"/>
          </w:rPr>
          <w:t>https://doi.org/10.1126/science.1172133</w:t>
        </w:r>
      </w:hyperlink>
    </w:p>
    <w:p w14:paraId="78E411AB" w14:textId="77777777" w:rsidR="007D4BCA" w:rsidRPr="007D4BCA" w:rsidRDefault="007D4BCA" w:rsidP="007D4BCA">
      <w:pPr>
        <w:autoSpaceDE w:val="0"/>
        <w:autoSpaceDN w:val="0"/>
        <w:spacing w:after="0" w:line="276" w:lineRule="auto"/>
        <w:ind w:left="482" w:hanging="482"/>
        <w:rPr>
          <w:rFonts w:ascii="Arial Narrow" w:hAnsi="Arial Narrow"/>
          <w:lang w:val="en-US"/>
        </w:rPr>
      </w:pPr>
      <w:r w:rsidRPr="007D4BCA">
        <w:rPr>
          <w:rFonts w:ascii="Arial Narrow" w:hAnsi="Arial Narrow" w:cs="Times New Roman"/>
          <w:lang w:val="en-US"/>
        </w:rPr>
        <w:t xml:space="preserve">Phillips, O. L., Aragão, L. E. O. C., Lewis, S. L., Fisher, J. B., Lloyd, J., López-González, G., Malhi, Y., Monteagudo, A., Peacock, J., et al. (2009). Drought sensitivity of the Amazon rainforest. Science, 323, 1344–1347. </w:t>
      </w:r>
      <w:hyperlink r:id="rId26" w:history="1">
        <w:r w:rsidRPr="007D4BCA">
          <w:rPr>
            <w:rStyle w:val="Hipervnculo"/>
            <w:rFonts w:ascii="Arial Narrow" w:hAnsi="Arial Narrow" w:cs="Times New Roman"/>
            <w:lang w:val="en-US"/>
          </w:rPr>
          <w:t>https://doi.org/10.1126/science.1164033</w:t>
        </w:r>
      </w:hyperlink>
    </w:p>
    <w:p w14:paraId="6086BE7D" w14:textId="77777777" w:rsidR="007D4BCA" w:rsidRPr="007D4BCA" w:rsidRDefault="007D4BCA" w:rsidP="007D4BCA">
      <w:pPr>
        <w:autoSpaceDE w:val="0"/>
        <w:autoSpaceDN w:val="0"/>
        <w:spacing w:after="0" w:line="276" w:lineRule="auto"/>
        <w:ind w:left="482" w:hanging="482"/>
        <w:rPr>
          <w:rFonts w:ascii="Arial Narrow" w:hAnsi="Arial Narrow"/>
        </w:rPr>
      </w:pPr>
      <w:r w:rsidRPr="007D4BCA">
        <w:rPr>
          <w:rFonts w:ascii="Arial Narrow" w:hAnsi="Arial Narrow"/>
        </w:rPr>
        <w:t xml:space="preserve">República de Colombia. Ministerio de Educación Nacional. (2019). </w:t>
      </w:r>
      <w:r w:rsidRPr="007D4BCA">
        <w:rPr>
          <w:rFonts w:ascii="Arial Narrow" w:hAnsi="Arial Narrow"/>
          <w:i/>
          <w:iCs/>
        </w:rPr>
        <w:t>Decreto 1330 de 2019 por el cual se sustituyen disposiciones del Decreto 1075 de 2015 en materia de aseguramiento de la calidad de la educación superior</w:t>
      </w:r>
      <w:r w:rsidRPr="007D4BCA">
        <w:rPr>
          <w:rFonts w:ascii="Arial Narrow" w:hAnsi="Arial Narrow"/>
        </w:rPr>
        <w:t xml:space="preserve">. </w:t>
      </w:r>
      <w:hyperlink r:id="rId27" w:history="1">
        <w:r w:rsidRPr="007D4BCA">
          <w:rPr>
            <w:rStyle w:val="Hipervnculo"/>
            <w:rFonts w:ascii="Arial Narrow" w:hAnsi="Arial Narrow"/>
          </w:rPr>
          <w:t>https://www.funcionpublica.gov.co/eva/gestornormativo/norma.php?i=90395</w:t>
        </w:r>
      </w:hyperlink>
    </w:p>
    <w:p w14:paraId="2C46AB6F" w14:textId="77777777" w:rsidR="007D4BCA" w:rsidRPr="007D4BCA" w:rsidRDefault="007D4BCA" w:rsidP="007D4BCA">
      <w:pPr>
        <w:autoSpaceDE w:val="0"/>
        <w:autoSpaceDN w:val="0"/>
        <w:spacing w:after="0" w:line="276" w:lineRule="auto"/>
        <w:ind w:left="482" w:hanging="482"/>
        <w:rPr>
          <w:rFonts w:ascii="Arial Narrow" w:hAnsi="Arial Narrow"/>
        </w:rPr>
      </w:pPr>
      <w:r w:rsidRPr="007D4BCA">
        <w:rPr>
          <w:rFonts w:ascii="Arial Narrow" w:hAnsi="Arial Narrow"/>
        </w:rPr>
        <w:t xml:space="preserve">República de Colombia. Ministerio de Educación Nacional. (2024). </w:t>
      </w:r>
      <w:r w:rsidRPr="007D4BCA">
        <w:rPr>
          <w:rFonts w:ascii="Arial Narrow" w:hAnsi="Arial Narrow"/>
          <w:i/>
          <w:iCs/>
        </w:rPr>
        <w:t>Decreto 0529 de 2024 por el cual se modifican disposiciones del Decreto 1075 de 2015 en materia de registro calificado y aseguramiento de la calidad de la educación superior</w:t>
      </w:r>
      <w:r w:rsidRPr="007D4BCA">
        <w:rPr>
          <w:rFonts w:ascii="Arial Narrow" w:hAnsi="Arial Narrow"/>
        </w:rPr>
        <w:t xml:space="preserve">. </w:t>
      </w:r>
      <w:hyperlink r:id="rId28" w:tgtFrame="_new" w:history="1">
        <w:r w:rsidRPr="007D4BCA">
          <w:rPr>
            <w:rStyle w:val="Hipervnculo"/>
            <w:rFonts w:ascii="Arial Narrow" w:hAnsi="Arial Narrow"/>
          </w:rPr>
          <w:t>https://www.funcionpublica.gov.co/eva/gestornormativo/norma.php?i=238936</w:t>
        </w:r>
      </w:hyperlink>
    </w:p>
    <w:p w14:paraId="2E2B9BFD"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7D4BCA">
        <w:rPr>
          <w:rFonts w:ascii="Arial Narrow" w:hAnsi="Arial Narrow" w:cs="Times New Roman"/>
        </w:rPr>
        <w:t xml:space="preserve">Rodríguez, E., Sánchez, I., Duque, N., Arboleda, P., Vega, C., Zamora, D., López, P., Kaune, A., Werner, M., García, C., &amp; Burke, S. (2020). </w:t>
      </w:r>
      <w:r w:rsidRPr="007D4BCA">
        <w:rPr>
          <w:rFonts w:ascii="Arial Narrow" w:hAnsi="Arial Narrow" w:cs="Times New Roman"/>
          <w:i/>
          <w:iCs/>
          <w:lang w:val="en-US"/>
        </w:rPr>
        <w:t xml:space="preserve">Combined use of local </w:t>
      </w:r>
      <w:r w:rsidRPr="007D4BCA">
        <w:rPr>
          <w:rFonts w:ascii="Arial Narrow" w:hAnsi="Arial Narrow" w:cs="Times New Roman"/>
          <w:i/>
          <w:iCs/>
          <w:lang w:val="en-US"/>
        </w:rPr>
        <w:lastRenderedPageBreak/>
        <w:t>and global hydro-meteorological data with hydrological models for water resources management in the Magdalena–Cauca macro basin, Colombia</w:t>
      </w:r>
      <w:r w:rsidRPr="007D4BCA">
        <w:rPr>
          <w:rFonts w:ascii="Arial Narrow" w:hAnsi="Arial Narrow" w:cs="Times New Roman"/>
          <w:lang w:val="en-US"/>
        </w:rPr>
        <w:t xml:space="preserve">. Water Resources Management, 34, 2179–2199. </w:t>
      </w:r>
      <w:hyperlink r:id="rId29" w:tgtFrame="_new" w:history="1">
        <w:r w:rsidRPr="007D4BCA">
          <w:rPr>
            <w:rStyle w:val="Hipervnculo"/>
            <w:rFonts w:ascii="Arial Narrow" w:hAnsi="Arial Narrow" w:cs="Times New Roman"/>
            <w:lang w:val="en-US"/>
          </w:rPr>
          <w:t>https://doi.org/10.1007/s11269-019-02236-5</w:t>
        </w:r>
      </w:hyperlink>
    </w:p>
    <w:p w14:paraId="5A0C0A81"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7D4BCA">
        <w:rPr>
          <w:rFonts w:ascii="Arial Narrow" w:hAnsi="Arial Narrow" w:cs="Times New Roman"/>
          <w:lang w:val="en-US"/>
        </w:rPr>
        <w:t xml:space="preserve">Sharifi, M. A., &amp; Rodríguez, E. (2002). </w:t>
      </w:r>
      <w:r w:rsidRPr="007D4BCA">
        <w:rPr>
          <w:rFonts w:ascii="Arial Narrow" w:hAnsi="Arial Narrow" w:cs="Times New Roman"/>
          <w:i/>
          <w:iCs/>
          <w:lang w:val="en-US"/>
        </w:rPr>
        <w:t>Design and development of a planning support system for policy formulation in water resources rehabilitation: The case of Alcázar de San Juan District in Aquifer 23, La Mancha, Spain</w:t>
      </w:r>
      <w:r w:rsidRPr="007D4BCA">
        <w:rPr>
          <w:rFonts w:ascii="Arial Narrow" w:hAnsi="Arial Narrow" w:cs="Times New Roman"/>
          <w:lang w:val="en-US"/>
        </w:rPr>
        <w:t xml:space="preserve">. Journal of Hydroinformatics, 4(3), 157–175. </w:t>
      </w:r>
      <w:hyperlink r:id="rId30" w:tgtFrame="_new" w:history="1">
        <w:r w:rsidRPr="007D4BCA">
          <w:rPr>
            <w:rStyle w:val="Hipervnculo"/>
            <w:rFonts w:ascii="Arial Narrow" w:hAnsi="Arial Narrow" w:cs="Times New Roman"/>
            <w:lang w:val="en-US"/>
          </w:rPr>
          <w:t>https://doi.org/10.2166/hydro.2002.0017</w:t>
        </w:r>
      </w:hyperlink>
    </w:p>
    <w:p w14:paraId="1AFBEFA6" w14:textId="77777777" w:rsidR="007D4BCA" w:rsidRPr="007D4BCA" w:rsidRDefault="007D4BCA" w:rsidP="007D4BCA">
      <w:pPr>
        <w:autoSpaceDE w:val="0"/>
        <w:autoSpaceDN w:val="0"/>
        <w:spacing w:after="0" w:line="276" w:lineRule="auto"/>
        <w:ind w:left="482" w:hanging="482"/>
        <w:rPr>
          <w:rFonts w:ascii="Arial Narrow" w:hAnsi="Arial Narrow"/>
          <w:lang w:val="en-US"/>
        </w:rPr>
      </w:pPr>
      <w:r w:rsidRPr="007D4BCA">
        <w:rPr>
          <w:rFonts w:ascii="Arial Narrow" w:hAnsi="Arial Narrow" w:cs="Times New Roman"/>
          <w:lang w:val="en-US"/>
        </w:rPr>
        <w:t xml:space="preserve">Turner, B. L., Kasperson, R. E., Matson, P. A., McCarthy, J. J., Corell, R. W., Christensen, L., Eckley, N., Kasperson, J. X., Luers, A., Martello, M. L., Polsky, C., Pulsipher, A., &amp; Schiller, A. (2003). A framework for vulnerability analysis in sustainability science. Proceedings of the National Academy of Sciences, 100(14), 8074–8079. </w:t>
      </w:r>
      <w:hyperlink r:id="rId31" w:tgtFrame="_new" w:history="1">
        <w:r w:rsidRPr="007D4BCA">
          <w:rPr>
            <w:rStyle w:val="Hipervnculo"/>
            <w:rFonts w:ascii="Arial Narrow" w:hAnsi="Arial Narrow" w:cs="Times New Roman"/>
            <w:lang w:val="en-US"/>
          </w:rPr>
          <w:t>https://doi.org/10.1073/pnas.1231335100</w:t>
        </w:r>
      </w:hyperlink>
    </w:p>
    <w:p w14:paraId="4E2585A6"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7D4BCA">
        <w:rPr>
          <w:rFonts w:ascii="Arial Narrow" w:hAnsi="Arial Narrow" w:cs="Times New Roman"/>
          <w:lang w:val="en-US"/>
        </w:rPr>
        <w:t xml:space="preserve">UNDRR. (2015). Sendai framework for disaster risk reduction 2015–2030. United Nations Office for Disaster Risk Reduction. </w:t>
      </w:r>
      <w:hyperlink r:id="rId32" w:tgtFrame="_new" w:history="1">
        <w:r w:rsidRPr="007D4BCA">
          <w:rPr>
            <w:rFonts w:ascii="Arial Narrow" w:hAnsi="Arial Narrow" w:cs="Times New Roman"/>
            <w:lang w:val="en-US"/>
          </w:rPr>
          <w:t>https://www.undrr.org/publication/sendai-</w:t>
        </w:r>
        <w:r w:rsidRPr="007D4BCA">
          <w:rPr>
            <w:rFonts w:ascii="Arial Narrow" w:hAnsi="Arial Narrow" w:cs="Times New Roman"/>
            <w:lang w:val="en-US"/>
          </w:rPr>
          <w:t>framework-disaster-risk-reduction-2015-2030</w:t>
        </w:r>
      </w:hyperlink>
    </w:p>
    <w:p w14:paraId="1085230D" w14:textId="77777777" w:rsidR="007D4BCA" w:rsidRPr="007D4BCA" w:rsidRDefault="007D4BCA" w:rsidP="007D4BCA">
      <w:pPr>
        <w:autoSpaceDE w:val="0"/>
        <w:autoSpaceDN w:val="0"/>
        <w:spacing w:after="0" w:line="276" w:lineRule="auto"/>
        <w:ind w:left="482" w:hanging="482"/>
        <w:rPr>
          <w:rFonts w:ascii="Arial Narrow" w:hAnsi="Arial Narrow"/>
          <w:lang w:val="en-US"/>
        </w:rPr>
      </w:pPr>
      <w:r w:rsidRPr="007D4BCA">
        <w:rPr>
          <w:rFonts w:ascii="Arial Narrow" w:hAnsi="Arial Narrow" w:cs="Times New Roman"/>
          <w:lang w:val="en-US"/>
        </w:rPr>
        <w:t xml:space="preserve">UNESCO. (2023). United Nations world water development report 2023: Partnerships and cooperation for water. UNESCO Publishing. </w:t>
      </w:r>
      <w:hyperlink r:id="rId33" w:history="1">
        <w:r w:rsidRPr="007D4BCA">
          <w:rPr>
            <w:rStyle w:val="Hipervnculo"/>
            <w:rFonts w:ascii="Arial Narrow" w:hAnsi="Arial Narrow" w:cs="Times New Roman"/>
            <w:lang w:val="en-US"/>
          </w:rPr>
          <w:t>https://www.unesco.org/reports/wwdr/2023</w:t>
        </w:r>
      </w:hyperlink>
    </w:p>
    <w:p w14:paraId="5E9E52DB"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lang w:val="en-US"/>
        </w:rPr>
        <w:t xml:space="preserve">UNESCO. (2024). </w:t>
      </w:r>
      <w:r w:rsidRPr="007D4BCA">
        <w:rPr>
          <w:rFonts w:ascii="Arial Narrow" w:hAnsi="Arial Narrow" w:cs="Times New Roman"/>
          <w:i/>
          <w:iCs/>
          <w:lang w:val="en-US"/>
        </w:rPr>
        <w:t>Water security and sustainable development: Safe, accessible and well-managed water for all</w:t>
      </w:r>
      <w:r w:rsidRPr="007D4BCA">
        <w:rPr>
          <w:rFonts w:ascii="Arial Narrow" w:hAnsi="Arial Narrow" w:cs="Times New Roman"/>
          <w:lang w:val="en-US"/>
        </w:rPr>
        <w:t xml:space="preserve">. </w:t>
      </w:r>
      <w:r w:rsidRPr="007D4BCA">
        <w:rPr>
          <w:rFonts w:ascii="Arial Narrow" w:hAnsi="Arial Narrow" w:cs="Times New Roman"/>
        </w:rPr>
        <w:t xml:space="preserve">UNESCO Publishing. </w:t>
      </w:r>
      <w:hyperlink r:id="rId34" w:tgtFrame="_new" w:history="1">
        <w:r w:rsidRPr="007D4BCA">
          <w:rPr>
            <w:rStyle w:val="Hipervnculo"/>
            <w:rFonts w:ascii="Arial Narrow" w:hAnsi="Arial Narrow" w:cs="Times New Roman"/>
          </w:rPr>
          <w:t>https://unesdoc.unesco.org/ark:/48223/pf0000388950</w:t>
        </w:r>
      </w:hyperlink>
    </w:p>
    <w:p w14:paraId="7ADD910B" w14:textId="77777777" w:rsidR="007D4BCA" w:rsidRPr="007D4BCA" w:rsidRDefault="007D4BCA" w:rsidP="007D4BCA">
      <w:pPr>
        <w:autoSpaceDE w:val="0"/>
        <w:autoSpaceDN w:val="0"/>
        <w:spacing w:after="0" w:line="276" w:lineRule="auto"/>
        <w:ind w:left="482" w:hanging="482"/>
        <w:rPr>
          <w:rFonts w:ascii="Arial Narrow" w:hAnsi="Arial Narrow" w:cs="Times New Roman"/>
        </w:rPr>
      </w:pPr>
      <w:r w:rsidRPr="007D4BCA">
        <w:rPr>
          <w:rFonts w:ascii="Arial Narrow" w:hAnsi="Arial Narrow" w:cs="Times New Roman"/>
        </w:rPr>
        <w:t xml:space="preserve">Universidad Nacional de Colombia. (2025, 7 de noviembre). </w:t>
      </w:r>
      <w:r w:rsidRPr="007D4BCA">
        <w:rPr>
          <w:rFonts w:ascii="Arial Narrow" w:hAnsi="Arial Narrow" w:cs="Times New Roman"/>
          <w:i/>
          <w:iCs/>
        </w:rPr>
        <w:t>Material de apoyo – Armonización curricular</w:t>
      </w:r>
      <w:r w:rsidRPr="007D4BCA">
        <w:rPr>
          <w:rFonts w:ascii="Arial Narrow" w:hAnsi="Arial Narrow" w:cs="Times New Roman"/>
        </w:rPr>
        <w:t xml:space="preserve">. Dirección Académica, Sede Medellín. </w:t>
      </w:r>
      <w:hyperlink r:id="rId35" w:tgtFrame="_new" w:history="1">
        <w:r w:rsidRPr="007D4BCA">
          <w:rPr>
            <w:rStyle w:val="Hipervnculo"/>
            <w:rFonts w:ascii="Arial Narrow" w:hAnsi="Arial Narrow" w:cs="Times New Roman"/>
          </w:rPr>
          <w:t>https://direccionacademica.medellin.unal.edu.co/index.php/material-de-apoyo</w:t>
        </w:r>
      </w:hyperlink>
    </w:p>
    <w:p w14:paraId="21124C02" w14:textId="77777777" w:rsidR="007D4BCA" w:rsidRPr="007D4BCA" w:rsidRDefault="007D4BCA" w:rsidP="007D4BCA">
      <w:pPr>
        <w:autoSpaceDE w:val="0"/>
        <w:autoSpaceDN w:val="0"/>
        <w:spacing w:after="0" w:line="276" w:lineRule="auto"/>
        <w:ind w:left="482" w:hanging="482"/>
        <w:rPr>
          <w:rFonts w:ascii="Arial Narrow" w:hAnsi="Arial Narrow" w:cs="Times New Roman"/>
          <w:lang w:val="en-US"/>
        </w:rPr>
      </w:pPr>
      <w:r w:rsidRPr="007D4BCA">
        <w:rPr>
          <w:rFonts w:ascii="Arial Narrow" w:hAnsi="Arial Narrow" w:cs="Times New Roman"/>
          <w:lang w:val="en-US"/>
        </w:rPr>
        <w:t xml:space="preserve">UN-Water. (2023). Water and sanitation interlinkages across the 2030 Agenda. United Nations. </w:t>
      </w:r>
      <w:hyperlink r:id="rId36" w:tgtFrame="_new" w:history="1">
        <w:r w:rsidRPr="007D4BCA">
          <w:rPr>
            <w:rStyle w:val="Hipervnculo"/>
            <w:rFonts w:ascii="Arial Narrow" w:hAnsi="Arial Narrow" w:cs="Times New Roman"/>
            <w:lang w:val="en-US"/>
          </w:rPr>
          <w:t>https://www.unwater.org/publications</w:t>
        </w:r>
      </w:hyperlink>
    </w:p>
    <w:p w14:paraId="55FAA9B0" w14:textId="77777777" w:rsidR="007D4BCA" w:rsidRPr="007D4BCA" w:rsidRDefault="007D4BCA" w:rsidP="007D4BCA">
      <w:pPr>
        <w:autoSpaceDE w:val="0"/>
        <w:autoSpaceDN w:val="0"/>
        <w:spacing w:after="0" w:line="276" w:lineRule="auto"/>
        <w:ind w:left="482" w:hanging="482"/>
        <w:rPr>
          <w:rFonts w:ascii="Arial Narrow" w:hAnsi="Arial Narrow"/>
          <w:lang w:val="en-US"/>
        </w:rPr>
      </w:pPr>
      <w:r w:rsidRPr="007D4BCA">
        <w:rPr>
          <w:rFonts w:ascii="Arial Narrow" w:hAnsi="Arial Narrow" w:cs="Times New Roman"/>
          <w:lang w:val="en-US"/>
        </w:rPr>
        <w:t xml:space="preserve">Valencia, S., Villegas, J. C., Hoyos, N., Duque-Villegas, M., &amp; Salazar, J. F. (2024). </w:t>
      </w:r>
      <w:r w:rsidRPr="007D4BCA">
        <w:rPr>
          <w:rFonts w:ascii="Arial Narrow" w:hAnsi="Arial Narrow" w:cs="Times New Roman"/>
          <w:i/>
          <w:iCs/>
          <w:lang w:val="en-US"/>
        </w:rPr>
        <w:t>Streamflow response to land use/land cover change in the tropical Andes using multiple SWAT model variants</w:t>
      </w:r>
      <w:r w:rsidRPr="007D4BCA">
        <w:rPr>
          <w:rFonts w:ascii="Arial Narrow" w:hAnsi="Arial Narrow" w:cs="Times New Roman"/>
          <w:lang w:val="en-US"/>
        </w:rPr>
        <w:t xml:space="preserve">. Journal of Hydrology: Regional Studies, 54, 101888. </w:t>
      </w:r>
      <w:hyperlink r:id="rId37" w:tgtFrame="_new" w:history="1">
        <w:r w:rsidRPr="007D4BCA">
          <w:rPr>
            <w:rStyle w:val="Hipervnculo"/>
            <w:rFonts w:ascii="Arial Narrow" w:hAnsi="Arial Narrow" w:cs="Times New Roman"/>
            <w:lang w:val="en-US"/>
          </w:rPr>
          <w:t>https://doi.org/10.1016/j.ejrh.2024.101888</w:t>
        </w:r>
      </w:hyperlink>
    </w:p>
    <w:p w14:paraId="743BC3A8" w14:textId="77777777" w:rsidR="007D4BCA" w:rsidRDefault="007D4BCA" w:rsidP="00C0777E">
      <w:pPr>
        <w:spacing w:line="276" w:lineRule="auto"/>
        <w:jc w:val="both"/>
        <w:rPr>
          <w:rFonts w:ascii="Arial Narrow" w:hAnsi="Arial Narrow"/>
          <w:lang w:val="en-US"/>
        </w:rPr>
        <w:sectPr w:rsidR="007D4BCA" w:rsidSect="007D4BCA">
          <w:type w:val="continuous"/>
          <w:pgSz w:w="11906" w:h="16838"/>
          <w:pgMar w:top="1417" w:right="1701" w:bottom="1417" w:left="1701" w:header="708" w:footer="708" w:gutter="0"/>
          <w:cols w:num="2" w:space="708"/>
          <w:docGrid w:linePitch="360"/>
        </w:sectPr>
      </w:pPr>
    </w:p>
    <w:p w14:paraId="3942F6FE" w14:textId="77777777" w:rsidR="007D4BCA" w:rsidRPr="007D4BCA" w:rsidRDefault="007D4BCA" w:rsidP="00C0777E">
      <w:pPr>
        <w:spacing w:line="276" w:lineRule="auto"/>
        <w:jc w:val="both"/>
        <w:rPr>
          <w:rFonts w:ascii="Arial Narrow" w:hAnsi="Arial Narrow"/>
          <w:lang w:val="en-US"/>
        </w:rPr>
      </w:pPr>
    </w:p>
    <w:sectPr w:rsidR="007D4BCA" w:rsidRPr="007D4BCA" w:rsidSect="007D4BCA">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71940"/>
    <w:multiLevelType w:val="multilevel"/>
    <w:tmpl w:val="B2BEC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865E26"/>
    <w:multiLevelType w:val="multilevel"/>
    <w:tmpl w:val="21A8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8867A2"/>
    <w:multiLevelType w:val="multilevel"/>
    <w:tmpl w:val="FE246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C80771"/>
    <w:multiLevelType w:val="multilevel"/>
    <w:tmpl w:val="4320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C0268AF"/>
    <w:multiLevelType w:val="multilevel"/>
    <w:tmpl w:val="9D240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3689455">
    <w:abstractNumId w:val="4"/>
  </w:num>
  <w:num w:numId="2" w16cid:durableId="1602949782">
    <w:abstractNumId w:val="3"/>
  </w:num>
  <w:num w:numId="3" w16cid:durableId="904951263">
    <w:abstractNumId w:val="2"/>
  </w:num>
  <w:num w:numId="4" w16cid:durableId="1156845526">
    <w:abstractNumId w:val="1"/>
  </w:num>
  <w:num w:numId="5" w16cid:durableId="568154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D17"/>
    <w:rsid w:val="00007291"/>
    <w:rsid w:val="00042514"/>
    <w:rsid w:val="00045DA4"/>
    <w:rsid w:val="0005637E"/>
    <w:rsid w:val="00064310"/>
    <w:rsid w:val="00065EEA"/>
    <w:rsid w:val="00066A9D"/>
    <w:rsid w:val="000B00D4"/>
    <w:rsid w:val="000B62F9"/>
    <w:rsid w:val="000E3D17"/>
    <w:rsid w:val="00166875"/>
    <w:rsid w:val="001F441E"/>
    <w:rsid w:val="002118D2"/>
    <w:rsid w:val="002A647C"/>
    <w:rsid w:val="00316AEB"/>
    <w:rsid w:val="0034051B"/>
    <w:rsid w:val="00370C1E"/>
    <w:rsid w:val="003E01B2"/>
    <w:rsid w:val="00402786"/>
    <w:rsid w:val="00495C41"/>
    <w:rsid w:val="004F0912"/>
    <w:rsid w:val="00506637"/>
    <w:rsid w:val="00513382"/>
    <w:rsid w:val="0052767A"/>
    <w:rsid w:val="0053334C"/>
    <w:rsid w:val="00534787"/>
    <w:rsid w:val="005752A0"/>
    <w:rsid w:val="005800F7"/>
    <w:rsid w:val="00581A65"/>
    <w:rsid w:val="005A6C87"/>
    <w:rsid w:val="005B4514"/>
    <w:rsid w:val="005B5B27"/>
    <w:rsid w:val="005D1E4F"/>
    <w:rsid w:val="005D4501"/>
    <w:rsid w:val="005F75F6"/>
    <w:rsid w:val="0061106E"/>
    <w:rsid w:val="00613EBA"/>
    <w:rsid w:val="00646196"/>
    <w:rsid w:val="00663566"/>
    <w:rsid w:val="00742F25"/>
    <w:rsid w:val="00764950"/>
    <w:rsid w:val="0077414C"/>
    <w:rsid w:val="007914B3"/>
    <w:rsid w:val="007B5AFA"/>
    <w:rsid w:val="007D4BCA"/>
    <w:rsid w:val="00806A69"/>
    <w:rsid w:val="00880BD1"/>
    <w:rsid w:val="008A43BE"/>
    <w:rsid w:val="008E6F4E"/>
    <w:rsid w:val="00967359"/>
    <w:rsid w:val="00975CCE"/>
    <w:rsid w:val="009C1D75"/>
    <w:rsid w:val="009D2E11"/>
    <w:rsid w:val="009E17C9"/>
    <w:rsid w:val="009E3834"/>
    <w:rsid w:val="00A31E59"/>
    <w:rsid w:val="00A428AF"/>
    <w:rsid w:val="00A974A3"/>
    <w:rsid w:val="00B8370E"/>
    <w:rsid w:val="00BC1544"/>
    <w:rsid w:val="00BC7ADC"/>
    <w:rsid w:val="00C0777E"/>
    <w:rsid w:val="00C2495A"/>
    <w:rsid w:val="00C437B0"/>
    <w:rsid w:val="00C56CF5"/>
    <w:rsid w:val="00C83E09"/>
    <w:rsid w:val="00C84F09"/>
    <w:rsid w:val="00CA4513"/>
    <w:rsid w:val="00CC7C3F"/>
    <w:rsid w:val="00CD6D32"/>
    <w:rsid w:val="00D15642"/>
    <w:rsid w:val="00D843EA"/>
    <w:rsid w:val="00D923FA"/>
    <w:rsid w:val="00DC6D79"/>
    <w:rsid w:val="00E14E10"/>
    <w:rsid w:val="00E16F92"/>
    <w:rsid w:val="00E32F9E"/>
    <w:rsid w:val="00E4126F"/>
    <w:rsid w:val="00E64107"/>
    <w:rsid w:val="00E75ECF"/>
    <w:rsid w:val="00E960F2"/>
    <w:rsid w:val="00EB57D6"/>
    <w:rsid w:val="00F933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10B2B"/>
  <w15:chartTrackingRefBased/>
  <w15:docId w15:val="{1523102D-0F7C-4483-8FAC-08700183C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E3D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E3D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E3D1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E3D1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E3D1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E3D1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E3D1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E3D1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E3D1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3D1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E3D1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E3D1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E3D1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E3D1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E3D1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3D1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3D1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3D17"/>
    <w:rPr>
      <w:rFonts w:eastAsiaTheme="majorEastAsia" w:cstheme="majorBidi"/>
      <w:color w:val="272727" w:themeColor="text1" w:themeTint="D8"/>
    </w:rPr>
  </w:style>
  <w:style w:type="paragraph" w:styleId="Ttulo">
    <w:name w:val="Title"/>
    <w:basedOn w:val="Normal"/>
    <w:next w:val="Normal"/>
    <w:link w:val="TtuloCar"/>
    <w:uiPriority w:val="10"/>
    <w:qFormat/>
    <w:rsid w:val="000E3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3D1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E3D1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E3D1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3D17"/>
    <w:pPr>
      <w:spacing w:before="160"/>
      <w:jc w:val="center"/>
    </w:pPr>
    <w:rPr>
      <w:i/>
      <w:iCs/>
      <w:color w:val="404040" w:themeColor="text1" w:themeTint="BF"/>
    </w:rPr>
  </w:style>
  <w:style w:type="character" w:customStyle="1" w:styleId="CitaCar">
    <w:name w:val="Cita Car"/>
    <w:basedOn w:val="Fuentedeprrafopredeter"/>
    <w:link w:val="Cita"/>
    <w:uiPriority w:val="29"/>
    <w:rsid w:val="000E3D17"/>
    <w:rPr>
      <w:i/>
      <w:iCs/>
      <w:color w:val="404040" w:themeColor="text1" w:themeTint="BF"/>
    </w:rPr>
  </w:style>
  <w:style w:type="paragraph" w:styleId="Prrafodelista">
    <w:name w:val="List Paragraph"/>
    <w:basedOn w:val="Normal"/>
    <w:uiPriority w:val="34"/>
    <w:qFormat/>
    <w:rsid w:val="000E3D17"/>
    <w:pPr>
      <w:ind w:left="720"/>
      <w:contextualSpacing/>
    </w:pPr>
  </w:style>
  <w:style w:type="character" w:styleId="nfasisintenso">
    <w:name w:val="Intense Emphasis"/>
    <w:basedOn w:val="Fuentedeprrafopredeter"/>
    <w:uiPriority w:val="21"/>
    <w:qFormat/>
    <w:rsid w:val="000E3D17"/>
    <w:rPr>
      <w:i/>
      <w:iCs/>
      <w:color w:val="0F4761" w:themeColor="accent1" w:themeShade="BF"/>
    </w:rPr>
  </w:style>
  <w:style w:type="paragraph" w:styleId="Citadestacada">
    <w:name w:val="Intense Quote"/>
    <w:basedOn w:val="Normal"/>
    <w:next w:val="Normal"/>
    <w:link w:val="CitadestacadaCar"/>
    <w:uiPriority w:val="30"/>
    <w:qFormat/>
    <w:rsid w:val="000E3D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E3D17"/>
    <w:rPr>
      <w:i/>
      <w:iCs/>
      <w:color w:val="0F4761" w:themeColor="accent1" w:themeShade="BF"/>
    </w:rPr>
  </w:style>
  <w:style w:type="character" w:styleId="Referenciaintensa">
    <w:name w:val="Intense Reference"/>
    <w:basedOn w:val="Fuentedeprrafopredeter"/>
    <w:uiPriority w:val="32"/>
    <w:qFormat/>
    <w:rsid w:val="000E3D17"/>
    <w:rPr>
      <w:b/>
      <w:bCs/>
      <w:smallCaps/>
      <w:color w:val="0F4761" w:themeColor="accent1" w:themeShade="BF"/>
      <w:spacing w:val="5"/>
    </w:rPr>
  </w:style>
  <w:style w:type="table" w:styleId="Tablaconcuadrcula">
    <w:name w:val="Table Grid"/>
    <w:basedOn w:val="Tablanormal"/>
    <w:uiPriority w:val="39"/>
    <w:rsid w:val="00534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D4BC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deam.gov.co/sala-de-prensa/informes/Estudios%20nacionales%20del%20agua" TargetMode="External"/><Relationship Id="rId18" Type="http://schemas.openxmlformats.org/officeDocument/2006/relationships/hyperlink" Target="https://doi.org/10.1016/S1366-7017(02)00014-4" TargetMode="External"/><Relationship Id="rId26" Type="http://schemas.openxmlformats.org/officeDocument/2006/relationships/hyperlink" Target="https://doi.org/10.1126/science.1164033" TargetMode="External"/><Relationship Id="rId39" Type="http://schemas.openxmlformats.org/officeDocument/2006/relationships/theme" Target="theme/theme1.xml"/><Relationship Id="rId21" Type="http://schemas.openxmlformats.org/officeDocument/2006/relationships/hyperlink" Target="https://doi.org/10.1038/s41598-025-18701-x" TargetMode="External"/><Relationship Id="rId34" Type="http://schemas.openxmlformats.org/officeDocument/2006/relationships/hyperlink" Target="https://unesdoc.unesco.org/ark:/48223/pf0000388950" TargetMode="External"/><Relationship Id="rId7" Type="http://schemas.openxmlformats.org/officeDocument/2006/relationships/hyperlink" Target="https://www.cepal.org" TargetMode="External"/><Relationship Id="rId12" Type="http://schemas.openxmlformats.org/officeDocument/2006/relationships/hyperlink" Target="https://doi.org/10.5751/ES-03610-150420" TargetMode="External"/><Relationship Id="rId17" Type="http://schemas.openxmlformats.org/officeDocument/2006/relationships/hyperlink" Target="https://doi.org/10.3390/systems13050364" TargetMode="External"/><Relationship Id="rId25" Type="http://schemas.openxmlformats.org/officeDocument/2006/relationships/hyperlink" Target="https://doi.org/10.1126/science.1172133" TargetMode="External"/><Relationship Id="rId33" Type="http://schemas.openxmlformats.org/officeDocument/2006/relationships/hyperlink" Target="https://www.unesco.org/reports/wwdr/2023"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pps.ipcc.ch/report/ar6/syr/" TargetMode="External"/><Relationship Id="rId20" Type="http://schemas.openxmlformats.org/officeDocument/2006/relationships/hyperlink" Target="https://doi.org/10.1007/s10750-022-05063-9" TargetMode="External"/><Relationship Id="rId29" Type="http://schemas.openxmlformats.org/officeDocument/2006/relationships/hyperlink" Target="https://doi.org/10.1007/s11269-019-02236-5" TargetMode="External"/><Relationship Id="rId1" Type="http://schemas.openxmlformats.org/officeDocument/2006/relationships/numbering" Target="numbering.xml"/><Relationship Id="rId6" Type="http://schemas.openxmlformats.org/officeDocument/2006/relationships/hyperlink" Target="https://files.eric.ed.gov/fulltext/EJ1492771.pdf" TargetMode="External"/><Relationship Id="rId11" Type="http://schemas.openxmlformats.org/officeDocument/2006/relationships/hyperlink" Target="https://doi.org/10.1061/JHYEFF.HEENG-5541" TargetMode="External"/><Relationship Id="rId24" Type="http://schemas.openxmlformats.org/officeDocument/2006/relationships/hyperlink" Target="https://doi.org/10.14201/eks.31706" TargetMode="External"/><Relationship Id="rId32" Type="http://schemas.openxmlformats.org/officeDocument/2006/relationships/hyperlink" Target="https://www.undrr.org/publication/sendai-framework-disaster-risk-reduction-2015-2030" TargetMode="External"/><Relationship Id="rId37" Type="http://schemas.openxmlformats.org/officeDocument/2006/relationships/hyperlink" Target="https://doi.org/10.1016/j.ejrh.2024.101888" TargetMode="External"/><Relationship Id="rId5" Type="http://schemas.openxmlformats.org/officeDocument/2006/relationships/image" Target="media/image1.png"/><Relationship Id="rId15" Type="http://schemas.openxmlformats.org/officeDocument/2006/relationships/hyperlink" Target="https://www.ipcc.ch/report/ar6/wg2/" TargetMode="External"/><Relationship Id="rId23" Type="http://schemas.openxmlformats.org/officeDocument/2006/relationships/hyperlink" Target="https://doi.org/10.1016/j.scitotenv.2022.153493" TargetMode="External"/><Relationship Id="rId28" Type="http://schemas.openxmlformats.org/officeDocument/2006/relationships/hyperlink" Target="https://www.funcionpublica.gov.co/eva/gestornormativo/norma.php?i=238936&amp;utm_source=chatgpt.com" TargetMode="External"/><Relationship Id="rId36" Type="http://schemas.openxmlformats.org/officeDocument/2006/relationships/hyperlink" Target="https://www.unwater.org/publications" TargetMode="External"/><Relationship Id="rId10" Type="http://schemas.openxmlformats.org/officeDocument/2006/relationships/hyperlink" Target="https://doi.org/10.1007/978-3-319-05561-9" TargetMode="External"/><Relationship Id="rId19" Type="http://schemas.openxmlformats.org/officeDocument/2006/relationships/hyperlink" Target="https://www.minvivienda.gov.co" TargetMode="External"/><Relationship Id="rId31" Type="http://schemas.openxmlformats.org/officeDocument/2006/relationships/hyperlink" Target="https://doi.org/10.1073/pnas.1231335100" TargetMode="External"/><Relationship Id="rId4" Type="http://schemas.openxmlformats.org/officeDocument/2006/relationships/webSettings" Target="webSettings.xml"/><Relationship Id="rId9" Type="http://schemas.openxmlformats.org/officeDocument/2006/relationships/hyperlink" Target="https://www.funcionpublica.gov.co/eva/gestornormativo/norma.php?i=84580&amp;utm_source=chatgpt.com" TargetMode="External"/><Relationship Id="rId14" Type="http://schemas.openxmlformats.org/officeDocument/2006/relationships/hyperlink" Target="https://www.ideam.gov.co" TargetMode="External"/><Relationship Id="rId22" Type="http://schemas.openxmlformats.org/officeDocument/2006/relationships/hyperlink" Target="https://unfccc.int/process-and-meetings/the-paris-agreement/the-paris-agreement" TargetMode="External"/><Relationship Id="rId27" Type="http://schemas.openxmlformats.org/officeDocument/2006/relationships/hyperlink" Target="https://www.funcionpublica.gov.co/eva/gestornormativo/norma.php?i=90395" TargetMode="External"/><Relationship Id="rId30" Type="http://schemas.openxmlformats.org/officeDocument/2006/relationships/hyperlink" Target="https://doi.org/10.2166/hydro.2002.0017" TargetMode="External"/><Relationship Id="rId35" Type="http://schemas.openxmlformats.org/officeDocument/2006/relationships/hyperlink" Target="https://direccionacademica.medellin.unal.edu.co/index.php/material-de-apoyo?utm_source=chatgpt.com" TargetMode="External"/><Relationship Id="rId8" Type="http://schemas.openxmlformats.org/officeDocument/2006/relationships/hyperlink" Target="https://www.funcionpublica.gov.co/eva/gestornormativo/norma.php?i=62511" TargetMode="Externa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TotalTime>
  <Pages>9</Pages>
  <Words>4910</Words>
  <Characters>27007</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Javier Moyano Salcedo</dc:creator>
  <cp:keywords/>
  <dc:description/>
  <cp:lastModifiedBy>Alvaro Javier Moyano Salcedo</cp:lastModifiedBy>
  <cp:revision>31</cp:revision>
  <dcterms:created xsi:type="dcterms:W3CDTF">2026-02-10T10:17:00Z</dcterms:created>
  <dcterms:modified xsi:type="dcterms:W3CDTF">2026-02-18T12:14:00Z</dcterms:modified>
</cp:coreProperties>
</file>