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FA0D7" w14:textId="205A0A62" w:rsidR="00122DCA" w:rsidRPr="00E4516A" w:rsidRDefault="00122DCA" w:rsidP="00E4516A">
      <w:pPr>
        <w:spacing w:line="276" w:lineRule="auto"/>
        <w:jc w:val="center"/>
        <w:rPr>
          <w:rFonts w:ascii="Arial Narrow" w:hAnsi="Arial Narrow" w:cs="Arial"/>
          <w:b/>
          <w:bCs/>
          <w:sz w:val="22"/>
          <w:szCs w:val="22"/>
        </w:rPr>
      </w:pPr>
      <w:r w:rsidRPr="00E4516A">
        <w:rPr>
          <w:rFonts w:ascii="Arial Narrow" w:hAnsi="Arial Narrow" w:cs="Arial"/>
          <w:b/>
          <w:bCs/>
          <w:sz w:val="22"/>
          <w:szCs w:val="22"/>
        </w:rPr>
        <w:t>PROPUESTA DE TRABAJO ACADÉMICO:</w:t>
      </w:r>
    </w:p>
    <w:p w14:paraId="5FD9079C" w14:textId="0F60ACD4" w:rsidR="00122DCA" w:rsidRPr="00E4516A" w:rsidRDefault="00122DCA" w:rsidP="00E4516A">
      <w:pPr>
        <w:spacing w:line="276" w:lineRule="auto"/>
        <w:jc w:val="center"/>
        <w:rPr>
          <w:rFonts w:ascii="Arial Narrow" w:hAnsi="Arial Narrow" w:cs="Arial"/>
          <w:b/>
          <w:bCs/>
          <w:sz w:val="22"/>
          <w:szCs w:val="22"/>
        </w:rPr>
      </w:pPr>
      <w:r w:rsidRPr="00E4516A">
        <w:rPr>
          <w:rFonts w:ascii="Arial Narrow" w:hAnsi="Arial Narrow" w:cs="Arial"/>
          <w:b/>
          <w:bCs/>
          <w:sz w:val="22"/>
          <w:szCs w:val="22"/>
        </w:rPr>
        <w:t>RESILIENCIA ESTRUCTURAL MULTIRRIESGO, MATERIALES NO CONVENCIONALES Y SISTEMAS DE CONTROL Y DISIPACIÓN</w:t>
      </w:r>
    </w:p>
    <w:p w14:paraId="14348749" w14:textId="77777777" w:rsidR="00122DCA" w:rsidRPr="00E4516A" w:rsidRDefault="00122DCA" w:rsidP="00E4516A">
      <w:pPr>
        <w:spacing w:line="276" w:lineRule="auto"/>
        <w:rPr>
          <w:rFonts w:ascii="Arial Narrow" w:hAnsi="Arial Narrow" w:cs="Arial"/>
          <w:sz w:val="22"/>
          <w:szCs w:val="22"/>
          <w:lang w:val="pt-BR"/>
        </w:rPr>
      </w:pPr>
      <w:r w:rsidRPr="00E4516A">
        <w:rPr>
          <w:rFonts w:ascii="Arial Narrow" w:hAnsi="Arial Narrow" w:cs="Arial"/>
          <w:b/>
          <w:bCs/>
          <w:sz w:val="22"/>
          <w:szCs w:val="22"/>
          <w:lang w:val="pt-BR"/>
        </w:rPr>
        <w:t>Aspirante:</w:t>
      </w:r>
      <w:r w:rsidRPr="00E4516A">
        <w:rPr>
          <w:rFonts w:ascii="Arial Narrow" w:hAnsi="Arial Narrow" w:cs="Arial"/>
          <w:sz w:val="22"/>
          <w:szCs w:val="22"/>
          <w:lang w:val="pt-BR"/>
        </w:rPr>
        <w:t xml:space="preserve"> Dr. Alfer Leiber Silva Cerón</w:t>
      </w:r>
    </w:p>
    <w:p w14:paraId="3E36AC00" w14:textId="77777777" w:rsidR="00122DCA" w:rsidRPr="00E4516A" w:rsidRDefault="00122DCA" w:rsidP="00E4516A">
      <w:pPr>
        <w:spacing w:line="276" w:lineRule="auto"/>
        <w:rPr>
          <w:rFonts w:ascii="Arial Narrow" w:hAnsi="Arial Narrow" w:cs="Arial"/>
          <w:sz w:val="22"/>
          <w:szCs w:val="22"/>
        </w:rPr>
      </w:pPr>
      <w:r w:rsidRPr="00E4516A">
        <w:rPr>
          <w:rFonts w:ascii="Arial Narrow" w:hAnsi="Arial Narrow" w:cs="Arial"/>
          <w:b/>
          <w:bCs/>
          <w:sz w:val="22"/>
          <w:szCs w:val="22"/>
        </w:rPr>
        <w:t>Perfil:</w:t>
      </w:r>
      <w:r w:rsidRPr="00E4516A">
        <w:rPr>
          <w:rFonts w:ascii="Arial Narrow" w:hAnsi="Arial Narrow" w:cs="Arial"/>
          <w:sz w:val="22"/>
          <w:szCs w:val="22"/>
        </w:rPr>
        <w:t xml:space="preserve"> Dedicación Tiempo Completo (TC5)</w:t>
      </w:r>
    </w:p>
    <w:p w14:paraId="5271437B" w14:textId="77777777" w:rsidR="00122DCA" w:rsidRPr="00E4516A" w:rsidRDefault="00122DCA" w:rsidP="00E4516A">
      <w:pPr>
        <w:spacing w:line="276" w:lineRule="auto"/>
        <w:rPr>
          <w:rFonts w:ascii="Arial Narrow" w:hAnsi="Arial Narrow" w:cs="Arial"/>
          <w:sz w:val="22"/>
          <w:szCs w:val="22"/>
        </w:rPr>
      </w:pPr>
      <w:r w:rsidRPr="00E4516A">
        <w:rPr>
          <w:rFonts w:ascii="Arial Narrow" w:hAnsi="Arial Narrow" w:cs="Arial"/>
          <w:b/>
          <w:bCs/>
          <w:sz w:val="22"/>
          <w:szCs w:val="22"/>
        </w:rPr>
        <w:t>Unidad Académica:</w:t>
      </w:r>
      <w:r w:rsidRPr="00E4516A">
        <w:rPr>
          <w:rFonts w:ascii="Arial Narrow" w:hAnsi="Arial Narrow" w:cs="Arial"/>
          <w:sz w:val="22"/>
          <w:szCs w:val="22"/>
        </w:rPr>
        <w:t xml:space="preserve"> Departamento de Ingeniería Civil y Agrícola – Facultad de Ingeniería</w:t>
      </w:r>
    </w:p>
    <w:p w14:paraId="0F934071" w14:textId="0AD2E9DB" w:rsidR="00122DCA" w:rsidRPr="00E4516A" w:rsidRDefault="00122DCA" w:rsidP="00E4516A">
      <w:pPr>
        <w:spacing w:line="276" w:lineRule="auto"/>
        <w:rPr>
          <w:rFonts w:ascii="Arial Narrow" w:hAnsi="Arial Narrow" w:cs="Arial"/>
          <w:sz w:val="22"/>
          <w:szCs w:val="22"/>
        </w:rPr>
      </w:pPr>
      <w:r w:rsidRPr="00E4516A">
        <w:rPr>
          <w:rFonts w:ascii="Arial Narrow" w:hAnsi="Arial Narrow" w:cs="Arial"/>
          <w:b/>
          <w:bCs/>
          <w:sz w:val="22"/>
          <w:szCs w:val="22"/>
        </w:rPr>
        <w:t>Sede:</w:t>
      </w:r>
      <w:r w:rsidRPr="00E4516A">
        <w:rPr>
          <w:rFonts w:ascii="Arial Narrow" w:hAnsi="Arial Narrow" w:cs="Arial"/>
          <w:sz w:val="22"/>
          <w:szCs w:val="22"/>
        </w:rPr>
        <w:t xml:space="preserve"> Bogotá, Universidad Nacional de Colombia</w:t>
      </w:r>
    </w:p>
    <w:p w14:paraId="72365678" w14:textId="77777777" w:rsidR="00122DCA" w:rsidRPr="00E4516A" w:rsidRDefault="00122DCA" w:rsidP="00E4516A">
      <w:pPr>
        <w:spacing w:line="276" w:lineRule="auto"/>
        <w:rPr>
          <w:rFonts w:ascii="Arial Narrow" w:hAnsi="Arial Narrow" w:cs="Arial"/>
          <w:b/>
          <w:bCs/>
          <w:sz w:val="22"/>
          <w:szCs w:val="22"/>
        </w:rPr>
      </w:pPr>
      <w:r w:rsidRPr="00E4516A">
        <w:rPr>
          <w:rFonts w:ascii="Arial Narrow" w:hAnsi="Arial Narrow" w:cs="Arial"/>
          <w:b/>
          <w:bCs/>
          <w:sz w:val="22"/>
          <w:szCs w:val="22"/>
        </w:rPr>
        <w:t>1. VISIÓN E INTEGRACIÓN DE TRAYECTORIA</w:t>
      </w:r>
    </w:p>
    <w:p w14:paraId="29A01F20" w14:textId="17A37C43" w:rsidR="00122DCA" w:rsidRPr="00E4516A" w:rsidRDefault="009F602C" w:rsidP="00E4516A">
      <w:pPr>
        <w:spacing w:line="276" w:lineRule="auto"/>
        <w:jc w:val="both"/>
        <w:rPr>
          <w:rFonts w:ascii="Arial Narrow" w:hAnsi="Arial Narrow" w:cs="Arial"/>
          <w:sz w:val="22"/>
          <w:szCs w:val="22"/>
        </w:rPr>
      </w:pPr>
      <w:r w:rsidRPr="00E4516A">
        <w:rPr>
          <w:rFonts w:ascii="Arial Narrow" w:hAnsi="Arial Narrow" w:cs="Arial"/>
          <w:sz w:val="22"/>
          <w:szCs w:val="22"/>
        </w:rPr>
        <w:t xml:space="preserve">Mi propuesta integra 13 años de experiencia docente con una sólida formación doctoral y trayectoria internacional en </w:t>
      </w:r>
      <w:proofErr w:type="spellStart"/>
      <w:r w:rsidRPr="00E4516A">
        <w:rPr>
          <w:rFonts w:ascii="Arial Narrow" w:hAnsi="Arial Narrow" w:cs="Arial"/>
          <w:b/>
          <w:bCs/>
          <w:sz w:val="22"/>
          <w:szCs w:val="22"/>
        </w:rPr>
        <w:t>The</w:t>
      </w:r>
      <w:proofErr w:type="spellEnd"/>
      <w:r w:rsidRPr="00E4516A">
        <w:rPr>
          <w:rFonts w:ascii="Arial Narrow" w:hAnsi="Arial Narrow" w:cs="Arial"/>
          <w:b/>
          <w:bCs/>
          <w:sz w:val="22"/>
          <w:szCs w:val="22"/>
        </w:rPr>
        <w:t xml:space="preserve"> </w:t>
      </w:r>
      <w:proofErr w:type="spellStart"/>
      <w:r w:rsidRPr="00E4516A">
        <w:rPr>
          <w:rFonts w:ascii="Arial Narrow" w:hAnsi="Arial Narrow" w:cs="Arial"/>
          <w:b/>
          <w:bCs/>
          <w:sz w:val="22"/>
          <w:szCs w:val="22"/>
        </w:rPr>
        <w:t>University</w:t>
      </w:r>
      <w:proofErr w:type="spellEnd"/>
      <w:r w:rsidRPr="00E4516A">
        <w:rPr>
          <w:rFonts w:ascii="Arial Narrow" w:hAnsi="Arial Narrow" w:cs="Arial"/>
          <w:b/>
          <w:bCs/>
          <w:sz w:val="22"/>
          <w:szCs w:val="22"/>
        </w:rPr>
        <w:t xml:space="preserve"> </w:t>
      </w:r>
      <w:proofErr w:type="spellStart"/>
      <w:r w:rsidRPr="00E4516A">
        <w:rPr>
          <w:rFonts w:ascii="Arial Narrow" w:hAnsi="Arial Narrow" w:cs="Arial"/>
          <w:b/>
          <w:bCs/>
          <w:sz w:val="22"/>
          <w:szCs w:val="22"/>
        </w:rPr>
        <w:t>of</w:t>
      </w:r>
      <w:proofErr w:type="spellEnd"/>
      <w:r w:rsidRPr="00E4516A">
        <w:rPr>
          <w:rFonts w:ascii="Arial Narrow" w:hAnsi="Arial Narrow" w:cs="Arial"/>
          <w:b/>
          <w:bCs/>
          <w:sz w:val="22"/>
          <w:szCs w:val="22"/>
        </w:rPr>
        <w:t xml:space="preserve"> British Columbia (UBC)</w:t>
      </w:r>
      <w:r w:rsidRPr="00E4516A">
        <w:rPr>
          <w:rFonts w:ascii="Arial Narrow" w:hAnsi="Arial Narrow" w:cs="Arial"/>
          <w:sz w:val="22"/>
          <w:szCs w:val="22"/>
        </w:rPr>
        <w:t xml:space="preserve">. Mi objetivo es liderar en el Departamento de Ingeniería Civil y Agrícola (DICA) una visión que trascienda el diseño sismorresistente convencional, posicionando la </w:t>
      </w:r>
      <w:r w:rsidRPr="00E4516A">
        <w:rPr>
          <w:rFonts w:ascii="Arial Narrow" w:hAnsi="Arial Narrow" w:cs="Arial"/>
          <w:b/>
          <w:bCs/>
          <w:sz w:val="22"/>
          <w:szCs w:val="22"/>
        </w:rPr>
        <w:t>evaluación de la vulnerabilidad y el riesgo multirriesgo</w:t>
      </w:r>
      <w:r w:rsidRPr="00E4516A">
        <w:rPr>
          <w:rFonts w:ascii="Arial Narrow" w:hAnsi="Arial Narrow" w:cs="Arial"/>
          <w:sz w:val="22"/>
          <w:szCs w:val="22"/>
        </w:rPr>
        <w:t xml:space="preserve"> como ejes transversales para la seguridad de la infraestructura nacional. Busco consolidar una academia que combine</w:t>
      </w:r>
      <w:r w:rsidR="002A75E1">
        <w:rPr>
          <w:rFonts w:ascii="Arial Narrow" w:hAnsi="Arial Narrow" w:cs="Arial"/>
          <w:sz w:val="22"/>
          <w:szCs w:val="22"/>
        </w:rPr>
        <w:t xml:space="preserve"> el</w:t>
      </w:r>
      <w:r w:rsidRPr="00E4516A">
        <w:rPr>
          <w:rFonts w:ascii="Arial Narrow" w:hAnsi="Arial Narrow" w:cs="Arial"/>
          <w:sz w:val="22"/>
          <w:szCs w:val="22"/>
        </w:rPr>
        <w:t xml:space="preserve"> </w:t>
      </w:r>
      <w:r w:rsidR="002A75E1" w:rsidRPr="002A75E1">
        <w:rPr>
          <w:rFonts w:ascii="Arial Narrow" w:hAnsi="Arial Narrow" w:cs="Arial"/>
          <w:sz w:val="22"/>
          <w:szCs w:val="22"/>
        </w:rPr>
        <w:t>rigor analítico, numérico y experimental</w:t>
      </w:r>
      <w:r w:rsidRPr="00E4516A">
        <w:rPr>
          <w:rFonts w:ascii="Arial Narrow" w:hAnsi="Arial Narrow" w:cs="Arial"/>
          <w:sz w:val="22"/>
          <w:szCs w:val="22"/>
        </w:rPr>
        <w:t xml:space="preserve"> con la capacidad de respuesta ante los desafíos emergentes de la ingeniería estructural en Colombia.</w:t>
      </w:r>
    </w:p>
    <w:p w14:paraId="2B7BDF8B" w14:textId="77777777" w:rsidR="00B72F46" w:rsidRPr="00E4516A" w:rsidRDefault="00DD02C6" w:rsidP="00E4516A">
      <w:pPr>
        <w:spacing w:line="276" w:lineRule="auto"/>
        <w:jc w:val="both"/>
        <w:rPr>
          <w:rFonts w:ascii="Arial Narrow" w:hAnsi="Arial Narrow" w:cs="Arial"/>
          <w:sz w:val="22"/>
          <w:szCs w:val="22"/>
        </w:rPr>
      </w:pPr>
      <w:r w:rsidRPr="00DD02C6">
        <w:rPr>
          <w:rFonts w:ascii="Arial Narrow" w:hAnsi="Arial Narrow" w:cs="Arial"/>
          <w:b/>
          <w:bCs/>
          <w:sz w:val="22"/>
          <w:szCs w:val="22"/>
        </w:rPr>
        <w:t>1.1. Justificación y Pertinencia Académica</w:t>
      </w:r>
      <w:r w:rsidRPr="00DD02C6">
        <w:rPr>
          <w:rFonts w:ascii="Arial Narrow" w:hAnsi="Arial Narrow" w:cs="Arial"/>
          <w:sz w:val="22"/>
          <w:szCs w:val="22"/>
        </w:rPr>
        <w:t xml:space="preserve"> </w:t>
      </w:r>
      <w:r w:rsidR="00B72F46" w:rsidRPr="00E4516A">
        <w:rPr>
          <w:rFonts w:ascii="Arial Narrow" w:hAnsi="Arial Narrow" w:cs="Arial"/>
          <w:sz w:val="22"/>
          <w:szCs w:val="22"/>
        </w:rPr>
        <w:t>La vinculación de mi perfil al DICA es estratégica para fortalecer la soberanía tecnológica y la capacidad investigativa de la Universidad Nacional, bajo tres pilares fundamentales:</w:t>
      </w:r>
    </w:p>
    <w:p w14:paraId="4A3B9995" w14:textId="2B0669B7" w:rsidR="00B72F46" w:rsidRPr="00B72F46" w:rsidRDefault="00FD31CA" w:rsidP="00E4516A">
      <w:pPr>
        <w:numPr>
          <w:ilvl w:val="0"/>
          <w:numId w:val="16"/>
        </w:numPr>
        <w:spacing w:line="276" w:lineRule="auto"/>
        <w:jc w:val="both"/>
        <w:rPr>
          <w:rFonts w:ascii="Arial Narrow" w:hAnsi="Arial Narrow" w:cs="Arial"/>
          <w:sz w:val="22"/>
          <w:szCs w:val="22"/>
        </w:rPr>
      </w:pPr>
      <w:r w:rsidRPr="00FD31CA">
        <w:rPr>
          <w:rFonts w:ascii="Arial Narrow" w:hAnsi="Arial Narrow" w:cs="Arial"/>
          <w:b/>
          <w:bCs/>
          <w:sz w:val="22"/>
          <w:szCs w:val="22"/>
        </w:rPr>
        <w:t>Fortalecimiento</w:t>
      </w:r>
      <w:r w:rsidRPr="00FD31CA">
        <w:rPr>
          <w:rFonts w:ascii="Arial Narrow" w:hAnsi="Arial Narrow" w:cs="Arial"/>
          <w:sz w:val="22"/>
          <w:szCs w:val="22"/>
        </w:rPr>
        <w:t xml:space="preserve"> </w:t>
      </w:r>
      <w:r w:rsidRPr="00A816F5">
        <w:rPr>
          <w:rFonts w:ascii="Arial Narrow" w:hAnsi="Arial Narrow" w:cs="Arial"/>
          <w:b/>
          <w:bCs/>
          <w:sz w:val="22"/>
          <w:szCs w:val="22"/>
        </w:rPr>
        <w:t>de la Internacionalización en Vulnerabilidad y Riesgo Multirriesgo:</w:t>
      </w:r>
      <w:r w:rsidRPr="00FD31CA">
        <w:rPr>
          <w:rFonts w:ascii="Arial Narrow" w:hAnsi="Arial Narrow" w:cs="Arial"/>
          <w:sz w:val="22"/>
          <w:szCs w:val="22"/>
        </w:rPr>
        <w:t xml:space="preserve"> </w:t>
      </w:r>
      <w:r w:rsidRPr="00FD31CA">
        <w:rPr>
          <w:rFonts w:ascii="Arial Narrow" w:hAnsi="Arial Narrow" w:cs="Arial"/>
          <w:b/>
          <w:bCs/>
          <w:sz w:val="22"/>
          <w:szCs w:val="22"/>
        </w:rPr>
        <w:t>Dinamizar</w:t>
      </w:r>
      <w:r w:rsidRPr="00FD31CA">
        <w:rPr>
          <w:rFonts w:ascii="Arial Narrow" w:hAnsi="Arial Narrow" w:cs="Arial"/>
          <w:sz w:val="22"/>
          <w:szCs w:val="22"/>
        </w:rPr>
        <w:t xml:space="preserve"> el vínculo con centros de excelencia como la UBC para </w:t>
      </w:r>
      <w:r w:rsidRPr="00FD31CA">
        <w:rPr>
          <w:rFonts w:ascii="Arial Narrow" w:hAnsi="Arial Narrow" w:cs="Arial"/>
          <w:b/>
          <w:bCs/>
          <w:sz w:val="22"/>
          <w:szCs w:val="22"/>
        </w:rPr>
        <w:t>ampliar</w:t>
      </w:r>
      <w:r w:rsidRPr="00FD31CA">
        <w:rPr>
          <w:rFonts w:ascii="Arial Narrow" w:hAnsi="Arial Narrow" w:cs="Arial"/>
          <w:sz w:val="22"/>
          <w:szCs w:val="22"/>
        </w:rPr>
        <w:t xml:space="preserve"> las redes de investigación global del Departamento. El propósito es </w:t>
      </w:r>
      <w:r w:rsidRPr="00FD31CA">
        <w:rPr>
          <w:rFonts w:ascii="Arial Narrow" w:hAnsi="Arial Narrow" w:cs="Arial"/>
          <w:b/>
          <w:bCs/>
          <w:sz w:val="22"/>
          <w:szCs w:val="22"/>
        </w:rPr>
        <w:t>contribuir al liderazgo</w:t>
      </w:r>
      <w:r w:rsidRPr="00FD31CA">
        <w:rPr>
          <w:rFonts w:ascii="Arial Narrow" w:hAnsi="Arial Narrow" w:cs="Arial"/>
          <w:sz w:val="22"/>
          <w:szCs w:val="22"/>
        </w:rPr>
        <w:t xml:space="preserve"> de la producción científica de alto impacto</w:t>
      </w:r>
      <w:r>
        <w:rPr>
          <w:rFonts w:ascii="Arial Narrow" w:hAnsi="Arial Narrow" w:cs="Arial"/>
          <w:sz w:val="22"/>
          <w:szCs w:val="22"/>
        </w:rPr>
        <w:t xml:space="preserve"> </w:t>
      </w:r>
      <w:r w:rsidR="00B72F46" w:rsidRPr="00B72F46">
        <w:rPr>
          <w:rFonts w:ascii="Arial Narrow" w:hAnsi="Arial Narrow" w:cs="Arial"/>
          <w:sz w:val="22"/>
          <w:szCs w:val="22"/>
        </w:rPr>
        <w:t xml:space="preserve">en metodologías avanzadas de cuantificación del riesgo y fomentar el intercambio académico en temas de resiliencia estructural ante </w:t>
      </w:r>
      <w:r w:rsidRPr="00FD31CA">
        <w:rPr>
          <w:rFonts w:ascii="Arial Narrow" w:hAnsi="Arial Narrow" w:cs="Arial"/>
          <w:sz w:val="22"/>
          <w:szCs w:val="22"/>
        </w:rPr>
        <w:t>amenazas multirriesgo o en cascada</w:t>
      </w:r>
      <w:r w:rsidR="00B72F46" w:rsidRPr="00B72F46">
        <w:rPr>
          <w:rFonts w:ascii="Arial Narrow" w:hAnsi="Arial Narrow" w:cs="Arial"/>
          <w:sz w:val="22"/>
          <w:szCs w:val="22"/>
        </w:rPr>
        <w:t>, proyectando al departamento en el escenario internacional.</w:t>
      </w:r>
    </w:p>
    <w:p w14:paraId="6B7FCAE8" w14:textId="34AF871B" w:rsidR="00B72F46" w:rsidRPr="00B72F46" w:rsidRDefault="00B72F46" w:rsidP="00E4516A">
      <w:pPr>
        <w:numPr>
          <w:ilvl w:val="0"/>
          <w:numId w:val="16"/>
        </w:numPr>
        <w:spacing w:line="276" w:lineRule="auto"/>
        <w:jc w:val="both"/>
        <w:rPr>
          <w:rFonts w:ascii="Arial Narrow" w:hAnsi="Arial Narrow" w:cs="Arial"/>
          <w:sz w:val="22"/>
          <w:szCs w:val="22"/>
        </w:rPr>
      </w:pPr>
      <w:r w:rsidRPr="00B72F46">
        <w:rPr>
          <w:rFonts w:ascii="Arial Narrow" w:hAnsi="Arial Narrow" w:cs="Arial"/>
          <w:b/>
          <w:bCs/>
          <w:sz w:val="22"/>
          <w:szCs w:val="22"/>
        </w:rPr>
        <w:t>Evaluación Integral y Modelación Avanzada:</w:t>
      </w:r>
      <w:r w:rsidRPr="00B72F46">
        <w:rPr>
          <w:rFonts w:ascii="Arial Narrow" w:hAnsi="Arial Narrow" w:cs="Arial"/>
          <w:sz w:val="22"/>
          <w:szCs w:val="22"/>
        </w:rPr>
        <w:t xml:space="preserve"> Fortalecer las metodologías de caracterización de la vulnerabilidad física ante múltiples amenazas (sismos, remoción en masa, entre otros). Se propone el desarrollo de curvas de fragilidad y umbrales de daño para diversos sistemas estructurales, permitiendo definir soluciones de intervención —tanto convencionales como innovadoras— validadas mediante enfoques </w:t>
      </w:r>
      <w:r w:rsidRPr="00B72F46">
        <w:rPr>
          <w:rFonts w:ascii="Arial Narrow" w:hAnsi="Arial Narrow" w:cs="Arial"/>
          <w:b/>
          <w:bCs/>
          <w:sz w:val="22"/>
          <w:szCs w:val="22"/>
        </w:rPr>
        <w:t>analíticos, numéricos de alta fidelidad y experimentales</w:t>
      </w:r>
      <w:r w:rsidR="00B86559">
        <w:rPr>
          <w:rFonts w:ascii="Arial Narrow" w:hAnsi="Arial Narrow" w:cs="Arial"/>
          <w:b/>
          <w:bCs/>
          <w:sz w:val="22"/>
          <w:szCs w:val="22"/>
        </w:rPr>
        <w:t xml:space="preserve"> </w:t>
      </w:r>
      <w:r w:rsidR="00B86559">
        <w:rPr>
          <w:rFonts w:ascii="Arial Narrow" w:hAnsi="Arial Narrow" w:cs="Arial"/>
          <w:b/>
          <w:bCs/>
          <w:sz w:val="22"/>
          <w:szCs w:val="22"/>
        </w:rPr>
        <w:fldChar w:fldCharType="begin" w:fldLock="1"/>
      </w:r>
      <w:r w:rsidR="004B1B32">
        <w:rPr>
          <w:rFonts w:ascii="Arial Narrow" w:hAnsi="Arial Narrow" w:cs="Arial"/>
          <w:b/>
          <w:bCs/>
          <w:sz w:val="22"/>
          <w:szCs w:val="22"/>
        </w:rPr>
        <w:instrText>ADDIN CSL_CITATION {"citationItems":[{"id":"ITEM-1","itemData":{"DOI":"10.1016/j.earscirev.2023.104329","ISSN":"00128252","abstract":"Landslides are one of the most destructive hazard processes that cause tremendous loss of lives and damage to the built environment. As a crucial part of disaster risk management, building vulnerability assessment aims to link building damage with landslide hazard intensity and building characteristics in a physically based manner. This thorough review summarizes the progresses made in the assessment of building vulnerability to landslides in the past two decades and presents the future needs. First, a literature dataset about vulnerability to landslides is analyzed. After that, we present building failure mechanisms under landslide impact and building damage state classification systems, which are the basis for building vulnerability assessment. Then, we classify the existing building vulnerability models into four types: experience-based models, indicator-based models, data-driven models and mechanism-based models. The analysis procedures and key characteristics for each type of vulnerability models are presented and compared. Significant uncertainties on damage definition, data acquisition, model development and output interpretation are identified. Recent progress on vulnerability assessment in the multi-hazard context is emphasized subsequently. Recommendations on vulnerability assessment are presented at the end, focusing on consistency and accuracy improvements.","author":[{"dropping-particle":"","family":"Luo","given":"H.Y.","non-dropping-particle":"","parse-names":false,"suffix":""},{"dropping-particle":"","family":"Zhang","given":"L.M.","non-dropping-particle":"","parse-names":false,"suffix":""},{"dropping-particle":"","family":"Zhang","given":"L.L.","non-dropping-particle":"","parse-names":false,"suffix":""},{"dropping-particle":"","family":"He","given":"J.","non-dropping-particle":"","parse-names":false,"suffix":""},{"dropping-particle":"","family":"Yin","given":"K.S.","non-dropping-particle":"","parse-names":false,"suffix":""}],"container-title":"Earth-Science Reviews","id":"ITEM-1","issue":"10","issued":{"date-parts":[["2023"]]},"page":"104329","title":"Vulnerability of buildings to landslides: The state of the art and future needs","type":"article-journal","volume":"238"},"uris":["http://www.mendeley.com/documents/?uuid=10e23e3d-7003-4577-9973-23073d273b14"]},{"id":"ITEM-2","itemData":{"author":[{"dropping-particle":"","family":"Silva-Ceron","given":"Alfer L.","non-dropping-particle":"","parse-names":false,"suffix":""},{"dropping-particle":"","family":"Prieto","given":"Jorge A.","non-dropping-particle":"","parse-names":false,"suffix":""}],"container-title":"Sometido a Engineering Geology","id":"ITEM-2","issued":{"date-parts":[["2024"]]},"title":"Physical Vulnerability Assessment Procedures for Confined and Unconfined (Unreinforced) Clay Brick Masonry Buildings Due to Mass Movements, Rigid Foundation","type":"article-journal"},"uris":["http://www.mendeley.com/documents/?uuid=da8fbfbe-cf20-4bf8-9dc1-9c0ee8d203ba"]}],"mendeley":{"formattedCitation":"(Luo et al., 2023; Silva-Ceron &amp; Prieto, 2024)","plainTextFormattedCitation":"(Luo et al., 2023; Silva-Ceron &amp; Prieto, 2024)","previouslyFormattedCitation":"(Luo et al., 2023; Silva-Ceron &amp; Prieto, 2024)"},"properties":{"noteIndex":0},"schema":"https://github.com/citation-style-language/schema/raw/master/csl-citation.json"}</w:instrText>
      </w:r>
      <w:r w:rsidR="00B86559">
        <w:rPr>
          <w:rFonts w:ascii="Arial Narrow" w:hAnsi="Arial Narrow" w:cs="Arial"/>
          <w:b/>
          <w:bCs/>
          <w:sz w:val="22"/>
          <w:szCs w:val="22"/>
        </w:rPr>
        <w:fldChar w:fldCharType="separate"/>
      </w:r>
      <w:r w:rsidR="00121D59" w:rsidRPr="00121D59">
        <w:rPr>
          <w:rFonts w:ascii="Arial Narrow" w:hAnsi="Arial Narrow" w:cs="Arial"/>
          <w:bCs/>
          <w:noProof/>
          <w:sz w:val="22"/>
          <w:szCs w:val="22"/>
        </w:rPr>
        <w:t>(Luo et al., 2023; Silva-Ceron &amp; Prieto, 2024)</w:t>
      </w:r>
      <w:r w:rsidR="00B86559">
        <w:rPr>
          <w:rFonts w:ascii="Arial Narrow" w:hAnsi="Arial Narrow" w:cs="Arial"/>
          <w:b/>
          <w:bCs/>
          <w:sz w:val="22"/>
          <w:szCs w:val="22"/>
        </w:rPr>
        <w:fldChar w:fldCharType="end"/>
      </w:r>
      <w:r w:rsidRPr="00B72F46">
        <w:rPr>
          <w:rFonts w:ascii="Arial Narrow" w:hAnsi="Arial Narrow" w:cs="Arial"/>
          <w:sz w:val="22"/>
          <w:szCs w:val="22"/>
        </w:rPr>
        <w:t>.</w:t>
      </w:r>
    </w:p>
    <w:p w14:paraId="2098280F" w14:textId="77777777" w:rsidR="00B72F46" w:rsidRDefault="00B72F46" w:rsidP="00E4516A">
      <w:pPr>
        <w:numPr>
          <w:ilvl w:val="0"/>
          <w:numId w:val="16"/>
        </w:numPr>
        <w:spacing w:line="276" w:lineRule="auto"/>
        <w:jc w:val="both"/>
        <w:rPr>
          <w:rFonts w:ascii="Arial Narrow" w:hAnsi="Arial Narrow" w:cs="Arial"/>
          <w:sz w:val="22"/>
          <w:szCs w:val="22"/>
        </w:rPr>
      </w:pPr>
      <w:r w:rsidRPr="00B72F46">
        <w:rPr>
          <w:rFonts w:ascii="Arial Narrow" w:hAnsi="Arial Narrow" w:cs="Arial"/>
          <w:b/>
          <w:bCs/>
          <w:sz w:val="22"/>
          <w:szCs w:val="22"/>
        </w:rPr>
        <w:t>Incidencia en la Gestión del Riesgo y Política Pública:</w:t>
      </w:r>
      <w:r w:rsidRPr="00B72F46">
        <w:rPr>
          <w:rFonts w:ascii="Arial Narrow" w:hAnsi="Arial Narrow" w:cs="Arial"/>
          <w:sz w:val="22"/>
          <w:szCs w:val="22"/>
        </w:rPr>
        <w:t xml:space="preserve"> Traducir la complejidad de los modelos probabilísticos de riesgo en herramientas técnicas aplicables que fortalezcan los </w:t>
      </w:r>
      <w:r w:rsidRPr="00B72F46">
        <w:rPr>
          <w:rFonts w:ascii="Arial Narrow" w:hAnsi="Arial Narrow" w:cs="Arial"/>
          <w:b/>
          <w:bCs/>
          <w:sz w:val="22"/>
          <w:szCs w:val="22"/>
        </w:rPr>
        <w:t>Planes Municipales de Gestión del Riesgo (PMGRD)</w:t>
      </w:r>
      <w:r w:rsidRPr="00B72F46">
        <w:rPr>
          <w:rFonts w:ascii="Arial Narrow" w:hAnsi="Arial Narrow" w:cs="Arial"/>
          <w:sz w:val="22"/>
          <w:szCs w:val="22"/>
        </w:rPr>
        <w:t>. Mi visión es que la Universidad Nacional actúe como el soporte técnico esencial para la toma de decisiones del Estado en la protección de la infraestructura crítica y la salvaguarda de la sociedad.</w:t>
      </w:r>
    </w:p>
    <w:p w14:paraId="1E7D97D4" w14:textId="77777777" w:rsidR="00DE64C6" w:rsidRDefault="00DE64C6" w:rsidP="00DE64C6">
      <w:pPr>
        <w:spacing w:line="276" w:lineRule="auto"/>
        <w:jc w:val="both"/>
        <w:rPr>
          <w:rFonts w:ascii="Arial Narrow" w:hAnsi="Arial Narrow" w:cs="Arial"/>
          <w:sz w:val="22"/>
          <w:szCs w:val="22"/>
        </w:rPr>
      </w:pPr>
    </w:p>
    <w:p w14:paraId="6A97879E" w14:textId="77777777" w:rsidR="00DE64C6" w:rsidRDefault="00DE64C6" w:rsidP="00DE64C6">
      <w:pPr>
        <w:spacing w:line="276" w:lineRule="auto"/>
        <w:jc w:val="both"/>
        <w:rPr>
          <w:rFonts w:ascii="Arial Narrow" w:hAnsi="Arial Narrow" w:cs="Arial"/>
          <w:sz w:val="22"/>
          <w:szCs w:val="22"/>
        </w:rPr>
      </w:pPr>
    </w:p>
    <w:p w14:paraId="30786CC0" w14:textId="77777777" w:rsidR="00DE64C6" w:rsidRDefault="00DE64C6" w:rsidP="00DE64C6">
      <w:pPr>
        <w:spacing w:line="276" w:lineRule="auto"/>
        <w:jc w:val="both"/>
        <w:rPr>
          <w:rFonts w:ascii="Arial Narrow" w:hAnsi="Arial Narrow" w:cs="Arial"/>
          <w:sz w:val="22"/>
          <w:szCs w:val="22"/>
        </w:rPr>
      </w:pPr>
    </w:p>
    <w:p w14:paraId="5FDDA12E" w14:textId="77777777" w:rsidR="009C1F54" w:rsidRPr="009C1F54" w:rsidRDefault="009C1F54" w:rsidP="009C1F54">
      <w:pPr>
        <w:spacing w:line="276" w:lineRule="auto"/>
        <w:jc w:val="both"/>
        <w:rPr>
          <w:rFonts w:ascii="Arial Narrow" w:hAnsi="Arial Narrow" w:cs="Arial"/>
          <w:b/>
          <w:bCs/>
          <w:sz w:val="22"/>
          <w:szCs w:val="22"/>
        </w:rPr>
      </w:pPr>
      <w:r w:rsidRPr="009C1F54">
        <w:rPr>
          <w:rFonts w:ascii="Arial Narrow" w:hAnsi="Arial Narrow" w:cs="Arial"/>
          <w:b/>
          <w:bCs/>
          <w:sz w:val="22"/>
          <w:szCs w:val="22"/>
        </w:rPr>
        <w:t>2. OBJETIVOS DE LA PROPUESTA ACADÉMICA</w:t>
      </w:r>
    </w:p>
    <w:p w14:paraId="547D3DA6" w14:textId="77777777" w:rsidR="009C1F54" w:rsidRPr="009C1F54" w:rsidRDefault="009C1F54" w:rsidP="009C1F54">
      <w:pPr>
        <w:spacing w:line="276" w:lineRule="auto"/>
        <w:jc w:val="both"/>
        <w:rPr>
          <w:rFonts w:ascii="Arial Narrow" w:hAnsi="Arial Narrow" w:cs="Arial"/>
          <w:b/>
          <w:bCs/>
          <w:sz w:val="22"/>
          <w:szCs w:val="22"/>
        </w:rPr>
      </w:pPr>
      <w:r w:rsidRPr="009C1F54">
        <w:rPr>
          <w:rFonts w:ascii="Arial Narrow" w:hAnsi="Arial Narrow" w:cs="Arial"/>
          <w:b/>
          <w:bCs/>
          <w:sz w:val="22"/>
          <w:szCs w:val="22"/>
        </w:rPr>
        <w:t>2.1. Objetivo General</w:t>
      </w:r>
    </w:p>
    <w:p w14:paraId="63B2DE46" w14:textId="3A268F0A" w:rsidR="009C1F54" w:rsidRDefault="00F94889" w:rsidP="009C1F54">
      <w:pPr>
        <w:spacing w:line="276" w:lineRule="auto"/>
        <w:jc w:val="both"/>
        <w:rPr>
          <w:rFonts w:ascii="Arial Narrow" w:hAnsi="Arial Narrow" w:cs="Arial"/>
          <w:sz w:val="22"/>
          <w:szCs w:val="22"/>
        </w:rPr>
      </w:pPr>
      <w:r w:rsidRPr="00F94889">
        <w:rPr>
          <w:rFonts w:ascii="Arial Narrow" w:hAnsi="Arial Narrow" w:cs="Arial"/>
          <w:sz w:val="22"/>
          <w:szCs w:val="22"/>
        </w:rPr>
        <w:t xml:space="preserve">Liderar en el DICA la transición hacia una ingeniería de </w:t>
      </w:r>
      <w:r w:rsidRPr="00F94889">
        <w:rPr>
          <w:rFonts w:ascii="Arial Narrow" w:hAnsi="Arial Narrow" w:cs="Arial"/>
          <w:b/>
          <w:bCs/>
          <w:sz w:val="22"/>
          <w:szCs w:val="22"/>
        </w:rPr>
        <w:t>resiliencia estructural multirriesgo</w:t>
      </w:r>
      <w:r w:rsidRPr="00F94889">
        <w:rPr>
          <w:rFonts w:ascii="Arial Narrow" w:hAnsi="Arial Narrow" w:cs="Arial"/>
          <w:sz w:val="22"/>
          <w:szCs w:val="22"/>
        </w:rPr>
        <w:t xml:space="preserve">, fundamentada en la implementación de </w:t>
      </w:r>
      <w:r w:rsidRPr="00F94889">
        <w:rPr>
          <w:rFonts w:ascii="Arial Narrow" w:hAnsi="Arial Narrow" w:cs="Arial"/>
          <w:b/>
          <w:bCs/>
          <w:sz w:val="22"/>
          <w:szCs w:val="22"/>
        </w:rPr>
        <w:t>modelos de análisis no lineal avanzado</w:t>
      </w:r>
      <w:r w:rsidRPr="00F94889">
        <w:rPr>
          <w:rFonts w:ascii="Arial Narrow" w:hAnsi="Arial Narrow" w:cs="Arial"/>
          <w:sz w:val="22"/>
          <w:szCs w:val="22"/>
        </w:rPr>
        <w:t xml:space="preserve"> y la caracterización de sistemas en </w:t>
      </w:r>
      <w:r w:rsidRPr="00F94889">
        <w:rPr>
          <w:rFonts w:ascii="Arial Narrow" w:hAnsi="Arial Narrow" w:cs="Arial"/>
          <w:b/>
          <w:bCs/>
          <w:sz w:val="22"/>
          <w:szCs w:val="22"/>
        </w:rPr>
        <w:t>materiales convencionales y no convencionales</w:t>
      </w:r>
      <w:r w:rsidRPr="00F94889">
        <w:rPr>
          <w:rFonts w:ascii="Arial Narrow" w:hAnsi="Arial Narrow" w:cs="Arial"/>
          <w:sz w:val="22"/>
          <w:szCs w:val="22"/>
        </w:rPr>
        <w:t xml:space="preserve">. El propósito es optimizar el desempeño y la confiabilidad de la infraestructura ante </w:t>
      </w:r>
      <w:r w:rsidRPr="00F94889">
        <w:rPr>
          <w:rFonts w:ascii="Arial Narrow" w:hAnsi="Arial Narrow" w:cs="Arial"/>
          <w:b/>
          <w:bCs/>
          <w:sz w:val="22"/>
          <w:szCs w:val="22"/>
        </w:rPr>
        <w:t>amenazas socio-naturales y antropogénicas</w:t>
      </w:r>
      <w:r w:rsidRPr="00F94889">
        <w:rPr>
          <w:rFonts w:ascii="Arial Narrow" w:hAnsi="Arial Narrow" w:cs="Arial"/>
          <w:sz w:val="22"/>
          <w:szCs w:val="22"/>
        </w:rPr>
        <w:t xml:space="preserve">, fortaleciendo la respuesta técnica del Departamento frente a los desafíos impuestos por la </w:t>
      </w:r>
      <w:r w:rsidRPr="00F94889">
        <w:rPr>
          <w:rFonts w:ascii="Arial Narrow" w:hAnsi="Arial Narrow" w:cs="Arial"/>
          <w:b/>
          <w:bCs/>
          <w:sz w:val="22"/>
          <w:szCs w:val="22"/>
        </w:rPr>
        <w:t>crisis climática</w:t>
      </w:r>
      <w:r w:rsidRPr="00F94889">
        <w:rPr>
          <w:rFonts w:ascii="Arial Narrow" w:hAnsi="Arial Narrow" w:cs="Arial"/>
          <w:sz w:val="22"/>
          <w:szCs w:val="22"/>
        </w:rPr>
        <w:t>.</w:t>
      </w:r>
    </w:p>
    <w:p w14:paraId="6219A77B" w14:textId="77777777" w:rsidR="00CB6007" w:rsidRPr="009C1F54" w:rsidRDefault="00CB6007" w:rsidP="009C1F54">
      <w:pPr>
        <w:spacing w:line="276" w:lineRule="auto"/>
        <w:jc w:val="both"/>
        <w:rPr>
          <w:rFonts w:ascii="Arial Narrow" w:hAnsi="Arial Narrow" w:cs="Arial"/>
          <w:sz w:val="22"/>
          <w:szCs w:val="22"/>
        </w:rPr>
      </w:pPr>
    </w:p>
    <w:p w14:paraId="6005FC85" w14:textId="77777777" w:rsidR="009C1F54" w:rsidRPr="009C1F54" w:rsidRDefault="009C1F54" w:rsidP="009C1F54">
      <w:pPr>
        <w:spacing w:line="276" w:lineRule="auto"/>
        <w:jc w:val="both"/>
        <w:rPr>
          <w:rFonts w:ascii="Arial Narrow" w:hAnsi="Arial Narrow" w:cs="Arial"/>
          <w:b/>
          <w:bCs/>
          <w:sz w:val="22"/>
          <w:szCs w:val="22"/>
        </w:rPr>
      </w:pPr>
      <w:r w:rsidRPr="009C1F54">
        <w:rPr>
          <w:rFonts w:ascii="Arial Narrow" w:hAnsi="Arial Narrow" w:cs="Arial"/>
          <w:b/>
          <w:bCs/>
          <w:sz w:val="22"/>
          <w:szCs w:val="22"/>
        </w:rPr>
        <w:t>2.2. Objetivos Específicos</w:t>
      </w:r>
    </w:p>
    <w:p w14:paraId="60B55308" w14:textId="77777777" w:rsidR="009C1F54" w:rsidRPr="009C1F54" w:rsidRDefault="009C1F54" w:rsidP="009C1F54">
      <w:pPr>
        <w:numPr>
          <w:ilvl w:val="0"/>
          <w:numId w:val="17"/>
        </w:numPr>
        <w:spacing w:line="276" w:lineRule="auto"/>
        <w:jc w:val="both"/>
        <w:rPr>
          <w:rFonts w:ascii="Arial Narrow" w:hAnsi="Arial Narrow" w:cs="Arial"/>
          <w:sz w:val="22"/>
          <w:szCs w:val="22"/>
        </w:rPr>
      </w:pPr>
      <w:r w:rsidRPr="009C1F54">
        <w:rPr>
          <w:rFonts w:ascii="Arial Narrow" w:hAnsi="Arial Narrow" w:cs="Arial"/>
          <w:b/>
          <w:bCs/>
          <w:sz w:val="22"/>
          <w:szCs w:val="22"/>
        </w:rPr>
        <w:t>En Docencia:</w:t>
      </w:r>
    </w:p>
    <w:p w14:paraId="273F3625" w14:textId="2D61DFAE" w:rsidR="009C1F54" w:rsidRDefault="009C1F54" w:rsidP="009C1F54">
      <w:pPr>
        <w:numPr>
          <w:ilvl w:val="1"/>
          <w:numId w:val="17"/>
        </w:numPr>
        <w:spacing w:line="276" w:lineRule="auto"/>
        <w:jc w:val="both"/>
        <w:rPr>
          <w:rFonts w:ascii="Arial Narrow" w:hAnsi="Arial Narrow" w:cs="Arial"/>
          <w:sz w:val="22"/>
          <w:szCs w:val="22"/>
        </w:rPr>
      </w:pPr>
      <w:r w:rsidRPr="009C1F54">
        <w:rPr>
          <w:rFonts w:ascii="Arial Narrow" w:hAnsi="Arial Narrow" w:cs="Arial"/>
          <w:sz w:val="22"/>
          <w:szCs w:val="22"/>
        </w:rPr>
        <w:t xml:space="preserve">Modernizar las cátedras de </w:t>
      </w:r>
      <w:r w:rsidRPr="009C1F54">
        <w:rPr>
          <w:rFonts w:ascii="Arial Narrow" w:hAnsi="Arial Narrow" w:cs="Arial"/>
          <w:b/>
          <w:bCs/>
          <w:sz w:val="22"/>
          <w:szCs w:val="22"/>
        </w:rPr>
        <w:t>Análisis, Diseño e Ingeniería Sísmica</w:t>
      </w:r>
      <w:r w:rsidRPr="009C1F54">
        <w:rPr>
          <w:rFonts w:ascii="Arial Narrow" w:hAnsi="Arial Narrow" w:cs="Arial"/>
          <w:sz w:val="22"/>
          <w:szCs w:val="22"/>
        </w:rPr>
        <w:t xml:space="preserve"> incorporando conceptos de </w:t>
      </w:r>
      <w:r w:rsidRPr="009C1F54">
        <w:rPr>
          <w:rFonts w:ascii="Arial Narrow" w:hAnsi="Arial Narrow" w:cs="Arial"/>
          <w:b/>
          <w:bCs/>
          <w:sz w:val="22"/>
          <w:szCs w:val="22"/>
        </w:rPr>
        <w:t>comportamiento no lineal</w:t>
      </w:r>
      <w:r w:rsidRPr="009C1F54">
        <w:rPr>
          <w:rFonts w:ascii="Arial Narrow" w:hAnsi="Arial Narrow" w:cs="Arial"/>
          <w:sz w:val="22"/>
          <w:szCs w:val="22"/>
        </w:rPr>
        <w:t xml:space="preserve"> y diseño basado en el desempeño</w:t>
      </w:r>
      <w:r w:rsidR="00294B24">
        <w:rPr>
          <w:rFonts w:ascii="Arial Narrow" w:hAnsi="Arial Narrow" w:cs="Arial"/>
          <w:sz w:val="22"/>
          <w:szCs w:val="22"/>
        </w:rPr>
        <w:t xml:space="preserve"> enfocado al multirriesgo</w:t>
      </w:r>
      <w:r w:rsidRPr="009C1F54">
        <w:rPr>
          <w:rFonts w:ascii="Arial Narrow" w:hAnsi="Arial Narrow" w:cs="Arial"/>
          <w:sz w:val="22"/>
          <w:szCs w:val="22"/>
        </w:rPr>
        <w:t>, garantizando que el criterio estructural gobierne el uso de herramientas computacionales.</w:t>
      </w:r>
    </w:p>
    <w:p w14:paraId="643AEF6C" w14:textId="666D9FEE" w:rsidR="00995CF1" w:rsidRPr="009C1F54" w:rsidRDefault="00995CF1" w:rsidP="009C1F54">
      <w:pPr>
        <w:numPr>
          <w:ilvl w:val="1"/>
          <w:numId w:val="17"/>
        </w:numPr>
        <w:spacing w:line="276" w:lineRule="auto"/>
        <w:jc w:val="both"/>
        <w:rPr>
          <w:rFonts w:ascii="Arial Narrow" w:hAnsi="Arial Narrow" w:cs="Arial"/>
          <w:sz w:val="22"/>
          <w:szCs w:val="22"/>
        </w:rPr>
      </w:pPr>
      <w:r w:rsidRPr="00995CF1">
        <w:rPr>
          <w:rFonts w:ascii="Arial Narrow" w:hAnsi="Arial Narrow" w:cs="Arial"/>
          <w:sz w:val="22"/>
          <w:szCs w:val="22"/>
        </w:rPr>
        <w:t xml:space="preserve">Implementar en las asignaturas de pregrado y posgrado metodologías de </w:t>
      </w:r>
      <w:r w:rsidRPr="00995CF1">
        <w:rPr>
          <w:rFonts w:ascii="Arial Narrow" w:hAnsi="Arial Narrow" w:cs="Arial"/>
          <w:b/>
          <w:bCs/>
          <w:sz w:val="22"/>
          <w:szCs w:val="22"/>
        </w:rPr>
        <w:t>Análisis y Diseño Basado en el Desempeño (PBSD)</w:t>
      </w:r>
      <w:r w:rsidRPr="00995CF1">
        <w:rPr>
          <w:rFonts w:ascii="Arial Narrow" w:hAnsi="Arial Narrow" w:cs="Arial"/>
          <w:sz w:val="22"/>
          <w:szCs w:val="22"/>
        </w:rPr>
        <w:t xml:space="preserve">, capacitando a los estudiantes en el uso de herramientas de </w:t>
      </w:r>
      <w:r w:rsidRPr="00995CF1">
        <w:rPr>
          <w:rFonts w:ascii="Arial Narrow" w:hAnsi="Arial Narrow" w:cs="Arial"/>
          <w:b/>
          <w:bCs/>
          <w:sz w:val="22"/>
          <w:szCs w:val="22"/>
        </w:rPr>
        <w:t>análisis no lineal</w:t>
      </w:r>
      <w:r w:rsidRPr="00995CF1">
        <w:rPr>
          <w:rFonts w:ascii="Arial Narrow" w:hAnsi="Arial Narrow" w:cs="Arial"/>
          <w:sz w:val="22"/>
          <w:szCs w:val="22"/>
        </w:rPr>
        <w:t xml:space="preserve"> (estático y dinámico) para evaluar niveles de daño específicos (Ocupación Inmediata, Seguridad de Vida y Prevención de Colapso) en estructuras de materiales convencionales y no convencionales.</w:t>
      </w:r>
    </w:p>
    <w:p w14:paraId="3F0CF3EC" w14:textId="77777777" w:rsidR="009C1F54" w:rsidRPr="009C1F54" w:rsidRDefault="009C1F54" w:rsidP="009C1F54">
      <w:pPr>
        <w:numPr>
          <w:ilvl w:val="1"/>
          <w:numId w:val="17"/>
        </w:numPr>
        <w:spacing w:line="276" w:lineRule="auto"/>
        <w:jc w:val="both"/>
        <w:rPr>
          <w:rFonts w:ascii="Arial Narrow" w:hAnsi="Arial Narrow" w:cs="Arial"/>
          <w:sz w:val="22"/>
          <w:szCs w:val="22"/>
        </w:rPr>
      </w:pPr>
      <w:r w:rsidRPr="009C1F54">
        <w:rPr>
          <w:rFonts w:ascii="Arial Narrow" w:hAnsi="Arial Narrow" w:cs="Arial"/>
          <w:sz w:val="22"/>
          <w:szCs w:val="22"/>
        </w:rPr>
        <w:t xml:space="preserve">Desarrollar programas de posgrado (asignaturas y seminarios) enfocados en la </w:t>
      </w:r>
      <w:r w:rsidRPr="009C1F54">
        <w:rPr>
          <w:rFonts w:ascii="Arial Narrow" w:hAnsi="Arial Narrow" w:cs="Arial"/>
          <w:b/>
          <w:bCs/>
          <w:sz w:val="22"/>
          <w:szCs w:val="22"/>
        </w:rPr>
        <w:t>cuantificación probabilística del riesgo</w:t>
      </w:r>
      <w:r w:rsidRPr="009C1F54">
        <w:rPr>
          <w:rFonts w:ascii="Arial Narrow" w:hAnsi="Arial Narrow" w:cs="Arial"/>
          <w:sz w:val="22"/>
          <w:szCs w:val="22"/>
        </w:rPr>
        <w:t xml:space="preserve"> y el uso de estándares internacionales (ASCE, FEMA) para la intervención de edificaciones.</w:t>
      </w:r>
    </w:p>
    <w:p w14:paraId="6EF66D56" w14:textId="77777777" w:rsidR="009C1F54" w:rsidRPr="009C1F54" w:rsidRDefault="009C1F54" w:rsidP="009C1F54">
      <w:pPr>
        <w:numPr>
          <w:ilvl w:val="0"/>
          <w:numId w:val="17"/>
        </w:numPr>
        <w:spacing w:line="276" w:lineRule="auto"/>
        <w:jc w:val="both"/>
        <w:rPr>
          <w:rFonts w:ascii="Arial Narrow" w:hAnsi="Arial Narrow" w:cs="Arial"/>
          <w:sz w:val="22"/>
          <w:szCs w:val="22"/>
        </w:rPr>
      </w:pPr>
      <w:r w:rsidRPr="009C1F54">
        <w:rPr>
          <w:rFonts w:ascii="Arial Narrow" w:hAnsi="Arial Narrow" w:cs="Arial"/>
          <w:b/>
          <w:bCs/>
          <w:sz w:val="22"/>
          <w:szCs w:val="22"/>
        </w:rPr>
        <w:t>En Investigación:</w:t>
      </w:r>
    </w:p>
    <w:p w14:paraId="7ECD7CD1" w14:textId="2DC725E7" w:rsidR="009C1F54" w:rsidRPr="009C1F54" w:rsidRDefault="00CB6007" w:rsidP="009C1F54">
      <w:pPr>
        <w:numPr>
          <w:ilvl w:val="1"/>
          <w:numId w:val="17"/>
        </w:numPr>
        <w:spacing w:line="276" w:lineRule="auto"/>
        <w:jc w:val="both"/>
        <w:rPr>
          <w:rFonts w:ascii="Arial Narrow" w:hAnsi="Arial Narrow" w:cs="Arial"/>
          <w:sz w:val="22"/>
          <w:szCs w:val="22"/>
        </w:rPr>
      </w:pPr>
      <w:r w:rsidRPr="00CB6007">
        <w:rPr>
          <w:rFonts w:ascii="Arial Narrow" w:hAnsi="Arial Narrow" w:cs="Arial"/>
          <w:sz w:val="22"/>
          <w:szCs w:val="22"/>
        </w:rPr>
        <w:t xml:space="preserve">Consolidar una línea de investigación en </w:t>
      </w:r>
      <w:r w:rsidRPr="00CB6007">
        <w:rPr>
          <w:rFonts w:ascii="Arial Narrow" w:hAnsi="Arial Narrow" w:cs="Arial"/>
          <w:b/>
          <w:bCs/>
          <w:sz w:val="22"/>
          <w:szCs w:val="22"/>
        </w:rPr>
        <w:t>Resiliencia Multirriesgo</w:t>
      </w:r>
      <w:r w:rsidRPr="00CB6007">
        <w:rPr>
          <w:rFonts w:ascii="Arial Narrow" w:hAnsi="Arial Narrow" w:cs="Arial"/>
          <w:sz w:val="22"/>
          <w:szCs w:val="22"/>
        </w:rPr>
        <w:t xml:space="preserve">, fundamentada en un </w:t>
      </w:r>
      <w:r w:rsidRPr="00CB6007">
        <w:rPr>
          <w:rFonts w:ascii="Arial Narrow" w:hAnsi="Arial Narrow" w:cs="Arial"/>
          <w:b/>
          <w:bCs/>
          <w:sz w:val="22"/>
          <w:szCs w:val="22"/>
        </w:rPr>
        <w:t>tetraedro de validación</w:t>
      </w:r>
      <w:r w:rsidRPr="00CB6007">
        <w:rPr>
          <w:rFonts w:ascii="Arial Narrow" w:hAnsi="Arial Narrow" w:cs="Arial"/>
          <w:sz w:val="22"/>
          <w:szCs w:val="22"/>
        </w:rPr>
        <w:t xml:space="preserve"> que integra cuatro pilares fundamentales: </w:t>
      </w:r>
      <w:r w:rsidRPr="00CB6007">
        <w:rPr>
          <w:rFonts w:ascii="Arial Narrow" w:hAnsi="Arial Narrow" w:cs="Arial"/>
          <w:b/>
          <w:bCs/>
          <w:sz w:val="22"/>
          <w:szCs w:val="22"/>
        </w:rPr>
        <w:t xml:space="preserve">analítico, numérico, experimental y empírico (evidencia </w:t>
      </w:r>
      <w:proofErr w:type="spellStart"/>
      <w:r w:rsidRPr="00CB6007">
        <w:rPr>
          <w:rFonts w:ascii="Arial Narrow" w:hAnsi="Arial Narrow" w:cs="Arial"/>
          <w:b/>
          <w:bCs/>
          <w:sz w:val="22"/>
          <w:szCs w:val="22"/>
        </w:rPr>
        <w:t>post-evento</w:t>
      </w:r>
      <w:proofErr w:type="spellEnd"/>
      <w:r w:rsidRPr="00CB6007">
        <w:rPr>
          <w:rFonts w:ascii="Arial Narrow" w:hAnsi="Arial Narrow" w:cs="Arial"/>
          <w:b/>
          <w:bCs/>
          <w:sz w:val="22"/>
          <w:szCs w:val="22"/>
        </w:rPr>
        <w:t>)</w:t>
      </w:r>
      <w:r w:rsidRPr="00CB6007">
        <w:rPr>
          <w:rFonts w:ascii="Arial Narrow" w:hAnsi="Arial Narrow" w:cs="Arial"/>
          <w:sz w:val="22"/>
          <w:szCs w:val="22"/>
        </w:rPr>
        <w:t>. Este enfoque permite calibrar los modelos teóricos con levantamientos de daños reales en campo, logrando una caracterización de la fragilidad estructural mucho más precisa ante amenazas naturales concurrentes.</w:t>
      </w:r>
    </w:p>
    <w:p w14:paraId="2C3A5271" w14:textId="4582D195" w:rsidR="009C1F54" w:rsidRPr="009C1F54" w:rsidRDefault="009C1F54" w:rsidP="009C1F54">
      <w:pPr>
        <w:numPr>
          <w:ilvl w:val="1"/>
          <w:numId w:val="17"/>
        </w:numPr>
        <w:spacing w:line="276" w:lineRule="auto"/>
        <w:jc w:val="both"/>
        <w:rPr>
          <w:rFonts w:ascii="Arial Narrow" w:hAnsi="Arial Narrow" w:cs="Arial"/>
          <w:sz w:val="22"/>
          <w:szCs w:val="22"/>
        </w:rPr>
      </w:pPr>
      <w:r w:rsidRPr="009C1F54">
        <w:rPr>
          <w:rFonts w:ascii="Arial Narrow" w:hAnsi="Arial Narrow" w:cs="Arial"/>
          <w:sz w:val="22"/>
          <w:szCs w:val="22"/>
        </w:rPr>
        <w:t xml:space="preserve">Fomentar la </w:t>
      </w:r>
      <w:r w:rsidRPr="009C1F54">
        <w:rPr>
          <w:rFonts w:ascii="Arial Narrow" w:hAnsi="Arial Narrow" w:cs="Arial"/>
          <w:b/>
          <w:bCs/>
          <w:sz w:val="22"/>
          <w:szCs w:val="22"/>
        </w:rPr>
        <w:t>internacionalización</w:t>
      </w:r>
      <w:r w:rsidRPr="009C1F54">
        <w:rPr>
          <w:rFonts w:ascii="Arial Narrow" w:hAnsi="Arial Narrow" w:cs="Arial"/>
          <w:sz w:val="22"/>
          <w:szCs w:val="22"/>
        </w:rPr>
        <w:t xml:space="preserve"> del departamento mediante convenios de cooperación con centros de excelencia (como la </w:t>
      </w:r>
      <w:r w:rsidRPr="009C1F54">
        <w:rPr>
          <w:rFonts w:ascii="Arial Narrow" w:hAnsi="Arial Narrow" w:cs="Arial"/>
          <w:b/>
          <w:bCs/>
          <w:sz w:val="22"/>
          <w:szCs w:val="22"/>
        </w:rPr>
        <w:t>UBC</w:t>
      </w:r>
      <w:r w:rsidRPr="009C1F54">
        <w:rPr>
          <w:rFonts w:ascii="Arial Narrow" w:hAnsi="Arial Narrow" w:cs="Arial"/>
          <w:sz w:val="22"/>
          <w:szCs w:val="22"/>
        </w:rPr>
        <w:t>) para la producción científica de alto impacto.</w:t>
      </w:r>
    </w:p>
    <w:p w14:paraId="54797DE9" w14:textId="77777777" w:rsidR="009C1F54" w:rsidRPr="009C1F54" w:rsidRDefault="009C1F54" w:rsidP="009C1F54">
      <w:pPr>
        <w:numPr>
          <w:ilvl w:val="0"/>
          <w:numId w:val="17"/>
        </w:numPr>
        <w:spacing w:line="276" w:lineRule="auto"/>
        <w:jc w:val="both"/>
        <w:rPr>
          <w:rFonts w:ascii="Arial Narrow" w:hAnsi="Arial Narrow" w:cs="Arial"/>
          <w:sz w:val="22"/>
          <w:szCs w:val="22"/>
        </w:rPr>
      </w:pPr>
      <w:r w:rsidRPr="009C1F54">
        <w:rPr>
          <w:rFonts w:ascii="Arial Narrow" w:hAnsi="Arial Narrow" w:cs="Arial"/>
          <w:b/>
          <w:bCs/>
          <w:sz w:val="22"/>
          <w:szCs w:val="22"/>
        </w:rPr>
        <w:t>En Extensión:</w:t>
      </w:r>
    </w:p>
    <w:p w14:paraId="53E02AB6" w14:textId="77777777" w:rsidR="009C1F54" w:rsidRPr="009C1F54" w:rsidRDefault="009C1F54" w:rsidP="009C1F54">
      <w:pPr>
        <w:numPr>
          <w:ilvl w:val="1"/>
          <w:numId w:val="17"/>
        </w:numPr>
        <w:spacing w:line="276" w:lineRule="auto"/>
        <w:jc w:val="both"/>
        <w:rPr>
          <w:rFonts w:ascii="Arial Narrow" w:hAnsi="Arial Narrow" w:cs="Arial"/>
          <w:sz w:val="22"/>
          <w:szCs w:val="22"/>
        </w:rPr>
      </w:pPr>
      <w:r w:rsidRPr="009C1F54">
        <w:rPr>
          <w:rFonts w:ascii="Arial Narrow" w:hAnsi="Arial Narrow" w:cs="Arial"/>
          <w:sz w:val="22"/>
          <w:szCs w:val="22"/>
        </w:rPr>
        <w:t xml:space="preserve">Transferir conocimiento técnico especializado a los entes gubernamentales para el fortalecimiento de los </w:t>
      </w:r>
      <w:r w:rsidRPr="009C1F54">
        <w:rPr>
          <w:rFonts w:ascii="Arial Narrow" w:hAnsi="Arial Narrow" w:cs="Arial"/>
          <w:b/>
          <w:bCs/>
          <w:sz w:val="22"/>
          <w:szCs w:val="22"/>
        </w:rPr>
        <w:t>Planes Municipales de Gestión del Riesgo (PMGRD)</w:t>
      </w:r>
      <w:r w:rsidRPr="009C1F54">
        <w:rPr>
          <w:rFonts w:ascii="Arial Narrow" w:hAnsi="Arial Narrow" w:cs="Arial"/>
          <w:sz w:val="22"/>
          <w:szCs w:val="22"/>
        </w:rPr>
        <w:t xml:space="preserve"> y la protección de infraestructura crítica.</w:t>
      </w:r>
    </w:p>
    <w:p w14:paraId="59D36481" w14:textId="77777777" w:rsidR="009C1F54" w:rsidRPr="009C1F54" w:rsidRDefault="009C1F54" w:rsidP="009C1F54">
      <w:pPr>
        <w:numPr>
          <w:ilvl w:val="1"/>
          <w:numId w:val="17"/>
        </w:numPr>
        <w:spacing w:line="276" w:lineRule="auto"/>
        <w:jc w:val="both"/>
        <w:rPr>
          <w:rFonts w:ascii="Arial Narrow" w:hAnsi="Arial Narrow" w:cs="Arial"/>
          <w:sz w:val="22"/>
          <w:szCs w:val="22"/>
        </w:rPr>
      </w:pPr>
      <w:r w:rsidRPr="009C1F54">
        <w:rPr>
          <w:rFonts w:ascii="Arial Narrow" w:hAnsi="Arial Narrow" w:cs="Arial"/>
          <w:sz w:val="22"/>
          <w:szCs w:val="22"/>
        </w:rPr>
        <w:lastRenderedPageBreak/>
        <w:t xml:space="preserve">Desarrollar soluciones de </w:t>
      </w:r>
      <w:r w:rsidRPr="009C1F54">
        <w:rPr>
          <w:rFonts w:ascii="Arial Narrow" w:hAnsi="Arial Narrow" w:cs="Arial"/>
          <w:b/>
          <w:bCs/>
          <w:sz w:val="22"/>
          <w:szCs w:val="22"/>
        </w:rPr>
        <w:t>reforzamiento y mitigación</w:t>
      </w:r>
      <w:r w:rsidRPr="009C1F54">
        <w:rPr>
          <w:rFonts w:ascii="Arial Narrow" w:hAnsi="Arial Narrow" w:cs="Arial"/>
          <w:sz w:val="22"/>
          <w:szCs w:val="22"/>
        </w:rPr>
        <w:t xml:space="preserve"> (convencionales y de vanguardia) que reduzcan el "costo-país" ante desastres, posicionando a la Universidad Nacional como el principal consultor técnico del Estado.</w:t>
      </w:r>
    </w:p>
    <w:p w14:paraId="567147BB" w14:textId="508C0C14" w:rsidR="00740934" w:rsidRPr="00E4516A" w:rsidRDefault="00740934" w:rsidP="00740934">
      <w:pPr>
        <w:spacing w:line="276" w:lineRule="auto"/>
        <w:rPr>
          <w:rFonts w:ascii="Arial Narrow" w:hAnsi="Arial Narrow" w:cs="Arial"/>
          <w:b/>
          <w:bCs/>
          <w:sz w:val="22"/>
          <w:szCs w:val="22"/>
        </w:rPr>
      </w:pPr>
      <w:r>
        <w:rPr>
          <w:rFonts w:ascii="Arial Narrow" w:hAnsi="Arial Narrow" w:cs="Arial"/>
          <w:b/>
          <w:bCs/>
          <w:sz w:val="22"/>
          <w:szCs w:val="22"/>
        </w:rPr>
        <w:t>3</w:t>
      </w:r>
      <w:r w:rsidRPr="00E4516A">
        <w:rPr>
          <w:rFonts w:ascii="Arial Narrow" w:hAnsi="Arial Narrow" w:cs="Arial"/>
          <w:b/>
          <w:bCs/>
          <w:sz w:val="22"/>
          <w:szCs w:val="22"/>
        </w:rPr>
        <w:t>. PLAN DE DOCENCIA: FORMACIÓN INTEGRAL E INNOVACIÓN</w:t>
      </w:r>
    </w:p>
    <w:p w14:paraId="52D9B5B6" w14:textId="2B6FFCDB" w:rsidR="00740934" w:rsidRDefault="00740934" w:rsidP="00740934">
      <w:pPr>
        <w:numPr>
          <w:ilvl w:val="0"/>
          <w:numId w:val="13"/>
        </w:numPr>
        <w:spacing w:line="276" w:lineRule="auto"/>
        <w:jc w:val="both"/>
        <w:rPr>
          <w:rFonts w:ascii="Arial Narrow" w:hAnsi="Arial Narrow" w:cs="Arial"/>
          <w:sz w:val="22"/>
          <w:szCs w:val="22"/>
        </w:rPr>
      </w:pPr>
      <w:r w:rsidRPr="00E4516A">
        <w:rPr>
          <w:rFonts w:ascii="Arial Narrow" w:hAnsi="Arial Narrow" w:cs="Arial"/>
          <w:b/>
          <w:bCs/>
          <w:sz w:val="22"/>
          <w:szCs w:val="22"/>
        </w:rPr>
        <w:t xml:space="preserve">   </w:t>
      </w:r>
      <w:r w:rsidRPr="008311FD">
        <w:rPr>
          <w:rFonts w:ascii="Arial Narrow" w:hAnsi="Arial Narrow" w:cs="Arial"/>
          <w:b/>
          <w:bCs/>
          <w:sz w:val="22"/>
          <w:szCs w:val="22"/>
        </w:rPr>
        <w:t>Fortalecimiento de la Fundamentación, el Diseño y la Ingeniería Sísmica</w:t>
      </w:r>
      <w:r w:rsidRPr="00E4516A">
        <w:rPr>
          <w:rFonts w:ascii="Arial Narrow" w:hAnsi="Arial Narrow" w:cs="Arial"/>
          <w:b/>
          <w:bCs/>
          <w:sz w:val="22"/>
          <w:szCs w:val="22"/>
        </w:rPr>
        <w:t>.</w:t>
      </w:r>
      <w:r w:rsidRPr="00E4516A">
        <w:rPr>
          <w:rFonts w:ascii="Arial Narrow" w:hAnsi="Arial Narrow" w:cs="Arial"/>
          <w:sz w:val="22"/>
          <w:szCs w:val="22"/>
        </w:rPr>
        <w:t xml:space="preserve"> </w:t>
      </w:r>
      <w:r w:rsidRPr="008311FD">
        <w:rPr>
          <w:rFonts w:ascii="Arial Narrow" w:hAnsi="Arial Narrow" w:cs="Arial"/>
          <w:sz w:val="22"/>
          <w:szCs w:val="22"/>
        </w:rPr>
        <w:t xml:space="preserve">Asumo el liderazgo de las cátedras de </w:t>
      </w:r>
      <w:r w:rsidRPr="008311FD">
        <w:rPr>
          <w:rFonts w:ascii="Arial Narrow" w:hAnsi="Arial Narrow" w:cs="Arial"/>
          <w:b/>
          <w:bCs/>
          <w:sz w:val="22"/>
          <w:szCs w:val="22"/>
        </w:rPr>
        <w:t>Análisis, Diseño de Estructuras e Ingeniería Sísmica</w:t>
      </w:r>
      <w:r w:rsidRPr="008311FD">
        <w:rPr>
          <w:rFonts w:ascii="Arial Narrow" w:hAnsi="Arial Narrow" w:cs="Arial"/>
          <w:sz w:val="22"/>
          <w:szCs w:val="22"/>
        </w:rPr>
        <w:t xml:space="preserve">, bajo un enfoque pedagógico donde el rigor analítico clásico gobierne el uso de herramientas computacionales. Mi metodología propone evolucionar la enseñanza tradicional hacia la comprensión del </w:t>
      </w:r>
      <w:r w:rsidRPr="008311FD">
        <w:rPr>
          <w:rFonts w:ascii="Arial Narrow" w:hAnsi="Arial Narrow" w:cs="Arial"/>
          <w:b/>
          <w:bCs/>
          <w:sz w:val="22"/>
          <w:szCs w:val="22"/>
        </w:rPr>
        <w:t>comportamiento no lineal</w:t>
      </w:r>
      <w:r w:rsidRPr="008311FD">
        <w:rPr>
          <w:rFonts w:ascii="Arial Narrow" w:hAnsi="Arial Narrow" w:cs="Arial"/>
          <w:sz w:val="22"/>
          <w:szCs w:val="22"/>
        </w:rPr>
        <w:t xml:space="preserve"> y el </w:t>
      </w:r>
      <w:r w:rsidRPr="008311FD">
        <w:rPr>
          <w:rFonts w:ascii="Arial Narrow" w:hAnsi="Arial Narrow" w:cs="Arial"/>
          <w:b/>
          <w:bCs/>
          <w:sz w:val="22"/>
          <w:szCs w:val="22"/>
        </w:rPr>
        <w:t>diseño basado en el desempeño</w:t>
      </w:r>
      <w:r w:rsidRPr="008311FD">
        <w:rPr>
          <w:rFonts w:ascii="Arial Narrow" w:hAnsi="Arial Narrow" w:cs="Arial"/>
          <w:sz w:val="22"/>
          <w:szCs w:val="22"/>
        </w:rPr>
        <w:t>, permitiendo que el estudiante comprenda la redistribución de esfuerzos, la ductilidad y los mecanismos de disipación de energía. Enseñaré a validar resultados complejos mediante modelos simplificados e interpretación física de la respuesta, garantizando que el diseño de elementos en concreto, acero o mampostería sea una práctica profesional responsable, crítica y alineada con la normativa nacional y la seguridad de la vida</w:t>
      </w:r>
      <w:r w:rsidR="00F918A6">
        <w:rPr>
          <w:rFonts w:ascii="Arial Narrow" w:hAnsi="Arial Narrow" w:cs="Arial"/>
          <w:sz w:val="22"/>
          <w:szCs w:val="22"/>
        </w:rPr>
        <w:t xml:space="preserve"> (AIS, 2010)</w:t>
      </w:r>
      <w:r w:rsidRPr="008311FD">
        <w:rPr>
          <w:rFonts w:ascii="Arial Narrow" w:hAnsi="Arial Narrow" w:cs="Arial"/>
          <w:sz w:val="22"/>
          <w:szCs w:val="22"/>
        </w:rPr>
        <w:t>.</w:t>
      </w:r>
    </w:p>
    <w:p w14:paraId="051CECB9" w14:textId="3E0BC8A2" w:rsidR="00740934" w:rsidRPr="00E4516A" w:rsidRDefault="00740934" w:rsidP="00740934">
      <w:pPr>
        <w:numPr>
          <w:ilvl w:val="0"/>
          <w:numId w:val="13"/>
        </w:numPr>
        <w:spacing w:line="276" w:lineRule="auto"/>
        <w:jc w:val="both"/>
        <w:rPr>
          <w:rFonts w:ascii="Arial Narrow" w:hAnsi="Arial Narrow" w:cs="Arial"/>
          <w:sz w:val="22"/>
          <w:szCs w:val="22"/>
        </w:rPr>
      </w:pPr>
      <w:r w:rsidRPr="00E4516A">
        <w:rPr>
          <w:rFonts w:ascii="Arial Narrow" w:hAnsi="Arial Narrow" w:cs="Arial"/>
          <w:b/>
          <w:bCs/>
          <w:sz w:val="22"/>
          <w:szCs w:val="22"/>
        </w:rPr>
        <w:t>Innovación en Posgrado: Diseño Basado en el Desempeño y Resiliencia Multirriesgo.</w:t>
      </w:r>
      <w:r w:rsidRPr="00E4516A">
        <w:rPr>
          <w:rFonts w:ascii="Arial Narrow" w:hAnsi="Arial Narrow" w:cs="Arial"/>
          <w:sz w:val="22"/>
          <w:szCs w:val="22"/>
        </w:rPr>
        <w:t xml:space="preserve"> Aprovechando mi formación doctoral y experiencia en la Especialización en Estructuras, propongo fortalecer el posgrado mediante la asignatura </w:t>
      </w:r>
      <w:r w:rsidRPr="00E4516A">
        <w:rPr>
          <w:rFonts w:ascii="Arial Narrow" w:hAnsi="Arial Narrow" w:cs="Arial"/>
          <w:b/>
          <w:bCs/>
          <w:sz w:val="22"/>
          <w:szCs w:val="22"/>
        </w:rPr>
        <w:t>'Resiliencia y Control Estructural'</w:t>
      </w:r>
      <w:r w:rsidRPr="00E4516A">
        <w:rPr>
          <w:rFonts w:ascii="Arial Narrow" w:hAnsi="Arial Narrow" w:cs="Arial"/>
          <w:sz w:val="22"/>
          <w:szCs w:val="22"/>
        </w:rPr>
        <w:t xml:space="preserve">. Esta cátedra adoptará el </w:t>
      </w:r>
      <w:r w:rsidRPr="00E4516A">
        <w:rPr>
          <w:rFonts w:ascii="Arial Narrow" w:hAnsi="Arial Narrow" w:cs="Arial"/>
          <w:b/>
          <w:bCs/>
          <w:sz w:val="22"/>
          <w:szCs w:val="22"/>
        </w:rPr>
        <w:t>Diseño Basado en el Desempeño (PBD)</w:t>
      </w:r>
      <w:r w:rsidRPr="00E4516A">
        <w:rPr>
          <w:rFonts w:ascii="Arial Narrow" w:hAnsi="Arial Narrow" w:cs="Arial"/>
          <w:sz w:val="22"/>
          <w:szCs w:val="22"/>
        </w:rPr>
        <w:t xml:space="preserve"> como marco rector, vinculando la teoría avanzada con estándares internacionales de análisis dinámico no lineal (</w:t>
      </w:r>
      <w:r w:rsidRPr="00E4516A">
        <w:rPr>
          <w:rFonts w:ascii="Arial Narrow" w:hAnsi="Arial Narrow" w:cs="Arial"/>
          <w:b/>
          <w:bCs/>
          <w:sz w:val="22"/>
          <w:szCs w:val="22"/>
        </w:rPr>
        <w:t>ASCE 41 y FEMA P-58</w:t>
      </w:r>
      <w:r w:rsidRPr="00E4516A">
        <w:rPr>
          <w:rFonts w:ascii="Arial Narrow" w:hAnsi="Arial Narrow" w:cs="Arial"/>
          <w:sz w:val="22"/>
          <w:szCs w:val="22"/>
        </w:rPr>
        <w:t xml:space="preserve">). Un componente innovador de la materia será el enfoque multirriesgo, donde los estudiantes aprenderán a </w:t>
      </w:r>
      <w:r w:rsidRPr="00E4516A">
        <w:rPr>
          <w:rFonts w:ascii="Arial Narrow" w:hAnsi="Arial Narrow" w:cs="Arial"/>
          <w:b/>
          <w:bCs/>
          <w:sz w:val="22"/>
          <w:szCs w:val="22"/>
        </w:rPr>
        <w:t>evaluar e incluir</w:t>
      </w:r>
      <w:r w:rsidRPr="00E4516A">
        <w:rPr>
          <w:rFonts w:ascii="Arial Narrow" w:hAnsi="Arial Narrow" w:cs="Arial"/>
          <w:sz w:val="22"/>
          <w:szCs w:val="22"/>
        </w:rPr>
        <w:t xml:space="preserve"> la fragilidad estructural ante </w:t>
      </w:r>
      <w:r w:rsidRPr="00E4516A">
        <w:rPr>
          <w:rFonts w:ascii="Arial Narrow" w:hAnsi="Arial Narrow" w:cs="Arial"/>
          <w:b/>
          <w:bCs/>
          <w:sz w:val="22"/>
          <w:szCs w:val="22"/>
        </w:rPr>
        <w:t xml:space="preserve">otro tipo de eventos como movimientos en masa y eventos </w:t>
      </w:r>
      <w:proofErr w:type="spellStart"/>
      <w:r w:rsidRPr="00E4516A">
        <w:rPr>
          <w:rFonts w:ascii="Arial Narrow" w:hAnsi="Arial Narrow" w:cs="Arial"/>
          <w:b/>
          <w:bCs/>
          <w:sz w:val="22"/>
          <w:szCs w:val="22"/>
        </w:rPr>
        <w:t>NaTech</w:t>
      </w:r>
      <w:proofErr w:type="spellEnd"/>
      <w:r w:rsidRPr="00E4516A">
        <w:rPr>
          <w:rFonts w:ascii="Arial Narrow" w:hAnsi="Arial Narrow" w:cs="Arial"/>
          <w:sz w:val="22"/>
          <w:szCs w:val="22"/>
        </w:rPr>
        <w:t xml:space="preserve"> en infraestructura crítica. Asimismo, se integrarán metodologías para la estimación de consecuencias a escala regional siguiendo los lineamientos de los documentos </w:t>
      </w:r>
      <w:r w:rsidRPr="00E4516A">
        <w:rPr>
          <w:rFonts w:ascii="Arial Narrow" w:hAnsi="Arial Narrow" w:cs="Arial"/>
          <w:b/>
          <w:bCs/>
          <w:sz w:val="22"/>
          <w:szCs w:val="22"/>
        </w:rPr>
        <w:t>HAZUS (FEMA), entre otros</w:t>
      </w:r>
      <w:r w:rsidRPr="00E4516A">
        <w:rPr>
          <w:rFonts w:ascii="Arial Narrow" w:hAnsi="Arial Narrow" w:cs="Arial"/>
          <w:sz w:val="22"/>
          <w:szCs w:val="22"/>
        </w:rPr>
        <w:t xml:space="preserve">. Esta asignatura servirá como puente entre la investigación de vanguardia, la </w:t>
      </w:r>
      <w:r w:rsidRPr="00E4516A">
        <w:rPr>
          <w:rFonts w:ascii="Arial Narrow" w:hAnsi="Arial Narrow" w:cs="Arial"/>
          <w:b/>
          <w:bCs/>
          <w:sz w:val="22"/>
          <w:szCs w:val="22"/>
        </w:rPr>
        <w:t>validación experimental en laboratorio</w:t>
      </w:r>
      <w:r w:rsidRPr="00E4516A">
        <w:rPr>
          <w:rFonts w:ascii="Arial Narrow" w:hAnsi="Arial Narrow" w:cs="Arial"/>
          <w:sz w:val="22"/>
          <w:szCs w:val="22"/>
        </w:rPr>
        <w:t xml:space="preserve"> y la práctica profesional, conectando a los estudiantes con redes globales como la </w:t>
      </w:r>
      <w:r w:rsidRPr="00E4516A">
        <w:rPr>
          <w:rFonts w:ascii="Arial Narrow" w:hAnsi="Arial Narrow" w:cs="Arial"/>
          <w:b/>
          <w:bCs/>
          <w:sz w:val="22"/>
          <w:szCs w:val="22"/>
        </w:rPr>
        <w:t>UBC (Canadá)</w:t>
      </w:r>
      <w:r w:rsidRPr="00E4516A">
        <w:rPr>
          <w:rFonts w:ascii="Arial Narrow" w:hAnsi="Arial Narrow" w:cs="Arial"/>
          <w:sz w:val="22"/>
          <w:szCs w:val="22"/>
        </w:rPr>
        <w:t xml:space="preserve"> para la toma de decisiones informadas en la protección de sistemas complejos.</w:t>
      </w:r>
    </w:p>
    <w:p w14:paraId="41B2345F" w14:textId="015A194F" w:rsidR="00740934" w:rsidRPr="00E4516A" w:rsidRDefault="00740934" w:rsidP="00740934">
      <w:pPr>
        <w:numPr>
          <w:ilvl w:val="0"/>
          <w:numId w:val="13"/>
        </w:numPr>
        <w:spacing w:line="276" w:lineRule="auto"/>
        <w:jc w:val="both"/>
        <w:rPr>
          <w:rFonts w:ascii="Arial Narrow" w:hAnsi="Arial Narrow" w:cs="Arial"/>
          <w:sz w:val="22"/>
          <w:szCs w:val="22"/>
        </w:rPr>
      </w:pPr>
      <w:r w:rsidRPr="00E4516A">
        <w:rPr>
          <w:rFonts w:ascii="Arial Narrow" w:hAnsi="Arial Narrow" w:cs="Arial"/>
          <w:b/>
          <w:bCs/>
          <w:sz w:val="22"/>
          <w:szCs w:val="22"/>
        </w:rPr>
        <w:t>Seminarios de Especialidad y Formación Investigativa:</w:t>
      </w:r>
      <w:r w:rsidRPr="00E4516A">
        <w:rPr>
          <w:rFonts w:ascii="Arial Narrow" w:hAnsi="Arial Narrow" w:cs="Arial"/>
          <w:sz w:val="22"/>
          <w:szCs w:val="22"/>
        </w:rPr>
        <w:t xml:space="preserve"> Proponer asignaturas sobre </w:t>
      </w:r>
      <w:r w:rsidRPr="00E4516A">
        <w:rPr>
          <w:rFonts w:ascii="Arial Narrow" w:hAnsi="Arial Narrow" w:cs="Arial"/>
          <w:b/>
          <w:bCs/>
          <w:sz w:val="22"/>
          <w:szCs w:val="22"/>
        </w:rPr>
        <w:t>Vulnerabilidad Física Multirriesgo</w:t>
      </w:r>
      <w:r w:rsidRPr="00E4516A">
        <w:rPr>
          <w:rFonts w:ascii="Arial Narrow" w:hAnsi="Arial Narrow" w:cs="Arial"/>
          <w:sz w:val="22"/>
          <w:szCs w:val="22"/>
        </w:rPr>
        <w:t xml:space="preserve">, donde los estudiantes analicen el comportamiento mecánico y probabilista de estructuras y obras de mitigación. Se fomentará el desarrollo de </w:t>
      </w:r>
      <w:r w:rsidRPr="00E4516A">
        <w:rPr>
          <w:rFonts w:ascii="Arial Narrow" w:hAnsi="Arial Narrow" w:cs="Arial"/>
          <w:b/>
          <w:bCs/>
          <w:sz w:val="22"/>
          <w:szCs w:val="22"/>
        </w:rPr>
        <w:t>curvas de capacidad y fragilidad</w:t>
      </w:r>
      <w:r w:rsidRPr="00E4516A">
        <w:rPr>
          <w:rFonts w:ascii="Arial Narrow" w:hAnsi="Arial Narrow" w:cs="Arial"/>
          <w:sz w:val="22"/>
          <w:szCs w:val="22"/>
        </w:rPr>
        <w:t xml:space="preserve"> mediante la cuantificación de incertidumbres, integrando métodos estocásticos de alta eficiencia (como el </w:t>
      </w:r>
      <w:r w:rsidRPr="00E4516A">
        <w:rPr>
          <w:rFonts w:ascii="Arial Narrow" w:hAnsi="Arial Narrow" w:cs="Arial"/>
          <w:b/>
          <w:bCs/>
          <w:sz w:val="22"/>
          <w:szCs w:val="22"/>
        </w:rPr>
        <w:t>Método de Rosenblueth</w:t>
      </w:r>
      <w:r w:rsidRPr="00E4516A">
        <w:rPr>
          <w:rFonts w:ascii="Arial Narrow" w:hAnsi="Arial Narrow" w:cs="Arial"/>
          <w:sz w:val="22"/>
          <w:szCs w:val="22"/>
        </w:rPr>
        <w:t>) y simulaciones de Monte Carlo</w:t>
      </w:r>
      <w:r w:rsidR="00A011D1">
        <w:rPr>
          <w:rFonts w:ascii="Arial Narrow" w:hAnsi="Arial Narrow" w:cs="Arial"/>
          <w:sz w:val="22"/>
          <w:szCs w:val="22"/>
        </w:rPr>
        <w:t xml:space="preserve"> </w:t>
      </w:r>
      <w:r w:rsidR="00181493">
        <w:rPr>
          <w:rFonts w:ascii="Arial Narrow" w:hAnsi="Arial Narrow" w:cs="Arial"/>
          <w:sz w:val="22"/>
          <w:szCs w:val="22"/>
        </w:rPr>
        <w:fldChar w:fldCharType="begin" w:fldLock="1"/>
      </w:r>
      <w:r w:rsidR="00D676FF">
        <w:rPr>
          <w:rFonts w:ascii="Arial Narrow" w:hAnsi="Arial Narrow" w:cs="Arial"/>
          <w:sz w:val="22"/>
          <w:szCs w:val="22"/>
        </w:rPr>
        <w:instrText>ADDIN CSL_CITATION {"citationItems":[{"id":"ITEM-1","itemData":{"DOI":"10.1007/s11367-019-01698-4","ISSN":"16147502","abstract":"Introduction: The Monte Carlo technique is widely used and recommended for including uncertainties LCA. Typically, 1000 or 10,000 runs are done, but a clear argument for that number is not available, and with the growing size of LCA databases, an excessively high number of runs may be a time-consuming thing. We therefore investigate if a large number of runs are useful, or if it might be unnecessary or even harmful. Probability theory: We review the standard theory or probability distributions for describing stochastic variables, including the combination of different stochastic variables into a calculation. We also review the standard theory of inferential statistics for estimating a probability distribution, given a sample of values. For estimating the distribution of a function of probability distributions, two major techniques are available, analytical, applying probability theory and numerical, using Monte Carlo simulation. Because the analytical technique is often unavailable, the obvious way-out is Monte Carlo. However, we demonstrate and illustrate that it leads to overly precise conclusions on the values of estimated parameters, and to incorrect hypothesis tests. Numerical illustration: We demonstrate the effect for two simple cases: one system in a stand-alone analysis and a comparative analysis of two alternative systems. Both cases illustrate that statistical hypotheses that should not be rejected in fact are rejected in a highly convincing way, thus pointing out a fundamental flaw. Discussion and conclusions: Apart form the obvious recommendation to use larger samples for estimating input distributions, we suggest to restrict the number of Monte Carlo runs to a number not greater than the sample sizes used for the input parameters. As a final note, when the input parameters are not estimated using samples, but through a procedure, such as the popular pedigree approach, the Monte Carlo approach should not be used at all.","author":[{"dropping-particle":"","family":"Heijungs","given":"Reinout","non-dropping-particle":"","parse-names":false,"suffix":""}],"container-title":"International Journal of Life Cycle Assessment","id":"ITEM-1","issue":"2","issued":{"date-parts":[["2020"]]},"page":"394-402","publisher":"The International Journal of Life Cycle Assessment","title":"On the number of Monte Carlo runs in comparative probabilistic LCA","type":"article-journal","volume":"25"},"uris":["http://www.mendeley.com/documents/?uuid=88cc4246-7084-460d-aa32-5fbc41afcd58"]},{"id":"ITEM-2","itemData":{"DOI":"10.1016/j.soildyn.2016.11.004","ISSN":"02677261","abstract":"Seismic performance of reinforced concrete (RC) frame buildings is mostly assessed based on the distinct interstorey drift limits defined by many existing guidelines. In reality, damage of a structure is a continuous process under the action of the load and also depends on a number of factors. Therefore damage can be more logically defined with a fuzzy performance level than a distinct interstorey drift limit. In this paper, probability and fuzzy set theory are used to estimate the realistic failure probabilities of the RC buildings in Bhutan by considering randomness in material and geometrical parameters and fuzziness in the damage criteria. Three typical RC frame buildings in Thimphu, Bhutan and the ground motions predicted at the generic soil sites in Thimphu are used for the structural response prediction. Rosenbluth Point Estimate Method is used for modelling the statistical variation of the input parameters and the computer program Perform 3D is used for carrying out the dynamic nonlinear analysis of the buildings. Monte Carlo Simulation is employed to validate the accuracy of the Rosenbluth Point Estimate Method and determine the statistical distribution of the response quantities. Soil structure interaction (SSI) is considered at the soft soil site using the uncoupled spring model. Based on the mean and standard deviation of the intersotrey drifts obtained from the analyses, the fuzzy failure probabilities of the buildings are estimated. It is found that under the 475 year return period ground motions, typical buildings experience a high probability of irreparable and severe damages, while the high probability of severe damage and complete collapse are predicted under the 2475 year return period ground motions. SSI is found to be detrimental to the 3 storey building, while no significant effect is observed to the 6 storey building.","author":[{"dropping-particle":"","family":"Thinley","given":"K.","non-dropping-particle":"","parse-names":false,"suffix":""},{"dropping-particle":"","family":"Hao","given":"H.","non-dropping-particle":"","parse-names":false,"suffix":""}],"container-title":"Soil Dynamics and Earthquake Engineering","id":"ITEM-2","issued":{"date-parts":[["2017"]]},"page":"604-620","title":"Seismic performance of reinforced concrete frame buildings in Bhutan based on fuzzy probability analysis","type":"article-journal","volume":"92"},"uris":["http://www.mendeley.com/documents/?uuid=3a3438d1-c637-48ef-ad28-5c2acb487756"]},{"id":"ITEM-3","itemData":{"DOI":"10.1073/pnas.72.10.3812","ISSN":"00278424","author":[{"dropping-particle":"","family":"Rosenblueth","given":"E.","non-dropping-particle":"","parse-names":false,"suffix":""}],"container-title":"Proceedings of the National Academy of Sciences of the United States of America","id":"ITEM-3","issue":"10","issued":{"date-parts":[["1975"]]},"page":"3812-3814","title":"Point estimates for probability moments","type":"article-journal","volume":"72"},"uris":["http://www.mendeley.com/documents/?uuid=72ea6d44-2158-482a-acfb-e342c0d09cfd"]},{"id":"ITEM-4","itemData":{"ISBN":"978-958-695-151-7","author":[{"dropping-particle":"","family":"Sanchez Silva","given":"Mauricio","non-dropping-particle":"","parse-names":false,"suffix":""}],"editor":[{"dropping-particle":"","family":"Andes","given":"Universidad de los","non-dropping-particle":"","parse-names":false,"suffix":""}],"id":"ITEM-4","issued":{"date-parts":[["2010"]]},"number-of-pages":"52","publisher-place":"Bogotá, D. C., Colombia","title":"Introduction to Reliability and Risk Assessment. Theory and Applications in Engineering","type":"book"},"uris":["http://www.mendeley.com/documents/?uuid=eac5d9a4-23c1-4e57-bc77-13801fc0a926"]}],"mendeley":{"formattedCitation":"(Heijungs, 2020; Rosenblueth, 1975; Sanchez Silva, 2010; Thinley &amp; Hao, 2017)","plainTextFormattedCitation":"(Heijungs, 2020; Rosenblueth, 1975; Sanchez Silva, 2010; Thinley &amp; Hao, 2017)","previouslyFormattedCitation":"(Heijungs, 2020; Rosenblueth, 1975; Sanchez Silva, 2010; Thinley &amp; Hao, 2017)"},"properties":{"noteIndex":0},"schema":"https://github.com/citation-style-language/schema/raw/master/csl-citation.json"}</w:instrText>
      </w:r>
      <w:r w:rsidR="00181493">
        <w:rPr>
          <w:rFonts w:ascii="Arial Narrow" w:hAnsi="Arial Narrow" w:cs="Arial"/>
          <w:sz w:val="22"/>
          <w:szCs w:val="22"/>
        </w:rPr>
        <w:fldChar w:fldCharType="separate"/>
      </w:r>
      <w:r w:rsidR="00D676FF" w:rsidRPr="00D676FF">
        <w:rPr>
          <w:rFonts w:ascii="Arial Narrow" w:hAnsi="Arial Narrow" w:cs="Arial"/>
          <w:noProof/>
          <w:sz w:val="22"/>
          <w:szCs w:val="22"/>
        </w:rPr>
        <w:t>(Heijungs, 2020; Rosenblueth, 1975; Sanchez Silva, 2010; Thinley &amp; Hao, 2017)</w:t>
      </w:r>
      <w:r w:rsidR="00181493">
        <w:rPr>
          <w:rFonts w:ascii="Arial Narrow" w:hAnsi="Arial Narrow" w:cs="Arial"/>
          <w:sz w:val="22"/>
          <w:szCs w:val="22"/>
        </w:rPr>
        <w:fldChar w:fldCharType="end"/>
      </w:r>
      <w:r w:rsidRPr="00E4516A">
        <w:rPr>
          <w:rFonts w:ascii="Arial Narrow" w:hAnsi="Arial Narrow" w:cs="Arial"/>
          <w:sz w:val="22"/>
          <w:szCs w:val="22"/>
        </w:rPr>
        <w:t>.</w:t>
      </w:r>
      <w:r w:rsidR="00181493">
        <w:rPr>
          <w:rFonts w:ascii="Arial Narrow" w:hAnsi="Arial Narrow" w:cs="Arial"/>
          <w:sz w:val="22"/>
          <w:szCs w:val="22"/>
        </w:rPr>
        <w:t xml:space="preserve"> </w:t>
      </w:r>
    </w:p>
    <w:p w14:paraId="6C8FFF12" w14:textId="77777777" w:rsidR="00740934" w:rsidRPr="00E4516A" w:rsidRDefault="00740934" w:rsidP="00740934">
      <w:pPr>
        <w:numPr>
          <w:ilvl w:val="0"/>
          <w:numId w:val="13"/>
        </w:numPr>
        <w:spacing w:line="276" w:lineRule="auto"/>
        <w:jc w:val="both"/>
        <w:rPr>
          <w:rFonts w:ascii="Arial Narrow" w:hAnsi="Arial Narrow" w:cs="Arial"/>
          <w:sz w:val="22"/>
          <w:szCs w:val="22"/>
        </w:rPr>
      </w:pPr>
      <w:r w:rsidRPr="00E4516A">
        <w:rPr>
          <w:rFonts w:ascii="Arial Narrow" w:hAnsi="Arial Narrow" w:cs="Arial"/>
          <w:b/>
          <w:bCs/>
          <w:sz w:val="22"/>
          <w:szCs w:val="22"/>
        </w:rPr>
        <w:t>Cultura de Herramientas de Frontera:</w:t>
      </w:r>
      <w:r w:rsidRPr="00E4516A">
        <w:rPr>
          <w:rFonts w:ascii="Arial Narrow" w:hAnsi="Arial Narrow" w:cs="Arial"/>
          <w:sz w:val="22"/>
          <w:szCs w:val="22"/>
        </w:rPr>
        <w:t xml:space="preserve"> Se promoverán métodos analíticos, cuantitativos y el uso de software (</w:t>
      </w:r>
      <w:r w:rsidRPr="00E4516A">
        <w:rPr>
          <w:rFonts w:ascii="Arial Narrow" w:hAnsi="Arial Narrow" w:cs="Arial"/>
          <w:b/>
          <w:bCs/>
          <w:sz w:val="22"/>
          <w:szCs w:val="22"/>
        </w:rPr>
        <w:t>SAP2000, ETABS, LS-DYNA, ABAQUS</w:t>
      </w:r>
      <w:r w:rsidRPr="00E4516A">
        <w:rPr>
          <w:rFonts w:ascii="Arial Narrow" w:hAnsi="Arial Narrow" w:cs="Arial"/>
          <w:sz w:val="22"/>
          <w:szCs w:val="22"/>
        </w:rPr>
        <w:t>) articulado con lenguajes de programación y herramientas de simulación estocástica (</w:t>
      </w:r>
      <w:r w:rsidRPr="00E4516A">
        <w:rPr>
          <w:rFonts w:ascii="Arial Narrow" w:hAnsi="Arial Narrow" w:cs="Arial"/>
          <w:b/>
          <w:bCs/>
          <w:sz w:val="22"/>
          <w:szCs w:val="22"/>
        </w:rPr>
        <w:t>Python, Matlab, Excel, @RISK o similares</w:t>
      </w:r>
      <w:r w:rsidRPr="00E4516A">
        <w:rPr>
          <w:rFonts w:ascii="Arial Narrow" w:hAnsi="Arial Narrow" w:cs="Arial"/>
          <w:sz w:val="22"/>
          <w:szCs w:val="22"/>
        </w:rPr>
        <w:t xml:space="preserve">) para el procesamiento de datos, análisis de confiabilidad y el desarrollo de prototipos de </w:t>
      </w:r>
      <w:r w:rsidRPr="00E4516A">
        <w:rPr>
          <w:rFonts w:ascii="Arial Narrow" w:hAnsi="Arial Narrow" w:cs="Arial"/>
          <w:b/>
          <w:bCs/>
          <w:sz w:val="22"/>
          <w:szCs w:val="22"/>
        </w:rPr>
        <w:t>instrumentación especializada</w:t>
      </w:r>
      <w:r w:rsidRPr="00E4516A">
        <w:rPr>
          <w:rFonts w:ascii="Arial Narrow" w:hAnsi="Arial Narrow" w:cs="Arial"/>
          <w:sz w:val="22"/>
          <w:szCs w:val="22"/>
        </w:rPr>
        <w:t xml:space="preserve"> para el monitoreo de impactos dinámicos, complementando las capacidades experimentales de la Sede.</w:t>
      </w:r>
    </w:p>
    <w:p w14:paraId="6B393838" w14:textId="77777777" w:rsidR="00740934" w:rsidRDefault="00740934" w:rsidP="00740934">
      <w:pPr>
        <w:numPr>
          <w:ilvl w:val="0"/>
          <w:numId w:val="13"/>
        </w:numPr>
        <w:spacing w:line="276" w:lineRule="auto"/>
        <w:jc w:val="both"/>
        <w:rPr>
          <w:rFonts w:ascii="Arial Narrow" w:hAnsi="Arial Narrow" w:cs="Arial"/>
          <w:sz w:val="22"/>
          <w:szCs w:val="22"/>
        </w:rPr>
      </w:pPr>
      <w:r w:rsidRPr="00E4516A">
        <w:rPr>
          <w:rFonts w:ascii="Arial Narrow" w:hAnsi="Arial Narrow" w:cs="Arial"/>
          <w:b/>
          <w:bCs/>
          <w:sz w:val="22"/>
          <w:szCs w:val="22"/>
        </w:rPr>
        <w:lastRenderedPageBreak/>
        <w:t>Dirección de Tesis y Semilleros:</w:t>
      </w:r>
      <w:r w:rsidRPr="00E4516A">
        <w:rPr>
          <w:rFonts w:ascii="Arial Narrow" w:hAnsi="Arial Narrow" w:cs="Arial"/>
          <w:sz w:val="22"/>
          <w:szCs w:val="22"/>
        </w:rPr>
        <w:t xml:space="preserve"> Crear el </w:t>
      </w:r>
      <w:r w:rsidRPr="00E4516A">
        <w:rPr>
          <w:rFonts w:ascii="Arial Narrow" w:hAnsi="Arial Narrow" w:cs="Arial"/>
          <w:b/>
          <w:bCs/>
          <w:sz w:val="22"/>
          <w:szCs w:val="22"/>
        </w:rPr>
        <w:t>Semillero de Resiliencia Estructural e Ingeniería Forense</w:t>
      </w:r>
      <w:r w:rsidRPr="00E4516A">
        <w:rPr>
          <w:rFonts w:ascii="Arial Narrow" w:hAnsi="Arial Narrow" w:cs="Arial"/>
          <w:sz w:val="22"/>
          <w:szCs w:val="22"/>
        </w:rPr>
        <w:t>, enfocado en el análisis de fallas reales en infraestructura colombiana y la validación de soluciones mediante modelos físicos y numéricos.</w:t>
      </w:r>
    </w:p>
    <w:p w14:paraId="398AA50A" w14:textId="77777777" w:rsidR="009C1F54" w:rsidRPr="00B72F46" w:rsidRDefault="009C1F54" w:rsidP="009C1F54">
      <w:pPr>
        <w:spacing w:line="276" w:lineRule="auto"/>
        <w:jc w:val="both"/>
        <w:rPr>
          <w:rFonts w:ascii="Arial Narrow" w:hAnsi="Arial Narrow" w:cs="Arial"/>
          <w:sz w:val="22"/>
          <w:szCs w:val="22"/>
        </w:rPr>
      </w:pPr>
    </w:p>
    <w:p w14:paraId="7ED6C6E5" w14:textId="606A0386" w:rsidR="00122DCA" w:rsidRPr="00E4516A" w:rsidRDefault="00740934" w:rsidP="00E4516A">
      <w:pPr>
        <w:spacing w:line="276" w:lineRule="auto"/>
        <w:jc w:val="both"/>
        <w:rPr>
          <w:rFonts w:ascii="Arial Narrow" w:hAnsi="Arial Narrow" w:cs="Arial"/>
          <w:b/>
          <w:bCs/>
          <w:sz w:val="22"/>
          <w:szCs w:val="22"/>
        </w:rPr>
      </w:pPr>
      <w:r>
        <w:rPr>
          <w:rFonts w:ascii="Arial Narrow" w:hAnsi="Arial Narrow" w:cs="Arial"/>
          <w:b/>
          <w:bCs/>
          <w:sz w:val="22"/>
          <w:szCs w:val="22"/>
        </w:rPr>
        <w:t>4</w:t>
      </w:r>
      <w:r w:rsidR="00122DCA" w:rsidRPr="00E4516A">
        <w:rPr>
          <w:rFonts w:ascii="Arial Narrow" w:hAnsi="Arial Narrow" w:cs="Arial"/>
          <w:b/>
          <w:bCs/>
          <w:sz w:val="22"/>
          <w:szCs w:val="22"/>
        </w:rPr>
        <w:t>. PLAN DE INVESTIGACIÓN: INGENIERÍA MULTIRRIESGO Y SISTEMAS DE CONTROL</w:t>
      </w:r>
      <w:r w:rsidR="0003716C" w:rsidRPr="00E4516A">
        <w:rPr>
          <w:rFonts w:ascii="Arial Narrow" w:hAnsi="Arial Narrow" w:cs="Arial"/>
          <w:b/>
          <w:bCs/>
          <w:sz w:val="22"/>
          <w:szCs w:val="22"/>
        </w:rPr>
        <w:t xml:space="preserve"> Y </w:t>
      </w:r>
      <w:r w:rsidR="005C7585">
        <w:rPr>
          <w:rFonts w:ascii="Arial Narrow" w:hAnsi="Arial Narrow" w:cs="Arial"/>
          <w:b/>
          <w:bCs/>
          <w:sz w:val="22"/>
          <w:szCs w:val="22"/>
        </w:rPr>
        <w:t>DISIPACIÓN</w:t>
      </w:r>
    </w:p>
    <w:p w14:paraId="109928D8" w14:textId="3283F43A" w:rsidR="00122DCA" w:rsidRPr="00E4516A" w:rsidRDefault="00122DCA" w:rsidP="00E4516A">
      <w:pPr>
        <w:spacing w:line="276" w:lineRule="auto"/>
        <w:jc w:val="both"/>
        <w:rPr>
          <w:rFonts w:ascii="Arial Narrow" w:hAnsi="Arial Narrow" w:cs="Arial"/>
          <w:sz w:val="22"/>
          <w:szCs w:val="22"/>
        </w:rPr>
      </w:pPr>
      <w:r w:rsidRPr="00E4516A">
        <w:rPr>
          <w:rFonts w:ascii="Arial Narrow" w:hAnsi="Arial Narrow" w:cs="Arial"/>
          <w:sz w:val="22"/>
          <w:szCs w:val="22"/>
        </w:rPr>
        <w:t xml:space="preserve">Propongo liderar la línea de investigación en </w:t>
      </w:r>
      <w:r w:rsidRPr="00E4516A">
        <w:rPr>
          <w:rFonts w:ascii="Arial Narrow" w:hAnsi="Arial Narrow" w:cs="Arial"/>
          <w:b/>
          <w:bCs/>
          <w:sz w:val="22"/>
          <w:szCs w:val="22"/>
        </w:rPr>
        <w:t>"</w:t>
      </w:r>
      <w:r w:rsidR="00586D53" w:rsidRPr="00E4516A">
        <w:rPr>
          <w:rFonts w:ascii="Arial Narrow" w:hAnsi="Arial Narrow" w:cs="Arial"/>
          <w:sz w:val="22"/>
          <w:szCs w:val="22"/>
        </w:rPr>
        <w:t xml:space="preserve"> </w:t>
      </w:r>
      <w:r w:rsidR="00586D53" w:rsidRPr="00E4516A">
        <w:rPr>
          <w:rFonts w:ascii="Arial Narrow" w:hAnsi="Arial Narrow" w:cs="Arial"/>
          <w:b/>
          <w:bCs/>
          <w:sz w:val="22"/>
          <w:szCs w:val="22"/>
        </w:rPr>
        <w:t xml:space="preserve">Resiliencia de Infraestructura Crítica y Sistemas de Mitigación Multirriesgo </w:t>
      </w:r>
      <w:r w:rsidRPr="00E4516A">
        <w:rPr>
          <w:rFonts w:ascii="Arial Narrow" w:hAnsi="Arial Narrow" w:cs="Arial"/>
          <w:b/>
          <w:bCs/>
          <w:sz w:val="22"/>
          <w:szCs w:val="22"/>
        </w:rPr>
        <w:t>"</w:t>
      </w:r>
      <w:r w:rsidRPr="00E4516A">
        <w:rPr>
          <w:rFonts w:ascii="Arial Narrow" w:hAnsi="Arial Narrow" w:cs="Arial"/>
          <w:sz w:val="22"/>
          <w:szCs w:val="22"/>
        </w:rPr>
        <w:t xml:space="preserve"> bajo las siguientes premisas:</w:t>
      </w:r>
    </w:p>
    <w:p w14:paraId="00D4751E" w14:textId="5B976974" w:rsidR="006B042F" w:rsidRPr="00E4516A" w:rsidRDefault="006B042F"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t>Modelación de Alta Fidelidad y Validación Integral:</w:t>
      </w:r>
      <w:r w:rsidRPr="00E4516A">
        <w:rPr>
          <w:rFonts w:ascii="Arial Narrow" w:hAnsi="Arial Narrow" w:cs="Arial"/>
          <w:sz w:val="22"/>
          <w:szCs w:val="22"/>
        </w:rPr>
        <w:t xml:space="preserve"> Implementar metodologías de evaluación basadas en el acoplamiento mecánico entre el fenómeno (flujo de detritos o impacto dinámico) y la respuesta estructural, empleando simulaciones numéricas de alta fidelidad calibradas con evidencia forense de eventos reales </w:t>
      </w:r>
      <w:r w:rsidR="00F72948">
        <w:rPr>
          <w:rFonts w:ascii="Arial Narrow" w:hAnsi="Arial Narrow" w:cs="Arial"/>
          <w:sz w:val="22"/>
          <w:szCs w:val="22"/>
        </w:rPr>
        <w:t>o</w:t>
      </w:r>
      <w:r w:rsidRPr="00E4516A">
        <w:rPr>
          <w:rFonts w:ascii="Arial Narrow" w:hAnsi="Arial Narrow" w:cs="Arial"/>
          <w:sz w:val="22"/>
          <w:szCs w:val="22"/>
        </w:rPr>
        <w:t xml:space="preserve"> experimentación</w:t>
      </w:r>
      <w:r w:rsidR="007D1157">
        <w:rPr>
          <w:rFonts w:ascii="Arial Narrow" w:hAnsi="Arial Narrow" w:cs="Arial"/>
          <w:sz w:val="22"/>
          <w:szCs w:val="22"/>
        </w:rPr>
        <w:t xml:space="preserve"> </w:t>
      </w:r>
      <w:r w:rsidR="007D1157">
        <w:rPr>
          <w:rFonts w:ascii="Arial Narrow" w:hAnsi="Arial Narrow" w:cs="Arial"/>
          <w:sz w:val="22"/>
          <w:szCs w:val="22"/>
        </w:rPr>
        <w:fldChar w:fldCharType="begin" w:fldLock="1"/>
      </w:r>
      <w:r w:rsidR="007D1157">
        <w:rPr>
          <w:rFonts w:ascii="Arial Narrow" w:hAnsi="Arial Narrow" w:cs="Arial"/>
          <w:sz w:val="22"/>
          <w:szCs w:val="22"/>
        </w:rPr>
        <w:instrText>ADDIN CSL_CITATION {"citationItems":[{"id":"ITEM-1","itemData":{"DOI":"Digital Ob10.18687/LACCEI2020.1.1.375","abstract":"In the world, there are a lot of old hospitals that have been built without considering seismic-resistant design standard. These essentials buildings must maintain their functionality during and after a seismic event. That’s why, it’s so important to adopt non-linear models that represent the appropriate behavior of the structural elements and the structure. Also, to develop seismic analyzes that can capture the behavior that these structures would present before a seismic event. This research proposes a non-linear model of 60 years old hospital with 3 levels of masonry handmade bricks. In addition, the incremental dynamic analysis was developed for 11 pairs of seismic records and IDA curves for both orthogonal directions were reported. The results show that the proposed calibrated model is valid for use in the development of nonlinear seismic analyzes, also structural responses such as drifts and acceleration at different levels of the infrastructure.","author":[{"dropping-particle":"","family":"Gonzales","given":"George","non-dropping-particle":"","parse-names":false,"suffix":""},{"dropping-particle":"","family":"Aguilar","given":"Ashily","non-dropping-particle":"","parse-names":false,"suffix":""},{"dropping-particle":"","family":"Huaco","given":"Guillermo","non-dropping-particle":"","parse-names":false,"suffix":""}],"container-title":"18th LACCEI International Multi-Conference for Engineering, Education, and Technology","id":"ITEM-1","issued":{"date-parts":[["2020"]]},"page":"1-6","publisher-place":"Buenos Aires, Argentina","title":"Incremental Dynamic Analysis of a 60 Year Old Hospital with Handmade Brick Masonry Walls","type":"paper-conference"},"uris":["http://www.mendeley.com/documents/?uuid=94d6ce8f-b6b0-4fd4-9a6e-75ef6acff13a"]},{"id":"ITEM-2","itemData":{"DOI":"10.1016/j.dibe.2023.100119","ISSN":"26661659","abstract":"While the influence of the component strength on the structural behaviour of Historic Masonry Structures (HMS) is relatively well studied, few studies have investigated masonry textures. Such a research gap is due to the actual difficulty of finding parameters that correlate masonry patterns and structural performances. This paper presents a comprehensive review of the existing geometric measures for irregular masonry patterns, highlighting the gaps and possible future trends. Special attention is paid to the Non-destructive Tests (NDT) for surveying masonry textures and algorithms to generate block-based numerical models artificially. Finally, a numerical investigation underlines how masonry textures generated considering quality indexes present more consistent results.","author":[{"dropping-particle":"","family":"Szabó","given":"Simon","non-dropping-particle":"","parse-names":false,"suffix":""},{"dropping-particle":"","family":"Funari","given":"Marco Francesco","non-dropping-particle":"","parse-names":false,"suffix":""},{"dropping-particle":"","family":"Lourenço","given":"Paulo B.","non-dropping-particle":"","parse-names":false,"suffix":""}],"container-title":"Developments in the Built Environment","id":"ITEM-2","issue":"November 2022","issued":{"date-parts":[["2023"]]},"page":"100119","title":"Masonry patterns' influence on the damage assessment of URM walls: Current and future trends","type":"article-journal","volume":"13"},"uris":["http://www.mendeley.com/documents/?uuid=bcf99cd5-d9d0-4360-962b-301b7c091216"]}],"mendeley":{"formattedCitation":"(Gonzales et al., 2020; Szabó et al., 2023)","plainTextFormattedCitation":"(Gonzales et al., 2020; Szabó et al., 2023)","previouslyFormattedCitation":"(Gonzales et al., 2020; Szabó et al., 2023)"},"properties":{"noteIndex":0},"schema":"https://github.com/citation-style-language/schema/raw/master/csl-citation.json"}</w:instrText>
      </w:r>
      <w:r w:rsidR="007D1157">
        <w:rPr>
          <w:rFonts w:ascii="Arial Narrow" w:hAnsi="Arial Narrow" w:cs="Arial"/>
          <w:sz w:val="22"/>
          <w:szCs w:val="22"/>
        </w:rPr>
        <w:fldChar w:fldCharType="separate"/>
      </w:r>
      <w:r w:rsidR="007D1157" w:rsidRPr="007D1157">
        <w:rPr>
          <w:rFonts w:ascii="Arial Narrow" w:hAnsi="Arial Narrow" w:cs="Arial"/>
          <w:noProof/>
          <w:sz w:val="22"/>
          <w:szCs w:val="22"/>
        </w:rPr>
        <w:t>(Gonzales et al., 2020; Szabó et al., 2023)</w:t>
      </w:r>
      <w:r w:rsidR="007D1157">
        <w:rPr>
          <w:rFonts w:ascii="Arial Narrow" w:hAnsi="Arial Narrow" w:cs="Arial"/>
          <w:sz w:val="22"/>
          <w:szCs w:val="22"/>
        </w:rPr>
        <w:fldChar w:fldCharType="end"/>
      </w:r>
      <w:r w:rsidRPr="00E4516A">
        <w:rPr>
          <w:rFonts w:ascii="Arial Narrow" w:hAnsi="Arial Narrow" w:cs="Arial"/>
          <w:sz w:val="22"/>
          <w:szCs w:val="22"/>
        </w:rPr>
        <w:t>.</w:t>
      </w:r>
    </w:p>
    <w:p w14:paraId="5EC09E70" w14:textId="24565DC3" w:rsidR="00122DCA" w:rsidRPr="00E4516A" w:rsidRDefault="002C3470"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t>Evolución del Análisis Sísmico al Multirriesgo:</w:t>
      </w:r>
      <w:r w:rsidRPr="00E4516A">
        <w:rPr>
          <w:rFonts w:ascii="Arial Narrow" w:hAnsi="Arial Narrow" w:cs="Arial"/>
          <w:sz w:val="22"/>
          <w:szCs w:val="22"/>
        </w:rPr>
        <w:t xml:space="preserve"> Capitalizar la robusta tradición en ingeniería sísmica del Departamento para abordar amenazas concurrentes y en cascada. El objetivo es transitar hacia el análisis de </w:t>
      </w:r>
      <w:r w:rsidRPr="00E4516A">
        <w:rPr>
          <w:rFonts w:ascii="Arial Narrow" w:hAnsi="Arial Narrow" w:cs="Arial"/>
          <w:b/>
          <w:bCs/>
          <w:sz w:val="22"/>
          <w:szCs w:val="22"/>
        </w:rPr>
        <w:t>vulnerabilidad sistémica</w:t>
      </w:r>
      <w:r w:rsidRPr="00E4516A">
        <w:rPr>
          <w:rFonts w:ascii="Arial Narrow" w:hAnsi="Arial Narrow" w:cs="Arial"/>
          <w:sz w:val="22"/>
          <w:szCs w:val="22"/>
        </w:rPr>
        <w:t xml:space="preserve"> ante eventos sísmicos, </w:t>
      </w:r>
      <w:proofErr w:type="spellStart"/>
      <w:r w:rsidRPr="00E4516A">
        <w:rPr>
          <w:rFonts w:ascii="Arial Narrow" w:hAnsi="Arial Narrow" w:cs="Arial"/>
          <w:sz w:val="22"/>
          <w:szCs w:val="22"/>
        </w:rPr>
        <w:t>NaTech</w:t>
      </w:r>
      <w:proofErr w:type="spellEnd"/>
      <w:r w:rsidRPr="00E4516A">
        <w:rPr>
          <w:rFonts w:ascii="Arial Narrow" w:hAnsi="Arial Narrow" w:cs="Arial"/>
          <w:sz w:val="22"/>
          <w:szCs w:val="22"/>
        </w:rPr>
        <w:t>, y movimientos en masa detonados por sismos o lluvias extremas</w:t>
      </w:r>
      <w:r w:rsidR="00941D4E">
        <w:rPr>
          <w:rFonts w:ascii="Arial Narrow" w:hAnsi="Arial Narrow" w:cs="Arial"/>
          <w:sz w:val="22"/>
          <w:szCs w:val="22"/>
        </w:rPr>
        <w:t xml:space="preserve">, </w:t>
      </w:r>
      <w:r w:rsidR="00941D4E" w:rsidRPr="00941D4E">
        <w:rPr>
          <w:rFonts w:ascii="Arial Narrow" w:hAnsi="Arial Narrow" w:cs="Arial"/>
          <w:sz w:val="22"/>
          <w:szCs w:val="22"/>
        </w:rPr>
        <w:t>integrando las directrices nacionales para la evaluación de fenómenos hidrometeorológicos complejos</w:t>
      </w:r>
      <w:r w:rsidR="00941D4E">
        <w:rPr>
          <w:rFonts w:ascii="Arial Narrow" w:hAnsi="Arial Narrow" w:cs="Arial"/>
          <w:sz w:val="22"/>
          <w:szCs w:val="22"/>
        </w:rPr>
        <w:t xml:space="preserve"> </w:t>
      </w:r>
      <w:r w:rsidR="00941D4E">
        <w:rPr>
          <w:rFonts w:ascii="Arial Narrow" w:hAnsi="Arial Narrow" w:cs="Arial"/>
          <w:sz w:val="22"/>
          <w:szCs w:val="22"/>
        </w:rPr>
        <w:fldChar w:fldCharType="begin" w:fldLock="1"/>
      </w:r>
      <w:r w:rsidR="00941D4E">
        <w:rPr>
          <w:rFonts w:ascii="Arial Narrow" w:hAnsi="Arial Narrow" w:cs="Arial"/>
          <w:sz w:val="22"/>
          <w:szCs w:val="22"/>
        </w:rPr>
        <w:instrText>ADDIN CSL_CITATION {"citationItems":[{"id":"ITEM-1","itemData":{"DOI":"10.32685/9789585313156","ISBN":"9789585313149","author":[{"dropping-particle":"","family":"Ramos Cañón","given":"Alfonso Mariano","non-dropping-particle":"","parse-names":false,"suffix":""},{"dropping-particle":"","family":"Reyes Merchán","given":"Antonio Andrés","non-dropping-particle":"","parse-names":false,"suffix":""},{"dropping-particle":"","family":"Munévar Peña","given":"Maddy Alejandra","non-dropping-particle":"","parse-names":false,"suffix":""},{"dropping-particle":"","family":"Ruiz Peña","given":"Gloria Lucía","non-dropping-particle":"","parse-names":false,"suffix":""},{"dropping-particle":"","family":"Machuca Castellanos","given":"Silvia Viviana","non-dropping-particle":"","parse-names":false,"suffix":""},{"dropping-particle":"","family":"Rangel Flórez","given":"Michael Steve","non-dropping-particle":"","parse-names":false,"suffix":""},{"dropping-particle":"","family":"Prada Sarmiento","given":"Luis Felipe","non-dropping-particle":"","parse-names":false,"suffix":""},{"dropping-particle":"","family":"Cabrera","given":"Miguel Ángel","non-dropping-particle":"","parse-names":false,"suffix":""},{"dropping-particle":"","family":"Rodríguez Pineda","given":"Carlos Eduardo","non-dropping-particle":"","parse-names":false,"suffix":""},{"dropping-particle":"","family":"Escobar Castañeda","given":"Nicolás","non-dropping-particle":"","parse-names":false,"suffix":""},{"dropping-particle":"","family":"Quintero Ortiz","given":"Carlos Alberto","non-dropping-particle":"","parse-names":false,"suffix":""},{"dropping-particle":"","family":"Escobar Vargas","given":"Jorge Alberto","non-dropping-particle":"","parse-names":false,"suffix":""},{"dropping-particle":"","family":"Giraldo Osorio","given":"Juan Diego","non-dropping-particle":"","parse-names":false,"suffix":""},{"dropping-particle":"","family":"Medina Orjuela","given":"Maudi Sorley","non-dropping-particle":"","parse-names":false,"suffix":""},{"dropping-particle":"","family":"Durán Santana","given":"Leandro","non-dropping-particle":"","parse-names":false,"suffix":""},{"dropping-particle":"","family":"Trujillo Osorio","given":"David Enrique","non-dropping-particle":"","parse-names":false,"suffix":""},{"dropping-particle":"","family":"Medina Ávila","given":"Diego Fernando","non-dropping-particle":"","parse-names":false,"suffix":""},{"dropping-particle":"","family":"Capachero Martínez","given":"Carlos Andrés","non-dropping-particle":"","parse-names":false,"suffix":""},{"dropping-particle":"","family":"León Delgado","given":"Danny","non-dropping-particle":"","parse-names":false,"suffix":""},{"dropping-particle":"","family":"Ramírez Hernández","given":"Karol Constanza","non-dropping-particle":"","parse-names":false,"suffix":""},{"dropping-particle":"","family":"González Rojas","given":"Edna Esperanza","non-dropping-particle":"","parse-names":false,"suffix":""},{"dropping-particle":"","family":"Rincón Chisino","given":"Sara Lucía","non-dropping-particle":"","parse-names":false,"suffix":""},{"dropping-particle":"","family":"Solarte Blandón","given":"Paula Angélica","non-dropping-particle":"","parse-names":false,"suffix":""},{"dropping-particle":"","family":"Castro Malaver","given":"Lady Carolina","non-dropping-particle":"","parse-names":false,"suffix":""},{"dropping-particle":"","family":"López Marín","given":"Carolina","non-dropping-particle":"","parse-names":false,"suffix":""},{"dropping-particle":"","family":"Navarro Alarcón","given":"Sofía del Rosario","non-dropping-particle":"","parse-names":false,"suffix":""},{"dropping-particle":"","family":"Pérez Moreno","given":"Michael Alejandro","non-dropping-particle":"","parse-names":false,"suffix":""}],"edition":"1","id":"ITEM-1","issued":{"date-parts":[["2021"]]},"publisher":"Colombian Geological Service and the Pontifical Javierian University: Bogotá, Colombia","publisher-place":"Bogotá D. C., Colombia","title":"Methodological Guide for Torrential Flood Hazard Zoning","type":"book"},"uris":["http://www.mendeley.com/documents/?uuid=aaafa32f-0a02-4e80-891b-a7186a542e24"]}],"mendeley":{"formattedCitation":"(Ramos Cañón et al., 2021)","plainTextFormattedCitation":"(Ramos Cañón et al., 2021)","previouslyFormattedCitation":"(Ramos Cañón et al., 2021)"},"properties":{"noteIndex":0},"schema":"https://github.com/citation-style-language/schema/raw/master/csl-citation.json"}</w:instrText>
      </w:r>
      <w:r w:rsidR="00941D4E">
        <w:rPr>
          <w:rFonts w:ascii="Arial Narrow" w:hAnsi="Arial Narrow" w:cs="Arial"/>
          <w:sz w:val="22"/>
          <w:szCs w:val="22"/>
        </w:rPr>
        <w:fldChar w:fldCharType="separate"/>
      </w:r>
      <w:r w:rsidR="00941D4E" w:rsidRPr="00941D4E">
        <w:rPr>
          <w:rFonts w:ascii="Arial Narrow" w:hAnsi="Arial Narrow" w:cs="Arial"/>
          <w:noProof/>
          <w:sz w:val="22"/>
          <w:szCs w:val="22"/>
        </w:rPr>
        <w:t>(Ramos Cañón et al., 2021)</w:t>
      </w:r>
      <w:r w:rsidR="00941D4E">
        <w:rPr>
          <w:rFonts w:ascii="Arial Narrow" w:hAnsi="Arial Narrow" w:cs="Arial"/>
          <w:sz w:val="22"/>
          <w:szCs w:val="22"/>
        </w:rPr>
        <w:fldChar w:fldCharType="end"/>
      </w:r>
      <w:r w:rsidRPr="00E4516A">
        <w:rPr>
          <w:rFonts w:ascii="Arial Narrow" w:hAnsi="Arial Narrow" w:cs="Arial"/>
          <w:sz w:val="22"/>
          <w:szCs w:val="22"/>
        </w:rPr>
        <w:t xml:space="preserve">. Se propone trascender la visión convencional de interacción suelo-estructura, integrando el </w:t>
      </w:r>
      <w:r w:rsidRPr="00E4516A">
        <w:rPr>
          <w:rFonts w:ascii="Arial Narrow" w:hAnsi="Arial Narrow" w:cs="Arial"/>
          <w:b/>
          <w:bCs/>
          <w:sz w:val="22"/>
          <w:szCs w:val="22"/>
        </w:rPr>
        <w:t>acoplamiento mecánico entre el fenómeno (flujo de detritos, empuje de masa o impacto dinámico) y la respuesta estructural</w:t>
      </w:r>
      <w:r w:rsidRPr="00E4516A">
        <w:rPr>
          <w:rFonts w:ascii="Arial Narrow" w:hAnsi="Arial Narrow" w:cs="Arial"/>
          <w:sz w:val="22"/>
          <w:szCs w:val="22"/>
        </w:rPr>
        <w:t xml:space="preserve"> como un sistema único de transferencia de energía</w:t>
      </w:r>
      <w:r w:rsidR="00A011D1">
        <w:rPr>
          <w:rFonts w:ascii="Arial Narrow" w:hAnsi="Arial Narrow" w:cs="Arial"/>
          <w:sz w:val="22"/>
          <w:szCs w:val="22"/>
        </w:rPr>
        <w:t xml:space="preserve"> </w:t>
      </w:r>
      <w:r w:rsidR="00A011D1">
        <w:rPr>
          <w:rFonts w:ascii="Arial Narrow" w:hAnsi="Arial Narrow" w:cs="Arial"/>
          <w:sz w:val="22"/>
          <w:szCs w:val="22"/>
        </w:rPr>
        <w:fldChar w:fldCharType="begin" w:fldLock="1"/>
      </w:r>
      <w:r w:rsidR="002B27E5">
        <w:rPr>
          <w:rFonts w:ascii="Arial Narrow" w:hAnsi="Arial Narrow" w:cs="Arial"/>
          <w:sz w:val="22"/>
          <w:szCs w:val="22"/>
        </w:rPr>
        <w:instrText>ADDIN CSL_CITATION {"citationItems":[{"id":"ITEM-1","itemData":{"DOI":"10.1016/j.enggeo.2020.105611","ISSN":"00137952","abstract":"Mass flows such as landslides and floods pose great risks to the built environment. In the literature the assessment of the building vulnerability to these different mass flows is evaluated separately and little effort has been made to investigate the interaction mechanisms between mass flows and buildings, leading to a lack of explicit failure mechanisms in many vulnerability models. In this study, the failure modes of a typical reinforced concrete building upon impact by debris flows, debris floods, floods and earth flows are discovered through an explicit finite element platform LS-DYNA. Five impact cases with increasing solid concentration; namely, low-intensity water flow, high-intensity water flow, debris flood, debris flow and earth flow, are considered. The intrinsic physics of building damage by these flow-like mass movements is compared. The frontal walls and side walls are vulnerable to any type of flow. A forward pushover failure mode, which is a global failure of the building frame, is observed in the high-intensity water flow and debris flood cases. Upon impact by an earth flow, progressive local failure of the columns at the ground floor can occur and lead to backward collapse of the building. Upon impact by a debris flow, both the local column failure and the global pushover collapse of building can occur, as debris flows with high solid contents are an intermediate flow sharing characteristics of both floods and earth flows. The in-depth study of the physics of building damage provides a solid basis to develop generic vulnerability models for such flow-like mass movements of varying solid contents.","author":[{"dropping-particle":"","family":"Luo","given":"H. Y.","non-dropping-particle":"","parse-names":false,"suffix":""},{"dropping-particle":"","family":"Fan","given":"R. L.","non-dropping-particle":"","parse-names":false,"suffix":""},{"dropping-particle":"","family":"Wang","given":"H. J.","non-dropping-particle":"","parse-names":false,"suffix":""},{"dropping-particle":"","family":"Zhang","given":"L. M.","non-dropping-particle":"","parse-names":false,"suffix":""}],"container-title":"Engineering Geology","id":"ITEM-1","issue":"November 2019","issued":{"date-parts":[["2020"]]},"page":"1-13","title":"Physics of building vulnerability to debris flows, floods and earth flows","type":"article-journal","volume":"271"},"uris":["http://www.mendeley.com/documents/?uuid=34921495-5ea1-4649-a2aa-5cdfb19f53d3"]},{"id":"ITEM-2","itemData":{"DOI":"10.1016/j.earscirev.2023.104329","ISSN":"00128252","abstract":"Landslides are one of the most destructive hazard processes that cause tremendous loss of lives and damage to the built environment. As a crucial part of disaster risk management, building vulnerability assessment aims to link building damage with landslide hazard intensity and building characteristics in a physically based manner. This thorough review summarizes the progresses made in the assessment of building vulnerability to landslides in the past two decades and presents the future needs. First, a literature dataset about vulnerability to landslides is analyzed. After that, we present building failure mechanisms under landslide impact and building damage state classification systems, which are the basis for building vulnerability assessment. Then, we classify the existing building vulnerability models into four types: experience-based models, indicator-based models, data-driven models and mechanism-based models. The analysis procedures and key characteristics for each type of vulnerability models are presented and compared. Significant uncertainties on damage definition, data acquisition, model development and output interpretation are identified. Recent progress on vulnerability assessment in the multi-hazard context is emphasized subsequently. Recommendations on vulnerability assessment are presented at the end, focusing on consistency and accuracy improvements.","author":[{"dropping-particle":"","family":"Luo","given":"H.Y.","non-dropping-particle":"","parse-names":false,"suffix":""},{"dropping-particle":"","family":"Zhang","given":"L.M.","non-dropping-particle":"","parse-names":false,"suffix":""},{"dropping-particle":"","family":"Zhang","given":"L.L.","non-dropping-particle":"","parse-names":false,"suffix":""},{"dropping-particle":"","family":"He","given":"J.","non-dropping-particle":"","parse-names":false,"suffix":""},{"dropping-particle":"","family":"Yin","given":"K.S.","non-dropping-particle":"","parse-names":false,"suffix":""}],"container-title":"Earth-Science Reviews","id":"ITEM-2","issue":"10","issued":{"date-parts":[["2023"]]},"page":"104329","title":"Vulnerability of buildings to landslides: The state of the art and future needs","type":"article-journal","volume":"238"},"uris":["http://www.mendeley.com/documents/?uuid=10e23e3d-7003-4577-9973-23073d273b14"]},{"id":"ITEM-3","itemData":{"author":[{"dropping-particle":"","family":"Silva-Ceron","given":"Alfer L.","non-dropping-particle":"","parse-names":false,"suffix":""},{"dropping-particle":"","family":"Prieto","given":"Jorge A.","non-dropping-particle":"","parse-names":false,"suffix":""}],"container-title":"Sometido a Engineering Geology","id":"ITEM-3","issued":{"date-parts":[["2024"]]},"title":"Physical Vulnerability Assessment Procedures for Confined and Unconfined (Unreinforced) Clay Brick Masonry Buildings Due to Mass Movements, Rigid Foundation","type":"article-journal"},"uris":["http://www.mendeley.com/documents/?uuid=da8fbfbe-cf20-4bf8-9dc1-9c0ee8d203ba"]},{"id":"ITEM-4","itemData":{"DOI":"10.1007/s11069-016-2647-8","ISSN":"15730840","abstract":"This paper presents the development of an exposure model for the residential building stock in Antioquia (the second most populated Department of Colombia), the development of fragility functions for unreinforced masonry buildings, and estimation of building damage for two possible seismic events. Both the exposure and fragility models are publically available and can be used to calculate damage and losses due to single events, or probabilistic seismic hazard. The exposure model includes information regarding the total built-up area, number of buildings and inhabitants, building class, and replacement cost. The methodology used for the creation of the exposure model was based on available cadastral information, survey data, and expert judgment. Fragility functions were derived using nonlinear time history analyses on single-degree-of-freedom oscillators, for unreinforced masonry structures which represent more than 60% of the building stock in the region. Both seismic scenarios indicate that an event corresponding to a return period of 500 years located within the region of interest would cause slight or moderate damage to nearly 95 thousand structures, and about 32 thousand would have severe damage or collapse. This study was developed as part of the South America Risk Assessment project, supported by the Global Earthquake Model and SwissRe Foundation.","author":[{"dropping-particle":"","family":"Acevedo","given":"Ana B","non-dropping-particle":"","parse-names":false,"suffix":""},{"dropping-particle":"","family":"Jaramillo","given":"Juan Diego","non-dropping-particle":"","parse-names":false,"suffix":""},{"dropping-particle":"","family":"Yepes","given":"Catalina","non-dropping-particle":"","parse-names":false,"suffix":""},{"dropping-particle":"","family":"Silva","given":"Vitor","non-dropping-particle":"","parse-names":false,"suffix":""},{"dropping-particle":"","family":"Osorio","given":"Fernando A","non-dropping-particle":"","parse-names":false,"suffix":""},{"dropping-particle":"","family":"Villar","given":"Mabé","non-dropping-particle":"","parse-names":false,"suffix":""}],"container-title":"Natural Hazards","id":"ITEM-4","issue":"S1","issued":{"date-parts":[["2017"]]},"page":"31-54","title":"Evaluation of the seismic risk of the unreinforced masonry building stock in Antioquia, Colombia","type":"article-journal","volume":"86"},"uris":["http://www.mendeley.com/documents/?uuid=a97df968-f7ce-47e1-83bd-c94ec318fc8e"]}],"mendeley":{"formattedCitation":"(Acevedo et al., 2017; Luo et al., 2020, 2023; Silva-Ceron &amp; Prieto, 2024)","plainTextFormattedCitation":"(Acevedo et al., 2017; Luo et al., 2020, 2023; Silva-Ceron &amp; Prieto, 2024)","previouslyFormattedCitation":"(Acevedo et al., 2017; Luo et al., 2020, 2023; Silva-Ceron &amp; Prieto, 2024)"},"properties":{"noteIndex":0},"schema":"https://github.com/citation-style-language/schema/raw/master/csl-citation.json"}</w:instrText>
      </w:r>
      <w:r w:rsidR="00A011D1">
        <w:rPr>
          <w:rFonts w:ascii="Arial Narrow" w:hAnsi="Arial Narrow" w:cs="Arial"/>
          <w:sz w:val="22"/>
          <w:szCs w:val="22"/>
        </w:rPr>
        <w:fldChar w:fldCharType="separate"/>
      </w:r>
      <w:r w:rsidR="00941D4E" w:rsidRPr="00941D4E">
        <w:rPr>
          <w:rFonts w:ascii="Arial Narrow" w:hAnsi="Arial Narrow" w:cs="Arial"/>
          <w:noProof/>
          <w:sz w:val="22"/>
          <w:szCs w:val="22"/>
        </w:rPr>
        <w:t>(Acevedo et al., 2017; Luo et al., 2020, 2023; Silva-Ceron &amp; Prieto, 2024)</w:t>
      </w:r>
      <w:r w:rsidR="00A011D1">
        <w:rPr>
          <w:rFonts w:ascii="Arial Narrow" w:hAnsi="Arial Narrow" w:cs="Arial"/>
          <w:sz w:val="22"/>
          <w:szCs w:val="22"/>
        </w:rPr>
        <w:fldChar w:fldCharType="end"/>
      </w:r>
      <w:r w:rsidRPr="00E4516A">
        <w:rPr>
          <w:rFonts w:ascii="Arial Narrow" w:hAnsi="Arial Narrow" w:cs="Arial"/>
          <w:sz w:val="22"/>
          <w:szCs w:val="22"/>
        </w:rPr>
        <w:t>.</w:t>
      </w:r>
    </w:p>
    <w:p w14:paraId="1E8B22D4" w14:textId="27F62D7A" w:rsidR="00122DCA" w:rsidRPr="00E4516A" w:rsidRDefault="00FB5189"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t xml:space="preserve">Sistemas de Control y </w:t>
      </w:r>
      <w:r w:rsidR="00E02DB4">
        <w:rPr>
          <w:rFonts w:ascii="Arial Narrow" w:hAnsi="Arial Narrow" w:cs="Arial"/>
          <w:b/>
          <w:bCs/>
          <w:sz w:val="22"/>
          <w:szCs w:val="22"/>
        </w:rPr>
        <w:t>disipación</w:t>
      </w:r>
      <w:r w:rsidRPr="00E4516A">
        <w:rPr>
          <w:rFonts w:ascii="Arial Narrow" w:hAnsi="Arial Narrow" w:cs="Arial"/>
          <w:b/>
          <w:bCs/>
          <w:sz w:val="22"/>
          <w:szCs w:val="22"/>
        </w:rPr>
        <w:t>:</w:t>
      </w:r>
      <w:r w:rsidRPr="00E4516A">
        <w:rPr>
          <w:rFonts w:ascii="Arial Narrow" w:hAnsi="Arial Narrow" w:cs="Arial"/>
          <w:sz w:val="22"/>
          <w:szCs w:val="22"/>
        </w:rPr>
        <w:t xml:space="preserve"> Establecer una línea de investigación para la evaluación y mejora de sistemas de protección </w:t>
      </w:r>
      <w:r w:rsidRPr="00E4516A">
        <w:rPr>
          <w:rFonts w:ascii="Arial Narrow" w:hAnsi="Arial Narrow" w:cs="Arial"/>
          <w:b/>
          <w:bCs/>
          <w:sz w:val="22"/>
          <w:szCs w:val="22"/>
        </w:rPr>
        <w:t xml:space="preserve">tradicionales y de vanguardia (control pasivo, activo y </w:t>
      </w:r>
      <w:proofErr w:type="spellStart"/>
      <w:r w:rsidRPr="00E4516A">
        <w:rPr>
          <w:rFonts w:ascii="Arial Narrow" w:hAnsi="Arial Narrow" w:cs="Arial"/>
          <w:b/>
          <w:bCs/>
          <w:sz w:val="22"/>
          <w:szCs w:val="22"/>
        </w:rPr>
        <w:t>semi-activo</w:t>
      </w:r>
      <w:proofErr w:type="spellEnd"/>
      <w:r w:rsidRPr="00E4516A">
        <w:rPr>
          <w:rFonts w:ascii="Arial Narrow" w:hAnsi="Arial Narrow" w:cs="Arial"/>
          <w:b/>
          <w:bCs/>
          <w:sz w:val="22"/>
          <w:szCs w:val="22"/>
        </w:rPr>
        <w:t>)</w:t>
      </w:r>
      <w:r w:rsidR="00D676FF">
        <w:rPr>
          <w:rFonts w:ascii="Arial Narrow" w:hAnsi="Arial Narrow" w:cs="Arial"/>
          <w:b/>
          <w:bCs/>
          <w:sz w:val="22"/>
          <w:szCs w:val="22"/>
        </w:rPr>
        <w:t xml:space="preserve"> </w:t>
      </w:r>
      <w:r w:rsidR="00D676FF">
        <w:rPr>
          <w:rFonts w:ascii="Arial Narrow" w:hAnsi="Arial Narrow" w:cs="Arial"/>
          <w:b/>
          <w:bCs/>
          <w:sz w:val="22"/>
          <w:szCs w:val="22"/>
        </w:rPr>
        <w:fldChar w:fldCharType="begin" w:fldLock="1"/>
      </w:r>
      <w:r w:rsidR="00121D59">
        <w:rPr>
          <w:rFonts w:ascii="Arial Narrow" w:hAnsi="Arial Narrow" w:cs="Arial"/>
          <w:b/>
          <w:bCs/>
          <w:sz w:val="22"/>
          <w:szCs w:val="22"/>
        </w:rPr>
        <w:instrText>ADDIN CSL_CITATION {"citationItems":[{"id":"ITEM-1","itemData":{"DOI":"10.15446/ing.investig.99281","ISSN":"22488723","abstract":"This paper compares a traditional Colombian structural design to the same structure with viscous-type energy dampers, considering both structural behavior and construction costs. To this effect, a building was designed: first, in accordance with the Colombian Seismic-Resistant Construction Regulations (NSR-10); and then according to the recommendations of American Society of Civil Engineers (ASCE, 2017) with regard to damping systems. Finally, the quantities and construction costs were calculated. As a result, an unconventional structure was obtained which was more expensive than a traditionally designed building. Still, said structure had less cross-sections, stresses, and displacements. The above demonstrates that, while the initial cost of this method may be higher, the extra cost can be offset when an earthquake occurs, as the building has better earthquake resistance.","author":[{"dropping-particle":"","family":"Ordoñez-Ruiz","given":"Andres F.","non-dropping-particle":"","parse-names":false,"suffix":""},{"dropping-particle":"","family":"Parra-Moreno","given":"William A.","non-dropping-particle":"","parse-names":false,"suffix":""},{"dropping-particle":"","family":"Silva-Ceron","given":"Alfer L.","non-dropping-particle":"","parse-names":false,"suffix":""}],"container-title":"Ingenieria e Investigacion","id":"ITEM-1","issue":"1","issued":{"date-parts":[["2023"]]},"page":"1-8","title":"Comparison between a traditional Colombian Structural Design and the Use of Viscous-Type Energy Damping Systems (2021)","type":"article-journal","volume":"43"},"uris":["http://www.mendeley.com/documents/?uuid=8f90a7ec-65fd-4767-b7d8-8e884167e395"]},{"id":"ITEM-2","itemData":{"ISBN":"0965668215","author":[{"dropping-particle":"","family":"Constantinou","given":"Michael C","non-dropping-particle":"","parse-names":false,"suffix":""},{"dropping-particle":"","family":"Soong","given":"Tsu T","non-dropping-particle":"","parse-names":false,"suffix":""},{"dropping-particle":"","family":"Dargush","given":"Gary F","non-dropping-particle":"","parse-names":false,"suffix":""}],"container-title":"Mceer","id":"ITEM-2","issued":{"date-parts":[["1998"]]},"page":"1-12","title":"P Assive E Nergy D Issipation S Ystems for","type":"article-journal"},"uris":["http://www.mendeley.com/documents/?uuid=16a91ea4-0c64-4770-95dc-a19921e4f704"]}],"mendeley":{"formattedCitation":"(Constantinou et al., 1998; Ordoñez-Ruiz et al., 2023)","plainTextFormattedCitation":"(Constantinou et al., 1998; Ordoñez-Ruiz et al., 2023)","previouslyFormattedCitation":"(Constantinou et al., 1998; Ordoñez-Ruiz et al., 2023)"},"properties":{"noteIndex":0},"schema":"https://github.com/citation-style-language/schema/raw/master/csl-citation.json"}</w:instrText>
      </w:r>
      <w:r w:rsidR="00D676FF">
        <w:rPr>
          <w:rFonts w:ascii="Arial Narrow" w:hAnsi="Arial Narrow" w:cs="Arial"/>
          <w:b/>
          <w:bCs/>
          <w:sz w:val="22"/>
          <w:szCs w:val="22"/>
        </w:rPr>
        <w:fldChar w:fldCharType="separate"/>
      </w:r>
      <w:r w:rsidR="002B27E5" w:rsidRPr="002B27E5">
        <w:rPr>
          <w:rFonts w:ascii="Arial Narrow" w:hAnsi="Arial Narrow" w:cs="Arial"/>
          <w:bCs/>
          <w:noProof/>
          <w:sz w:val="22"/>
          <w:szCs w:val="22"/>
        </w:rPr>
        <w:t>(Constantinou et al., 1998; Ordoñez-Ruiz et al., 2023)</w:t>
      </w:r>
      <w:r w:rsidR="00D676FF">
        <w:rPr>
          <w:rFonts w:ascii="Arial Narrow" w:hAnsi="Arial Narrow" w:cs="Arial"/>
          <w:b/>
          <w:bCs/>
          <w:sz w:val="22"/>
          <w:szCs w:val="22"/>
        </w:rPr>
        <w:fldChar w:fldCharType="end"/>
      </w:r>
      <w:r w:rsidRPr="00E4516A">
        <w:rPr>
          <w:rFonts w:ascii="Arial Narrow" w:hAnsi="Arial Narrow" w:cs="Arial"/>
          <w:sz w:val="22"/>
          <w:szCs w:val="22"/>
        </w:rPr>
        <w:t xml:space="preserve">. Esto incluye el estudio del desempeño de sistemas flexibles de mitigación (barreras dinámicas y redes de anillos) para optimizar su capacidad de absorción de energía y disipación ante impactos dinámicos </w:t>
      </w:r>
      <w:r w:rsidR="00C72344" w:rsidRPr="00E4516A">
        <w:rPr>
          <w:rFonts w:ascii="Arial Narrow" w:hAnsi="Arial Narrow" w:cs="Arial"/>
          <w:sz w:val="22"/>
          <w:szCs w:val="22"/>
        </w:rPr>
        <w:t xml:space="preserve">de diferente </w:t>
      </w:r>
      <w:r w:rsidR="008C6B7D" w:rsidRPr="00E4516A">
        <w:rPr>
          <w:rFonts w:ascii="Arial Narrow" w:hAnsi="Arial Narrow" w:cs="Arial"/>
          <w:sz w:val="22"/>
          <w:szCs w:val="22"/>
        </w:rPr>
        <w:t>índole</w:t>
      </w:r>
      <w:r w:rsidRPr="00E4516A">
        <w:rPr>
          <w:rFonts w:ascii="Arial Narrow" w:hAnsi="Arial Narrow" w:cs="Arial"/>
          <w:sz w:val="22"/>
          <w:szCs w:val="22"/>
        </w:rPr>
        <w:t>.</w:t>
      </w:r>
    </w:p>
    <w:p w14:paraId="5AC3E752" w14:textId="64888FE4" w:rsidR="00122DCA" w:rsidRPr="00E4516A" w:rsidRDefault="00122DCA"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t>Cuantificación y Validación mediante Inteligencia Artificial:</w:t>
      </w:r>
      <w:r w:rsidRPr="00E4516A">
        <w:rPr>
          <w:rFonts w:ascii="Arial Narrow" w:hAnsi="Arial Narrow" w:cs="Arial"/>
          <w:sz w:val="22"/>
          <w:szCs w:val="22"/>
        </w:rPr>
        <w:t xml:space="preserve"> Implementar curvas de fragilidad y umbrales de daño apoyados en </w:t>
      </w:r>
      <w:r w:rsidRPr="00E4516A">
        <w:rPr>
          <w:rFonts w:ascii="Arial Narrow" w:hAnsi="Arial Narrow" w:cs="Arial"/>
          <w:b/>
          <w:bCs/>
          <w:sz w:val="22"/>
          <w:szCs w:val="22"/>
        </w:rPr>
        <w:t xml:space="preserve">modelos predictivos y algoritmos de aprendizaje automático (Machine </w:t>
      </w:r>
      <w:proofErr w:type="spellStart"/>
      <w:r w:rsidRPr="00E4516A">
        <w:rPr>
          <w:rFonts w:ascii="Arial Narrow" w:hAnsi="Arial Narrow" w:cs="Arial"/>
          <w:b/>
          <w:bCs/>
          <w:sz w:val="22"/>
          <w:szCs w:val="22"/>
        </w:rPr>
        <w:t>Learning</w:t>
      </w:r>
      <w:proofErr w:type="spellEnd"/>
      <w:r w:rsidRPr="00E4516A">
        <w:rPr>
          <w:rFonts w:ascii="Arial Narrow" w:hAnsi="Arial Narrow" w:cs="Arial"/>
          <w:b/>
          <w:bCs/>
          <w:sz w:val="22"/>
          <w:szCs w:val="22"/>
        </w:rPr>
        <w:t>)</w:t>
      </w:r>
      <w:r w:rsidRPr="00E4516A">
        <w:rPr>
          <w:rFonts w:ascii="Arial Narrow" w:hAnsi="Arial Narrow" w:cs="Arial"/>
          <w:sz w:val="22"/>
          <w:szCs w:val="22"/>
        </w:rPr>
        <w:t>. Esto permitirá procesar grandes volúmenes de datos para la clasificación automática de vulnerabilidad</w:t>
      </w:r>
      <w:r w:rsidR="00845123" w:rsidRPr="00E4516A">
        <w:rPr>
          <w:rFonts w:ascii="Arial Narrow" w:hAnsi="Arial Narrow" w:cs="Arial"/>
          <w:sz w:val="22"/>
          <w:szCs w:val="22"/>
        </w:rPr>
        <w:t xml:space="preserve"> y el riesgo</w:t>
      </w:r>
      <w:r w:rsidRPr="00E4516A">
        <w:rPr>
          <w:rFonts w:ascii="Arial Narrow" w:hAnsi="Arial Narrow" w:cs="Arial"/>
          <w:sz w:val="22"/>
          <w:szCs w:val="22"/>
        </w:rPr>
        <w:t xml:space="preserve">, posicionando la investigación en el marco de la </w:t>
      </w:r>
      <w:r w:rsidRPr="00E4516A">
        <w:rPr>
          <w:rFonts w:ascii="Arial Narrow" w:hAnsi="Arial Narrow" w:cs="Arial"/>
          <w:b/>
          <w:bCs/>
          <w:sz w:val="22"/>
          <w:szCs w:val="22"/>
        </w:rPr>
        <w:t>Ingeniería 4.0</w:t>
      </w:r>
      <w:r w:rsidR="004B1B32">
        <w:rPr>
          <w:rFonts w:ascii="Arial Narrow" w:hAnsi="Arial Narrow" w:cs="Arial"/>
          <w:b/>
          <w:bCs/>
          <w:sz w:val="22"/>
          <w:szCs w:val="22"/>
        </w:rPr>
        <w:t xml:space="preserve"> </w:t>
      </w:r>
      <w:r w:rsidR="004B1B32">
        <w:rPr>
          <w:rFonts w:ascii="Arial Narrow" w:hAnsi="Arial Narrow" w:cs="Arial"/>
          <w:b/>
          <w:bCs/>
          <w:sz w:val="22"/>
          <w:szCs w:val="22"/>
        </w:rPr>
        <w:fldChar w:fldCharType="begin" w:fldLock="1"/>
      </w:r>
      <w:r w:rsidR="00925173">
        <w:rPr>
          <w:rFonts w:ascii="Arial Narrow" w:hAnsi="Arial Narrow" w:cs="Arial"/>
          <w:b/>
          <w:bCs/>
          <w:sz w:val="22"/>
          <w:szCs w:val="22"/>
        </w:rPr>
        <w:instrText>ADDIN CSL_CITATION {"citationItems":[{"id":"ITEM-1","itemData":{"DOI":"10.1177/8755293019878137","ISSN":"19448201","abstract":"The ability to rapidly assess the spatial distribution and severity of building damage is essential to post-event emergency response and recovery. Visually identifying and classifying individual building damage requires significant time and personnel resources and can last for months after the event. This article evaluates the feasibility of using machine learning techniques such as discriminant analysis, k-nearest neighbors, decision trees, and random forests, to rapidly predict earthquake-induced building damage. Data from the 2014 South Napa earthquake are used for the study where building damage is classified based on the assigned Applied Technology Council (ATC)-20 tag (red, yellow, and green). Spectral acceleration at a period of 0.3 s, fault distance, and several building specific characteristics (e.g. age, floor area, presence of plan irregularity) are used as features or predictor variables for the machine learning models. A portion of the damage data from the Napa earthquake is used to obtain the forecast model, and the performance of each machine learning technique is evaluated using the remaining (test) data. It is noted that the random forest algorithm can accurately predict the assigned tags for 66% of the buildings in the test dataset.","author":[{"dropping-particle":"","family":"Mangalathu","given":"Sujith","non-dropping-particle":"","parse-names":false,"suffix":""},{"dropping-particle":"","family":"Sun","given":"Han","non-dropping-particle":"","parse-names":false,"suffix":""},{"dropping-particle":"","family":"Nweke","given":"Chukwuebuka C.","non-dropping-particle":"","parse-names":false,"suffix":""},{"dropping-particle":"","family":"Yi","given":"Zhengxiang","non-dropping-particle":"","parse-names":false,"suffix":""},{"dropping-particle":"V.","family":"Burton","given":"Henry","non-dropping-particle":"","parse-names":false,"suffix":""}],"container-title":"Earthquake Spectra","id":"ITEM-1","issue":"1","issued":{"date-parts":[["2020"]]},"page":"183-208","title":"Classifying earthquake damage to buildings using machine learning","type":"article-journal","volume":"36"},"uris":["http://www.mendeley.com/documents/?uuid=1b5b2abc-bd43-4eeb-acf6-26e0d0b3b5ed"]},{"id":"ITEM-2","itemData":{"DOI":"10.3390/s23104694","ISSN":"14248220","PMID":"37430610","abstract":"This study proposes a methodology to predict the damage condition of Reinforced Concrete (RC) resisting-moment frame buildings using Machine Learning (ML) methods. Structural members of six hundred RC buildings with varying stories and spans in X and Y directions were designed using the virtual work method. Sixty thousand time-history analyses using ten spectrum-matched earthquake records and ten scaling factors were carried out to cover the structures’ elastic and inelastic behavior. The buildings and earthquake records were split randomly into training data and testing data to predict the damage condition of new ones. In order to reduce bias, the random selection of buildings and earthquake records was carried out several times, and the mean and standard deviation of the accuracy were obtained. Moreover, 27 Intensity Measures (IM) based on acceleration, velocity, or displacement from the ground and roof sensor responses were used to capture the building’s behavior features. The ML methods used IMs, the number of stories, and the number of spans in X and Y directions as input data and the maximum inter-story drift ratio as output data. Finally, seven Machine Learning (ML) methods were trained to predict the damage condition of buildings, finding the best set of training buildings, IMs, and ML methods for the highest prediction accuracy.","author":[{"dropping-particle":"","family":"Alcantara","given":"Edisson Alberto Moscoso","non-dropping-particle":"","parse-names":false,"suffix":""},{"dropping-particle":"","family":"Saito","given":"Taiki","non-dropping-particle":"","parse-names":false,"suffix":""}],"container-title":"Sensors","id":"ITEM-2","issue":"10","issued":{"date-parts":[["2023"]]},"title":"Machine Learning-Based Rapid Post-Earthquake Damage Detection of RC Resisting-Moment Frame Buildings","type":"article-journal","volume":"23"},"uris":["http://www.mendeley.com/documents/?uuid=8b7af778-7ea5-409b-8368-bfe29c3fd458"]}],"mendeley":{"formattedCitation":"(Alcantara &amp; Saito, 2023; Mangalathu et al., 2020)","plainTextFormattedCitation":"(Alcantara &amp; Saito, 2023; Mangalathu et al., 2020)","previouslyFormattedCitation":"(Abeysuriya et al., 2025; Mangalathu et al., 2020)"},"properties":{"noteIndex":0},"schema":"https://github.com/citation-style-language/schema/raw/master/csl-citation.json"}</w:instrText>
      </w:r>
      <w:r w:rsidR="004B1B32">
        <w:rPr>
          <w:rFonts w:ascii="Arial Narrow" w:hAnsi="Arial Narrow" w:cs="Arial"/>
          <w:b/>
          <w:bCs/>
          <w:sz w:val="22"/>
          <w:szCs w:val="22"/>
        </w:rPr>
        <w:fldChar w:fldCharType="separate"/>
      </w:r>
      <w:r w:rsidR="00925173" w:rsidRPr="00925173">
        <w:rPr>
          <w:rFonts w:ascii="Arial Narrow" w:hAnsi="Arial Narrow" w:cs="Arial"/>
          <w:bCs/>
          <w:noProof/>
          <w:sz w:val="22"/>
          <w:szCs w:val="22"/>
        </w:rPr>
        <w:t>(Alcantara &amp; Saito, 2023; Mangalathu et al., 2020)</w:t>
      </w:r>
      <w:r w:rsidR="004B1B32">
        <w:rPr>
          <w:rFonts w:ascii="Arial Narrow" w:hAnsi="Arial Narrow" w:cs="Arial"/>
          <w:b/>
          <w:bCs/>
          <w:sz w:val="22"/>
          <w:szCs w:val="22"/>
        </w:rPr>
        <w:fldChar w:fldCharType="end"/>
      </w:r>
      <w:r w:rsidRPr="00E4516A">
        <w:rPr>
          <w:rFonts w:ascii="Arial Narrow" w:hAnsi="Arial Narrow" w:cs="Arial"/>
          <w:sz w:val="22"/>
          <w:szCs w:val="22"/>
        </w:rPr>
        <w:t>.</w:t>
      </w:r>
    </w:p>
    <w:p w14:paraId="288E197F" w14:textId="08C11D3F" w:rsidR="00122DCA" w:rsidRPr="00E4516A" w:rsidRDefault="003B0C8A"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t>Desempeño de Materiales y Sostenibilidad:</w:t>
      </w:r>
      <w:r w:rsidRPr="00E4516A">
        <w:rPr>
          <w:rFonts w:ascii="Arial Narrow" w:hAnsi="Arial Narrow" w:cs="Arial"/>
          <w:sz w:val="22"/>
          <w:szCs w:val="22"/>
        </w:rPr>
        <w:t xml:space="preserve"> Utilizar el análisis no lineal para validar el desempeño de materiales convencionales (</w:t>
      </w:r>
      <w:r w:rsidRPr="00E4516A">
        <w:rPr>
          <w:rFonts w:ascii="Arial Narrow" w:hAnsi="Arial Narrow" w:cs="Arial"/>
          <w:b/>
          <w:bCs/>
          <w:sz w:val="22"/>
          <w:szCs w:val="22"/>
        </w:rPr>
        <w:t>madera,</w:t>
      </w:r>
      <w:r w:rsidRPr="00E4516A">
        <w:rPr>
          <w:rFonts w:ascii="Arial Narrow" w:hAnsi="Arial Narrow" w:cs="Arial"/>
          <w:sz w:val="22"/>
          <w:szCs w:val="22"/>
        </w:rPr>
        <w:t xml:space="preserve"> </w:t>
      </w:r>
      <w:r w:rsidRPr="00E4516A">
        <w:rPr>
          <w:rFonts w:ascii="Arial Narrow" w:hAnsi="Arial Narrow" w:cs="Arial"/>
          <w:b/>
          <w:bCs/>
          <w:sz w:val="22"/>
          <w:szCs w:val="22"/>
        </w:rPr>
        <w:t>concreto y acero</w:t>
      </w:r>
      <w:r w:rsidRPr="00E4516A">
        <w:rPr>
          <w:rFonts w:ascii="Arial Narrow" w:hAnsi="Arial Narrow" w:cs="Arial"/>
          <w:sz w:val="22"/>
          <w:szCs w:val="22"/>
        </w:rPr>
        <w:t xml:space="preserve">) bajo enfoques de optimización y economía circular, así como el estudio de </w:t>
      </w:r>
      <w:r w:rsidRPr="00E4516A">
        <w:rPr>
          <w:rFonts w:ascii="Arial Narrow" w:hAnsi="Arial Narrow" w:cs="Arial"/>
          <w:b/>
          <w:bCs/>
          <w:sz w:val="22"/>
          <w:szCs w:val="22"/>
        </w:rPr>
        <w:t>materiales alternativos y sistemas de mampostería de baja huella de carbono</w:t>
      </w:r>
      <w:r w:rsidR="00F839F5" w:rsidRPr="00F839F5">
        <w:rPr>
          <w:rFonts w:ascii="Arial Narrow" w:hAnsi="Arial Narrow" w:cs="Arial"/>
          <w:b/>
          <w:bCs/>
          <w:sz w:val="22"/>
          <w:szCs w:val="22"/>
        </w:rPr>
        <w:t>, basándose en modelos de capacidad y envolventes de resistencia lateral para estructuras de mampostería confinada</w:t>
      </w:r>
      <w:r w:rsidR="007D1157">
        <w:rPr>
          <w:rFonts w:ascii="Arial Narrow" w:hAnsi="Arial Narrow" w:cs="Arial"/>
          <w:b/>
          <w:bCs/>
          <w:sz w:val="22"/>
          <w:szCs w:val="22"/>
        </w:rPr>
        <w:t xml:space="preserve"> </w:t>
      </w:r>
      <w:r w:rsidR="007D1157">
        <w:rPr>
          <w:rFonts w:ascii="Arial Narrow" w:hAnsi="Arial Narrow" w:cs="Arial"/>
          <w:b/>
          <w:bCs/>
          <w:sz w:val="22"/>
          <w:szCs w:val="22"/>
        </w:rPr>
        <w:fldChar w:fldCharType="begin" w:fldLock="1"/>
      </w:r>
      <w:r w:rsidR="00AD28F6">
        <w:rPr>
          <w:rFonts w:ascii="Arial Narrow" w:hAnsi="Arial Narrow" w:cs="Arial"/>
          <w:b/>
          <w:bCs/>
          <w:sz w:val="22"/>
          <w:szCs w:val="22"/>
        </w:rPr>
        <w:instrText>ADDIN CSL_CITATION {"citationItems":[{"id":"ITEM-1","itemData":{"DOI":"10.3390/buildings13051282","ISSN":"20755309","abstract":"This article discusses the significance of confined masonry (CM) structures in terms of their remarkable seismic performance in past earthquake events. However, the variability of CM structures with differing materials, detailing, and construction practices across different regions poses challenges in developing standardized design guidelines. To address the challenges, the state-of-the-art developments in CM are comprehensively reviewed in the present article. This review encompasses experimental campaigns studying CM walls and buildings to evaluate the effect of important parameters on their performance, a discussion of various numerical and analytical models with their respective benefits and limitations, and an examination of design procedures for CM in nine country codes and their local guidelines. This review identifies gaps in the current knowledge, including the need for more studies on the performance of CM structures under earthquake loads and the use of new materials and construction techniques. The article concludes by formulating future research directions to address the identified gaps, including the need for more experimental studies and the development of sophisticated numerical models that can capture the complexities of these structures under the action of different loads. Overall, the article serves as a valuable resource for researchers and practitioners working on the analysis, design, and construction of CM.","author":[{"dropping-particle":"","family":"Borah","given":"Bonisha","non-dropping-particle":"","parse-names":false,"suffix":""},{"dropping-particle":"","family":"Kaushik","given":"Hemant B.","non-dropping-particle":"","parse-names":false,"suffix":""},{"dropping-particle":"","family":"Singhal","given":"Vaibhav","non-dropping-particle":"","parse-names":false,"suffix":""}],"container-title":"Buildings","id":"ITEM-1","issue":"5","issued":{"date-parts":[["2023"]]},"title":"Analysis and Design of Confined Masonry Structures: Review and Future Research Directions","type":"article-journal","volume":"13"},"uris":["http://www.mendeley.com/documents/?uuid=60ac0851-32f9-443d-8f49-6e268a44192f"]},{"id":"ITEM-2","itemData":{"DOI":"10.18867/ris.89.163","ISSN":"0185-092X","abstract":"En este artículo se presenta un procedimiento para calcular la curva envolvente de resistencia lateral de estructuras de mampostería confinada con mediana o baja altura. La curva envolvente idealizada se definió con parámetros obtenidos con pruebas experimentales realizadas en México. Las curvas envolventes de resistencia lateral analíticas son comparadas con las curvas experimentales obtenidas en un modelo probado bajo carga cíclica reversible y una serie en modelos de mampostería probados en la mesa vibradora del II-UNAM. Los resultados sugieren una adecuada predicción del límite elástico, resistencia máxima y estado último. El procedimiento incluye el cálculo de las ductilidades local y global y del factor de comportamiento sísmico.","author":[{"dropping-particle":"","family":"Alcocer-Martínez de Castro","given":"Sergio","non-dropping-particle":"","parse-names":false,"suffix":""},{"dropping-particle":"","family":"Hernández-Barrios","given":"Hugo","non-dropping-particle":"","parse-names":false,"suffix":""},{"dropping-particle":"","family":"Sandoval-R","given":"Harry","non-dropping-particle":"","parse-names":false,"suffix":""}],"container-title":"Revista de Ingeniería Sísmica","id":"ITEM-2","issue":"89","issued":{"date-parts":[["2013"]]},"page":"24-54","title":"Lateral Strength Envelope for Confined Masonry Structures","type":"article-journal","volume":"54"},"uris":["http://www.mendeley.com/documents/?uuid=7d3cb435-c5bd-4fe8-a03b-e592921ab4e8"]}],"mendeley":{"formattedCitation":"(Alcocer-Martínez de Castro et al., 2013; Borah et al., 2023)","plainTextFormattedCitation":"(Alcocer-Martínez de Castro et al., 2013; Borah et al., 2023)","previouslyFormattedCitation":"(Alcocer-Martínez de Castro et al., 2013; Borah et al., 2023)"},"properties":{"noteIndex":0},"schema":"https://github.com/citation-style-language/schema/raw/master/csl-citation.json"}</w:instrText>
      </w:r>
      <w:r w:rsidR="007D1157">
        <w:rPr>
          <w:rFonts w:ascii="Arial Narrow" w:hAnsi="Arial Narrow" w:cs="Arial"/>
          <w:b/>
          <w:bCs/>
          <w:sz w:val="22"/>
          <w:szCs w:val="22"/>
        </w:rPr>
        <w:fldChar w:fldCharType="separate"/>
      </w:r>
      <w:r w:rsidR="00F839F5" w:rsidRPr="00F839F5">
        <w:rPr>
          <w:rFonts w:ascii="Arial Narrow" w:hAnsi="Arial Narrow" w:cs="Arial"/>
          <w:bCs/>
          <w:noProof/>
          <w:sz w:val="22"/>
          <w:szCs w:val="22"/>
        </w:rPr>
        <w:t>(Alcocer-Martínez de Castro et al., 2013; Borah et al., 2023)</w:t>
      </w:r>
      <w:r w:rsidR="007D1157">
        <w:rPr>
          <w:rFonts w:ascii="Arial Narrow" w:hAnsi="Arial Narrow" w:cs="Arial"/>
          <w:b/>
          <w:bCs/>
          <w:sz w:val="22"/>
          <w:szCs w:val="22"/>
        </w:rPr>
        <w:fldChar w:fldCharType="end"/>
      </w:r>
      <w:r w:rsidRPr="00E4516A">
        <w:rPr>
          <w:rFonts w:ascii="Arial Narrow" w:hAnsi="Arial Narrow" w:cs="Arial"/>
          <w:sz w:val="22"/>
          <w:szCs w:val="22"/>
        </w:rPr>
        <w:t xml:space="preserve">. El objetivo es desarrollar soluciones estructurales de alta eficiencia que sean </w:t>
      </w:r>
      <w:r w:rsidRPr="00E4516A">
        <w:rPr>
          <w:rFonts w:ascii="Arial Narrow" w:hAnsi="Arial Narrow" w:cs="Arial"/>
          <w:b/>
          <w:bCs/>
          <w:sz w:val="22"/>
          <w:szCs w:val="22"/>
        </w:rPr>
        <w:t>generosas con el medio ambiente</w:t>
      </w:r>
      <w:r w:rsidRPr="00E4516A">
        <w:rPr>
          <w:rFonts w:ascii="Arial Narrow" w:hAnsi="Arial Narrow" w:cs="Arial"/>
          <w:sz w:val="22"/>
          <w:szCs w:val="22"/>
        </w:rPr>
        <w:t xml:space="preserve"> y viables en contextos de recursos limitados.</w:t>
      </w:r>
    </w:p>
    <w:p w14:paraId="0660DD6F" w14:textId="24656C99" w:rsidR="008E6EC7" w:rsidRPr="00E4516A" w:rsidRDefault="008E6EC7" w:rsidP="00E4516A">
      <w:pPr>
        <w:numPr>
          <w:ilvl w:val="0"/>
          <w:numId w:val="10"/>
        </w:numPr>
        <w:spacing w:line="276" w:lineRule="auto"/>
        <w:jc w:val="both"/>
        <w:rPr>
          <w:rFonts w:ascii="Arial Narrow" w:hAnsi="Arial Narrow" w:cs="Arial"/>
          <w:sz w:val="22"/>
          <w:szCs w:val="22"/>
        </w:rPr>
      </w:pPr>
      <w:r w:rsidRPr="00E4516A">
        <w:rPr>
          <w:rFonts w:ascii="Arial Narrow" w:hAnsi="Arial Narrow" w:cs="Arial"/>
          <w:b/>
          <w:bCs/>
          <w:sz w:val="22"/>
          <w:szCs w:val="22"/>
        </w:rPr>
        <w:lastRenderedPageBreak/>
        <w:t>Validación Empírica y Analítica:</w:t>
      </w:r>
      <w:r w:rsidRPr="00E4516A">
        <w:rPr>
          <w:rFonts w:ascii="Arial Narrow" w:hAnsi="Arial Narrow" w:cs="Arial"/>
          <w:sz w:val="22"/>
          <w:szCs w:val="22"/>
        </w:rPr>
        <w:t xml:space="preserve"> Confrontar modelos de elementos finitos con </w:t>
      </w:r>
      <w:r w:rsidRPr="00E4516A">
        <w:rPr>
          <w:rFonts w:ascii="Arial Narrow" w:hAnsi="Arial Narrow" w:cs="Arial"/>
          <w:b/>
          <w:bCs/>
          <w:sz w:val="22"/>
          <w:szCs w:val="22"/>
        </w:rPr>
        <w:t>ensayos de laboratorio</w:t>
      </w:r>
      <w:r w:rsidRPr="00E4516A">
        <w:rPr>
          <w:rFonts w:ascii="Arial Narrow" w:hAnsi="Arial Narrow" w:cs="Arial"/>
          <w:sz w:val="22"/>
          <w:szCs w:val="22"/>
        </w:rPr>
        <w:t xml:space="preserve"> y la </w:t>
      </w:r>
      <w:r w:rsidRPr="00E4516A">
        <w:rPr>
          <w:rFonts w:ascii="Arial Narrow" w:hAnsi="Arial Narrow" w:cs="Arial"/>
          <w:b/>
          <w:bCs/>
          <w:sz w:val="22"/>
          <w:szCs w:val="22"/>
        </w:rPr>
        <w:t>evidencia forense de eventos reales en sitio</w:t>
      </w:r>
      <w:r w:rsidRPr="00E4516A">
        <w:rPr>
          <w:rFonts w:ascii="Arial Narrow" w:hAnsi="Arial Narrow" w:cs="Arial"/>
          <w:sz w:val="22"/>
          <w:szCs w:val="22"/>
        </w:rPr>
        <w:t>, calibrando la teoría con la praxis física.</w:t>
      </w:r>
    </w:p>
    <w:p w14:paraId="61F0C362" w14:textId="0C12C6C6" w:rsidR="00122DCA" w:rsidRPr="00E4516A" w:rsidRDefault="009C1F54" w:rsidP="00E4516A">
      <w:pPr>
        <w:spacing w:line="276" w:lineRule="auto"/>
        <w:rPr>
          <w:rFonts w:ascii="Arial Narrow" w:hAnsi="Arial Narrow" w:cs="Arial"/>
          <w:b/>
          <w:bCs/>
          <w:sz w:val="22"/>
          <w:szCs w:val="22"/>
        </w:rPr>
      </w:pPr>
      <w:r>
        <w:rPr>
          <w:rFonts w:ascii="Arial Narrow" w:hAnsi="Arial Narrow" w:cs="Arial"/>
          <w:b/>
          <w:bCs/>
          <w:sz w:val="22"/>
          <w:szCs w:val="22"/>
        </w:rPr>
        <w:t>5</w:t>
      </w:r>
      <w:r w:rsidR="00122DCA" w:rsidRPr="00E4516A">
        <w:rPr>
          <w:rFonts w:ascii="Arial Narrow" w:hAnsi="Arial Narrow" w:cs="Arial"/>
          <w:b/>
          <w:bCs/>
          <w:sz w:val="22"/>
          <w:szCs w:val="22"/>
        </w:rPr>
        <w:t>. PLAN DE EXTENSIÓN: IMPACTO SOCIAL Y COSTO PAÍS</w:t>
      </w:r>
    </w:p>
    <w:p w14:paraId="6C847545" w14:textId="44F2EFE4" w:rsidR="00122DCA" w:rsidRPr="00E4516A" w:rsidRDefault="00E61BA3" w:rsidP="00E4516A">
      <w:pPr>
        <w:numPr>
          <w:ilvl w:val="0"/>
          <w:numId w:val="12"/>
        </w:numPr>
        <w:spacing w:line="276" w:lineRule="auto"/>
        <w:jc w:val="both"/>
        <w:rPr>
          <w:rFonts w:ascii="Arial Narrow" w:hAnsi="Arial Narrow" w:cs="Arial"/>
          <w:sz w:val="22"/>
          <w:szCs w:val="22"/>
        </w:rPr>
      </w:pPr>
      <w:r w:rsidRPr="00E4516A">
        <w:rPr>
          <w:rFonts w:ascii="Arial Narrow" w:hAnsi="Arial Narrow" w:cs="Arial"/>
          <w:b/>
          <w:bCs/>
          <w:sz w:val="22"/>
          <w:szCs w:val="22"/>
        </w:rPr>
        <w:t>Reducción de Vulnerabilidad Sistémica:</w:t>
      </w:r>
      <w:r w:rsidRPr="00E4516A">
        <w:rPr>
          <w:rFonts w:ascii="Arial Narrow" w:hAnsi="Arial Narrow" w:cs="Arial"/>
          <w:sz w:val="22"/>
          <w:szCs w:val="22"/>
        </w:rPr>
        <w:t xml:space="preserve"> Liderar la evaluación de</w:t>
      </w:r>
      <w:r w:rsidR="00E77BD0" w:rsidRPr="00E4516A">
        <w:rPr>
          <w:rFonts w:ascii="Arial Narrow" w:hAnsi="Arial Narrow" w:cs="Arial"/>
          <w:sz w:val="22"/>
          <w:szCs w:val="22"/>
        </w:rPr>
        <w:t xml:space="preserve"> vulnerabilidad y</w:t>
      </w:r>
      <w:r w:rsidRPr="00E4516A">
        <w:rPr>
          <w:rFonts w:ascii="Arial Narrow" w:hAnsi="Arial Narrow" w:cs="Arial"/>
          <w:sz w:val="22"/>
          <w:szCs w:val="22"/>
        </w:rPr>
        <w:t xml:space="preserve"> riesgos en infraestructura crítica, </w:t>
      </w:r>
      <w:r w:rsidR="00B3305B" w:rsidRPr="00B3305B">
        <w:rPr>
          <w:rFonts w:ascii="Arial Narrow" w:hAnsi="Arial Narrow" w:cs="Arial"/>
          <w:sz w:val="22"/>
          <w:szCs w:val="22"/>
        </w:rPr>
        <w:t>proponiendo soluciones de control, mitigación y reforzamiento estructural (tanto convencionales como de vanguardia) que optimicen la inversión pública y aseguren la continuidad operativa del Estado ante desastres, mediante el fortalecimiento de la resiliencia sistémica de la infraestructura</w:t>
      </w:r>
      <w:r w:rsidR="000064AC">
        <w:rPr>
          <w:rFonts w:ascii="Arial Narrow" w:hAnsi="Arial Narrow" w:cs="Arial"/>
          <w:sz w:val="22"/>
          <w:szCs w:val="22"/>
        </w:rPr>
        <w:t xml:space="preserve"> </w:t>
      </w:r>
      <w:r w:rsidR="000064AC">
        <w:rPr>
          <w:rFonts w:ascii="Arial Narrow" w:hAnsi="Arial Narrow" w:cs="Arial"/>
          <w:sz w:val="22"/>
          <w:szCs w:val="22"/>
        </w:rPr>
        <w:fldChar w:fldCharType="begin" w:fldLock="1"/>
      </w:r>
      <w:r w:rsidR="00941D4E">
        <w:rPr>
          <w:rFonts w:ascii="Arial Narrow" w:hAnsi="Arial Narrow" w:cs="Arial"/>
          <w:sz w:val="22"/>
          <w:szCs w:val="22"/>
        </w:rPr>
        <w:instrText>ADDIN CSL_CITATION {"citationItems":[{"id":"ITEM-1","itemData":{"DOI":"10.1111/risa.12093","ISSN":"02724332","abstract":"The United Nations Office for Disaster Risk Reduction reported that the 2011 natural disasters, including the earthquake and tsunami that struck Japan, resulted in $366 billion in direct damages and 29,782 fatalities worldwide. Storms and floods accounted for up to 70% of the 302 natural disasters worldwide in 2011, with earthquakes producing the greatest number of fatalities. Average annual losses in the United States amount to about $55 billion. Enhancing community and system resilience could lead to massive savings through risk reduction and expeditious recovery. The rational management of such reduction and recovery is facilitated by an appropriate definition of resilience and associated metrics. In this article, a resilience definition is provided that meets a set of requirements with clear relationships to the metrics of the relevant abstract notions of reliability and risk. Those metrics also meet logically consistent requirements drawn from measure theory, and provide a sound basis for the development of effective decision-making tools for multihazard environments. Improving the resiliency of a system to meet target levels requires the examination of system enhancement alternatives in economic terms, within a decision-making framework. Relevant decision analysis methods would typically require the examination of resilience based on its valuation by society at large. The article provides methods for valuation and benefit-cost analysis based on concepts from risk analysis and management. © 2013 Society for Risk Analysis.","author":[{"dropping-particle":"","family":"Ayyub","given":"Bilal M.","non-dropping-particle":"","parse-names":false,"suffix":""}],"container-title":"Risk Analysis","id":"ITEM-1","issue":"2","issued":{"date-parts":[["2014"]]},"page":"340-355","title":"Systems resilience for multihazard environments: Definition, metrics, and valuation for decision making","type":"article-journal","volume":"34"},"uris":["http://www.mendeley.com/documents/?uuid=12cf1d11-8f11-4302-872c-dc4f285c5675"]}],"mendeley":{"formattedCitation":"(Ayyub, 2014)","plainTextFormattedCitation":"(Ayyub, 2014)","previouslyFormattedCitation":"(Ayyub, 2014)"},"properties":{"noteIndex":0},"schema":"https://github.com/citation-style-language/schema/raw/master/csl-citation.json"}</w:instrText>
      </w:r>
      <w:r w:rsidR="000064AC">
        <w:rPr>
          <w:rFonts w:ascii="Arial Narrow" w:hAnsi="Arial Narrow" w:cs="Arial"/>
          <w:sz w:val="22"/>
          <w:szCs w:val="22"/>
        </w:rPr>
        <w:fldChar w:fldCharType="separate"/>
      </w:r>
      <w:r w:rsidR="000064AC" w:rsidRPr="000064AC">
        <w:rPr>
          <w:rFonts w:ascii="Arial Narrow" w:hAnsi="Arial Narrow" w:cs="Arial"/>
          <w:noProof/>
          <w:sz w:val="22"/>
          <w:szCs w:val="22"/>
        </w:rPr>
        <w:t>(Ayyub, 2014)</w:t>
      </w:r>
      <w:r w:rsidR="000064AC">
        <w:rPr>
          <w:rFonts w:ascii="Arial Narrow" w:hAnsi="Arial Narrow" w:cs="Arial"/>
          <w:sz w:val="22"/>
          <w:szCs w:val="22"/>
        </w:rPr>
        <w:fldChar w:fldCharType="end"/>
      </w:r>
      <w:r w:rsidR="00E77BD0" w:rsidRPr="00E4516A">
        <w:rPr>
          <w:rFonts w:ascii="Arial Narrow" w:hAnsi="Arial Narrow" w:cs="Arial"/>
          <w:sz w:val="22"/>
          <w:szCs w:val="22"/>
        </w:rPr>
        <w:t>.</w:t>
      </w:r>
    </w:p>
    <w:p w14:paraId="3093BCC5" w14:textId="482B0998" w:rsidR="00122DCA" w:rsidRPr="00E4516A" w:rsidRDefault="005B1FD8" w:rsidP="00E4516A">
      <w:pPr>
        <w:numPr>
          <w:ilvl w:val="0"/>
          <w:numId w:val="12"/>
        </w:numPr>
        <w:spacing w:line="276" w:lineRule="auto"/>
        <w:jc w:val="both"/>
        <w:rPr>
          <w:rFonts w:ascii="Arial Narrow" w:hAnsi="Arial Narrow" w:cs="Arial"/>
          <w:sz w:val="22"/>
          <w:szCs w:val="22"/>
        </w:rPr>
      </w:pPr>
      <w:r w:rsidRPr="00E4516A">
        <w:rPr>
          <w:rFonts w:ascii="Arial Narrow" w:hAnsi="Arial Narrow" w:cs="Arial"/>
          <w:b/>
          <w:bCs/>
          <w:sz w:val="22"/>
          <w:szCs w:val="22"/>
        </w:rPr>
        <w:t>Tecnologías de Gestión del Riesgo:</w:t>
      </w:r>
      <w:r w:rsidRPr="00E4516A">
        <w:rPr>
          <w:rFonts w:ascii="Arial Narrow" w:hAnsi="Arial Narrow" w:cs="Arial"/>
          <w:sz w:val="22"/>
          <w:szCs w:val="22"/>
        </w:rPr>
        <w:t xml:space="preserve"> Aportar al desarrollo de herramientas para los Planes Municipales de Gestión del Riesgo (PMGRD), integrando </w:t>
      </w:r>
      <w:r w:rsidRPr="00E4516A">
        <w:rPr>
          <w:rFonts w:ascii="Arial Narrow" w:hAnsi="Arial Narrow" w:cs="Arial"/>
          <w:b/>
          <w:bCs/>
          <w:sz w:val="22"/>
          <w:szCs w:val="22"/>
        </w:rPr>
        <w:t>sistemas de georreferenciación (GIS)</w:t>
      </w:r>
      <w:r w:rsidRPr="00E4516A">
        <w:rPr>
          <w:rFonts w:ascii="Arial Narrow" w:hAnsi="Arial Narrow" w:cs="Arial"/>
          <w:sz w:val="22"/>
          <w:szCs w:val="22"/>
        </w:rPr>
        <w:t xml:space="preserve"> y sensores para la detección de amenazas no convencionales.</w:t>
      </w:r>
    </w:p>
    <w:p w14:paraId="2EBDB034" w14:textId="77777777" w:rsidR="00122DCA" w:rsidRPr="00E4516A" w:rsidRDefault="00122DCA" w:rsidP="00E4516A">
      <w:pPr>
        <w:numPr>
          <w:ilvl w:val="0"/>
          <w:numId w:val="12"/>
        </w:numPr>
        <w:spacing w:line="276" w:lineRule="auto"/>
        <w:jc w:val="both"/>
        <w:rPr>
          <w:rFonts w:ascii="Arial Narrow" w:hAnsi="Arial Narrow" w:cs="Arial"/>
          <w:sz w:val="22"/>
          <w:szCs w:val="22"/>
        </w:rPr>
      </w:pPr>
      <w:r w:rsidRPr="00E4516A">
        <w:rPr>
          <w:rFonts w:ascii="Arial Narrow" w:hAnsi="Arial Narrow" w:cs="Arial"/>
          <w:b/>
          <w:bCs/>
          <w:sz w:val="22"/>
          <w:szCs w:val="22"/>
        </w:rPr>
        <w:t>Redes de Cooperación Global:</w:t>
      </w:r>
      <w:r w:rsidRPr="00E4516A">
        <w:rPr>
          <w:rFonts w:ascii="Arial Narrow" w:hAnsi="Arial Narrow" w:cs="Arial"/>
          <w:sz w:val="22"/>
          <w:szCs w:val="22"/>
        </w:rPr>
        <w:t xml:space="preserve"> Fomentar convenios con centros como la </w:t>
      </w:r>
      <w:r w:rsidRPr="00E4516A">
        <w:rPr>
          <w:rFonts w:ascii="Arial Narrow" w:hAnsi="Arial Narrow" w:cs="Arial"/>
          <w:b/>
          <w:bCs/>
          <w:sz w:val="22"/>
          <w:szCs w:val="22"/>
        </w:rPr>
        <w:t>UBC (Canadá)</w:t>
      </w:r>
      <w:r w:rsidRPr="00E4516A">
        <w:rPr>
          <w:rFonts w:ascii="Arial Narrow" w:hAnsi="Arial Narrow" w:cs="Arial"/>
          <w:sz w:val="22"/>
          <w:szCs w:val="22"/>
        </w:rPr>
        <w:t xml:space="preserve"> para la transferencia tecnológica en control estructural y resiliencia.</w:t>
      </w:r>
    </w:p>
    <w:p w14:paraId="3E1D7E2D" w14:textId="546F617D" w:rsidR="00122DCA" w:rsidRPr="00E4516A" w:rsidRDefault="009C1F54" w:rsidP="00E4516A">
      <w:pPr>
        <w:spacing w:line="276" w:lineRule="auto"/>
        <w:rPr>
          <w:rFonts w:ascii="Arial Narrow" w:hAnsi="Arial Narrow" w:cs="Arial"/>
          <w:b/>
          <w:bCs/>
          <w:sz w:val="22"/>
          <w:szCs w:val="22"/>
        </w:rPr>
      </w:pPr>
      <w:r>
        <w:rPr>
          <w:rFonts w:ascii="Arial Narrow" w:hAnsi="Arial Narrow" w:cs="Arial"/>
          <w:b/>
          <w:bCs/>
          <w:sz w:val="22"/>
          <w:szCs w:val="22"/>
        </w:rPr>
        <w:t>6</w:t>
      </w:r>
      <w:r w:rsidR="00122DCA" w:rsidRPr="00E4516A">
        <w:rPr>
          <w:rFonts w:ascii="Arial Narrow" w:hAnsi="Arial Narrow" w:cs="Arial"/>
          <w:b/>
          <w:bCs/>
          <w:sz w:val="22"/>
          <w:szCs w:val="22"/>
        </w:rPr>
        <w:t>. CONCLUSIÓN</w:t>
      </w:r>
    </w:p>
    <w:p w14:paraId="23A5C8C1" w14:textId="04F621F7" w:rsidR="007D1A21" w:rsidRPr="007D1A21" w:rsidRDefault="00927E29" w:rsidP="007D1A21">
      <w:pPr>
        <w:jc w:val="both"/>
        <w:rPr>
          <w:rFonts w:ascii="Arial Narrow" w:hAnsi="Arial Narrow" w:cs="Arial"/>
          <w:sz w:val="22"/>
          <w:szCs w:val="22"/>
        </w:rPr>
      </w:pPr>
      <w:r w:rsidRPr="00927E29">
        <w:rPr>
          <w:rFonts w:ascii="Arial Narrow" w:hAnsi="Arial Narrow" w:cs="Arial"/>
          <w:sz w:val="22"/>
          <w:szCs w:val="22"/>
        </w:rPr>
        <w:t>La ingeniería colombiana debe trascender hacia el paradigma de la resiliencia estructural multirriesgo, adoptando marcos cuantitativos que permitan evaluar la capacidad de un sistema para absorber impactos de diversa índole y recuperarse ante escenarios de amenazas concurrentes</w:t>
      </w:r>
      <w:r>
        <w:rPr>
          <w:rFonts w:ascii="Arial Narrow" w:hAnsi="Arial Narrow" w:cs="Arial"/>
          <w:sz w:val="22"/>
          <w:szCs w:val="22"/>
        </w:rPr>
        <w:t xml:space="preserve"> </w:t>
      </w:r>
      <w:r w:rsidR="00AD28F6">
        <w:rPr>
          <w:rFonts w:ascii="Arial Narrow" w:hAnsi="Arial Narrow" w:cs="Arial"/>
          <w:sz w:val="22"/>
          <w:szCs w:val="22"/>
        </w:rPr>
        <w:fldChar w:fldCharType="begin" w:fldLock="1"/>
      </w:r>
      <w:r w:rsidR="000064AC">
        <w:rPr>
          <w:rFonts w:ascii="Arial Narrow" w:hAnsi="Arial Narrow" w:cs="Arial"/>
          <w:sz w:val="22"/>
          <w:szCs w:val="22"/>
        </w:rPr>
        <w:instrText>ADDIN CSL_CITATION {"citationItems":[{"id":"ITEM-1","itemData":{"DOI":"10.1193/1.1623497","ISSN":"87552930","abstract":"This paper presents a conceptual framework to define seismic resilience of communities and quantitative measures of resilience that, can be useful for a coordinated research effort focusing on enhancing this resilience. This framework relies on the complementary measures of resilience: \"Reduced failure probabilities,\" \"Reduced consequences from failures,\" and \"Reduced time to recovery.\" The framework also includes quantitative measures of the \"ends\" of robustness and rapidity, and the \"means\" of resourcefulness and redundancy, and integrates those measures into the four dimensions of community resilience - technical, organizational, social, and economic - all of which can be used to quantify measures of resilience for various types of physical and organizational systems. Systems diagrams then establish the tasks required to achieve these objectives. This framework can be useful in future research to determine the resiliency of different units of analysis and systems, and to develop resiliency targets and detailed analytical procedures to generate these values.","author":[{"dropping-particle":"","family":"Bruneau","given":"Michel","non-dropping-particle":"","parse-names":false,"suffix":""},{"dropping-particle":"","family":"Chang","given":"Stephanie E.","non-dropping-particle":"","parse-names":false,"suffix":""},{"dropping-particle":"","family":"Eguchi","given":"Ronald T.","non-dropping-particle":"","parse-names":false,"suffix":""},{"dropping-particle":"","family":"Lee","given":"George C.","non-dropping-particle":"","parse-names":false,"suffix":""},{"dropping-particle":"","family":"O'Rourke","given":"Thomas D.","non-dropping-particle":"","parse-names":false,"suffix":""},{"dropping-particle":"","family":"Reinhorn","given":"Andrei M.","non-dropping-particle":"","parse-names":false,"suffix":""},{"dropping-particle":"","family":"Shinozuka","given":"Masanobu","non-dropping-particle":"","parse-names":false,"suffix":""},{"dropping-particle":"","family":"Tierney","given":"Kathleen","non-dropping-particle":"","parse-names":false,"suffix":""},{"dropping-particle":"","family":"Wallace","given":"William A.","non-dropping-particle":"","parse-names":false,"suffix":""},{"dropping-particle":"","family":"Winterfeldt","given":"Detlof","non-dropping-particle":"Von","parse-names":false,"suffix":""}],"container-title":"Earthquake Spectra","id":"ITEM-1","issue":"4","issued":{"date-parts":[["2003"]]},"page":"733-752","title":"A Framework to Quantitatively Assess and Enhance the Seismic Resilience of Communities","type":"article-journal","volume":"19"},"uris":["http://www.mendeley.com/documents/?uuid=8cfda47a-0ed1-4844-b0e9-c99d70cae94c"]}],"mendeley":{"formattedCitation":"(Bruneau et al., 2003)","plainTextFormattedCitation":"(Bruneau et al., 2003)","previouslyFormattedCitation":"(Bruneau et al., 2003)"},"properties":{"noteIndex":0},"schema":"https://github.com/citation-style-language/schema/raw/master/csl-citation.json"}</w:instrText>
      </w:r>
      <w:r w:rsidR="00AD28F6">
        <w:rPr>
          <w:rFonts w:ascii="Arial Narrow" w:hAnsi="Arial Narrow" w:cs="Arial"/>
          <w:sz w:val="22"/>
          <w:szCs w:val="22"/>
        </w:rPr>
        <w:fldChar w:fldCharType="separate"/>
      </w:r>
      <w:r w:rsidR="00AD28F6" w:rsidRPr="00AD28F6">
        <w:rPr>
          <w:rFonts w:ascii="Arial Narrow" w:hAnsi="Arial Narrow" w:cs="Arial"/>
          <w:noProof/>
          <w:sz w:val="22"/>
          <w:szCs w:val="22"/>
        </w:rPr>
        <w:t>(Bruneau et al., 2003)</w:t>
      </w:r>
      <w:r w:rsidR="00AD28F6">
        <w:rPr>
          <w:rFonts w:ascii="Arial Narrow" w:hAnsi="Arial Narrow" w:cs="Arial"/>
          <w:sz w:val="22"/>
          <w:szCs w:val="22"/>
        </w:rPr>
        <w:fldChar w:fldCharType="end"/>
      </w:r>
      <w:r w:rsidR="007D1A21" w:rsidRPr="007D1A21">
        <w:rPr>
          <w:rFonts w:ascii="Arial Narrow" w:hAnsi="Arial Narrow" w:cs="Arial"/>
          <w:sz w:val="22"/>
          <w:szCs w:val="22"/>
        </w:rPr>
        <w:t xml:space="preserve">. Mi meta en la Universidad Nacional es consolidar una línea de excelencia que lidere la evaluación de la vulnerabilidad física, priorizando el uso de </w:t>
      </w:r>
      <w:r w:rsidR="007D1A21" w:rsidRPr="007D1A21">
        <w:rPr>
          <w:rFonts w:ascii="Arial Narrow" w:hAnsi="Arial Narrow" w:cs="Arial"/>
          <w:b/>
          <w:bCs/>
          <w:sz w:val="22"/>
          <w:szCs w:val="22"/>
        </w:rPr>
        <w:t>materiales convencionales y no convencionales</w:t>
      </w:r>
      <w:r w:rsidR="007D1A21" w:rsidRPr="007D1A21">
        <w:rPr>
          <w:rFonts w:ascii="Arial Narrow" w:hAnsi="Arial Narrow" w:cs="Arial"/>
          <w:sz w:val="22"/>
          <w:szCs w:val="22"/>
        </w:rPr>
        <w:t xml:space="preserve"> en procesos de reforzamiento, mitigación y adaptación.</w:t>
      </w:r>
    </w:p>
    <w:p w14:paraId="2A134CB0" w14:textId="77777777" w:rsidR="007D1A21" w:rsidRDefault="007D1A21" w:rsidP="007D1A21">
      <w:pPr>
        <w:jc w:val="both"/>
        <w:rPr>
          <w:rFonts w:ascii="Arial Narrow" w:hAnsi="Arial Narrow" w:cs="Arial"/>
          <w:sz w:val="22"/>
          <w:szCs w:val="22"/>
        </w:rPr>
      </w:pPr>
      <w:r w:rsidRPr="007D1A21">
        <w:rPr>
          <w:rFonts w:ascii="Arial Narrow" w:hAnsi="Arial Narrow" w:cs="Arial"/>
          <w:sz w:val="22"/>
          <w:szCs w:val="22"/>
        </w:rPr>
        <w:t xml:space="preserve">A través de la integración de modelos analíticos y numéricos de alta fidelidad, la validación experimental y la incorporación de </w:t>
      </w:r>
      <w:r w:rsidRPr="007D1A21">
        <w:rPr>
          <w:rFonts w:ascii="Arial Narrow" w:hAnsi="Arial Narrow" w:cs="Arial"/>
          <w:b/>
          <w:bCs/>
          <w:sz w:val="22"/>
          <w:szCs w:val="22"/>
        </w:rPr>
        <w:t xml:space="preserve">evidencia empírica (análisis forense </w:t>
      </w:r>
      <w:proofErr w:type="spellStart"/>
      <w:r w:rsidRPr="007D1A21">
        <w:rPr>
          <w:rFonts w:ascii="Arial Narrow" w:hAnsi="Arial Narrow" w:cs="Arial"/>
          <w:b/>
          <w:bCs/>
          <w:sz w:val="22"/>
          <w:szCs w:val="22"/>
        </w:rPr>
        <w:t>post-evento</w:t>
      </w:r>
      <w:proofErr w:type="spellEnd"/>
      <w:r w:rsidRPr="007D1A21">
        <w:rPr>
          <w:rFonts w:ascii="Arial Narrow" w:hAnsi="Arial Narrow" w:cs="Arial"/>
          <w:b/>
          <w:bCs/>
          <w:sz w:val="22"/>
          <w:szCs w:val="22"/>
        </w:rPr>
        <w:t>)</w:t>
      </w:r>
      <w:r w:rsidRPr="007D1A21">
        <w:rPr>
          <w:rFonts w:ascii="Arial Narrow" w:hAnsi="Arial Narrow" w:cs="Arial"/>
          <w:sz w:val="22"/>
          <w:szCs w:val="22"/>
        </w:rPr>
        <w:t xml:space="preserve">, transformaremos la gestión del riesgo en una disciplina predictiva y adaptativa. Al confrontar los desarrollos científicos con la </w:t>
      </w:r>
      <w:r w:rsidRPr="007D1A21">
        <w:rPr>
          <w:rFonts w:ascii="Arial Narrow" w:hAnsi="Arial Narrow" w:cs="Arial"/>
          <w:b/>
          <w:bCs/>
          <w:sz w:val="22"/>
          <w:szCs w:val="22"/>
        </w:rPr>
        <w:t>realidad territorial y la evidencia de campo</w:t>
      </w:r>
      <w:r w:rsidRPr="007D1A21">
        <w:rPr>
          <w:rFonts w:ascii="Arial Narrow" w:hAnsi="Arial Narrow" w:cs="Arial"/>
          <w:sz w:val="22"/>
          <w:szCs w:val="22"/>
        </w:rPr>
        <w:t>, aportaremos al diseño de una infraestructura nacional capaz de resistir y recuperarse ante las amenazas extremas del siglo XXI, garantizando el desarrollo sostenible y la seguridad de la sociedad colombiana.</w:t>
      </w:r>
    </w:p>
    <w:p w14:paraId="1C1431B8" w14:textId="77777777" w:rsidR="00685C06" w:rsidRPr="007D1A21" w:rsidRDefault="00685C06" w:rsidP="007D1A21">
      <w:pPr>
        <w:jc w:val="both"/>
        <w:rPr>
          <w:rFonts w:ascii="Arial Narrow" w:hAnsi="Arial Narrow" w:cs="Arial"/>
          <w:sz w:val="22"/>
          <w:szCs w:val="22"/>
        </w:rPr>
      </w:pPr>
    </w:p>
    <w:p w14:paraId="1FC1ED77" w14:textId="77777777" w:rsidR="00685C06" w:rsidRPr="00DA0F6B" w:rsidRDefault="00685C06" w:rsidP="00685C06">
      <w:pPr>
        <w:jc w:val="both"/>
        <w:rPr>
          <w:rFonts w:ascii="Arial Narrow" w:hAnsi="Arial Narrow" w:cs="Arial"/>
          <w:b/>
          <w:bCs/>
          <w:sz w:val="22"/>
          <w:szCs w:val="22"/>
        </w:rPr>
      </w:pPr>
      <w:r w:rsidRPr="00DA0F6B">
        <w:rPr>
          <w:rFonts w:ascii="Arial Narrow" w:hAnsi="Arial Narrow" w:cs="Arial"/>
          <w:b/>
          <w:bCs/>
          <w:sz w:val="22"/>
          <w:szCs w:val="22"/>
        </w:rPr>
        <w:t>REFERENCIAS BIBLIOGRÁFICAS</w:t>
      </w:r>
    </w:p>
    <w:p w14:paraId="6DBFA30D" w14:textId="77777777" w:rsidR="00685C06" w:rsidRPr="00DA0F6B" w:rsidRDefault="00685C06" w:rsidP="00685C06">
      <w:pPr>
        <w:jc w:val="both"/>
        <w:rPr>
          <w:rFonts w:ascii="Arial Narrow" w:hAnsi="Arial Narrow" w:cs="Arial"/>
          <w:sz w:val="22"/>
          <w:szCs w:val="22"/>
        </w:rPr>
      </w:pPr>
      <w:r w:rsidRPr="00DA0F6B">
        <w:rPr>
          <w:rFonts w:ascii="Arial Narrow" w:hAnsi="Arial Narrow" w:cs="Arial"/>
          <w:b/>
          <w:bCs/>
          <w:sz w:val="22"/>
          <w:szCs w:val="22"/>
        </w:rPr>
        <w:t>Producción Académica del Aspirante (Investigación de Alto Impacto)</w:t>
      </w:r>
    </w:p>
    <w:p w14:paraId="6BDF2C18" w14:textId="77777777" w:rsidR="00685C06" w:rsidRPr="00DA0F6B" w:rsidRDefault="00685C06" w:rsidP="00685C06">
      <w:pPr>
        <w:numPr>
          <w:ilvl w:val="0"/>
          <w:numId w:val="18"/>
        </w:numPr>
        <w:jc w:val="both"/>
        <w:rPr>
          <w:rFonts w:ascii="Arial Narrow" w:hAnsi="Arial Narrow" w:cs="Arial"/>
          <w:sz w:val="22"/>
          <w:szCs w:val="22"/>
        </w:rPr>
      </w:pPr>
      <w:r w:rsidRPr="00DA0F6B">
        <w:rPr>
          <w:rFonts w:ascii="Arial Narrow" w:hAnsi="Arial Narrow" w:cs="Arial"/>
          <w:b/>
          <w:bCs/>
          <w:sz w:val="22"/>
          <w:szCs w:val="22"/>
          <w:lang w:val="pt-BR"/>
        </w:rPr>
        <w:t>Silva-Ceron, A. L.</w:t>
      </w:r>
      <w:r w:rsidRPr="00DA0F6B">
        <w:rPr>
          <w:rFonts w:ascii="Arial Narrow" w:hAnsi="Arial Narrow" w:cs="Arial"/>
          <w:sz w:val="22"/>
          <w:szCs w:val="22"/>
          <w:lang w:val="pt-BR"/>
        </w:rPr>
        <w:t xml:space="preserve">, Prieto, J. A., &amp; Gamboa, M. F. (2025). </w:t>
      </w:r>
      <w:r w:rsidRPr="00DA0F6B">
        <w:rPr>
          <w:rFonts w:ascii="Arial Narrow" w:hAnsi="Arial Narrow" w:cs="Arial"/>
          <w:sz w:val="22"/>
          <w:szCs w:val="22"/>
          <w:lang w:val="en-US"/>
        </w:rPr>
        <w:t xml:space="preserve">Physical vulnerability assessment procedures for confined and unconfined (unreinforced) clay brick masonry buildings due to mass movements, rigid foundation. </w:t>
      </w:r>
      <w:proofErr w:type="spellStart"/>
      <w:r w:rsidRPr="00DA0F6B">
        <w:rPr>
          <w:rFonts w:ascii="Arial Narrow" w:hAnsi="Arial Narrow" w:cs="Arial"/>
          <w:b/>
          <w:bCs/>
          <w:i/>
          <w:iCs/>
          <w:sz w:val="22"/>
          <w:szCs w:val="22"/>
        </w:rPr>
        <w:t>Engineering</w:t>
      </w:r>
      <w:proofErr w:type="spellEnd"/>
      <w:r w:rsidRPr="00DA0F6B">
        <w:rPr>
          <w:rFonts w:ascii="Arial Narrow" w:hAnsi="Arial Narrow" w:cs="Arial"/>
          <w:b/>
          <w:bCs/>
          <w:i/>
          <w:iCs/>
          <w:sz w:val="22"/>
          <w:szCs w:val="22"/>
        </w:rPr>
        <w:t xml:space="preserve"> </w:t>
      </w:r>
      <w:proofErr w:type="spellStart"/>
      <w:r w:rsidRPr="00DA0F6B">
        <w:rPr>
          <w:rFonts w:ascii="Arial Narrow" w:hAnsi="Arial Narrow" w:cs="Arial"/>
          <w:b/>
          <w:bCs/>
          <w:i/>
          <w:iCs/>
          <w:sz w:val="22"/>
          <w:szCs w:val="22"/>
        </w:rPr>
        <w:t>Geology</w:t>
      </w:r>
      <w:proofErr w:type="spellEnd"/>
      <w:r w:rsidRPr="00DA0F6B">
        <w:rPr>
          <w:rFonts w:ascii="Arial Narrow" w:hAnsi="Arial Narrow" w:cs="Arial"/>
          <w:sz w:val="22"/>
          <w:szCs w:val="22"/>
        </w:rPr>
        <w:t xml:space="preserve">, 352, 108091. </w:t>
      </w:r>
      <w:hyperlink w:tgtFrame="_blank" w:history="1">
        <w:r w:rsidRPr="00DA0F6B">
          <w:rPr>
            <w:rStyle w:val="Hyperlink"/>
            <w:rFonts w:ascii="Arial Narrow" w:hAnsi="Arial Narrow" w:cs="Arial"/>
            <w:sz w:val="22"/>
            <w:szCs w:val="22"/>
          </w:rPr>
          <w:t>https://doi.org/10.1016/j.enggeo.2025.108091</w:t>
        </w:r>
      </w:hyperlink>
    </w:p>
    <w:p w14:paraId="6BAB9704" w14:textId="77777777" w:rsidR="00685C06" w:rsidRPr="00DA0F6B" w:rsidRDefault="00685C06" w:rsidP="00685C06">
      <w:pPr>
        <w:numPr>
          <w:ilvl w:val="0"/>
          <w:numId w:val="18"/>
        </w:numPr>
        <w:jc w:val="both"/>
        <w:rPr>
          <w:rFonts w:ascii="Arial Narrow" w:hAnsi="Arial Narrow" w:cs="Arial"/>
          <w:sz w:val="22"/>
          <w:szCs w:val="22"/>
        </w:rPr>
      </w:pPr>
      <w:r w:rsidRPr="00DA0F6B">
        <w:rPr>
          <w:rFonts w:ascii="Arial Narrow" w:hAnsi="Arial Narrow" w:cs="Arial"/>
          <w:b/>
          <w:bCs/>
          <w:sz w:val="22"/>
          <w:szCs w:val="22"/>
          <w:lang w:val="en-US"/>
        </w:rPr>
        <w:t>Silva-</w:t>
      </w:r>
      <w:proofErr w:type="spellStart"/>
      <w:r w:rsidRPr="00DA0F6B">
        <w:rPr>
          <w:rFonts w:ascii="Arial Narrow" w:hAnsi="Arial Narrow" w:cs="Arial"/>
          <w:b/>
          <w:bCs/>
          <w:sz w:val="22"/>
          <w:szCs w:val="22"/>
          <w:lang w:val="en-US"/>
        </w:rPr>
        <w:t>Cerón</w:t>
      </w:r>
      <w:proofErr w:type="spellEnd"/>
      <w:r w:rsidRPr="00DA0F6B">
        <w:rPr>
          <w:rFonts w:ascii="Arial Narrow" w:hAnsi="Arial Narrow" w:cs="Arial"/>
          <w:b/>
          <w:bCs/>
          <w:sz w:val="22"/>
          <w:szCs w:val="22"/>
          <w:lang w:val="en-US"/>
        </w:rPr>
        <w:t>, A. L.</w:t>
      </w:r>
      <w:r w:rsidRPr="00DA0F6B">
        <w:rPr>
          <w:rFonts w:ascii="Arial Narrow" w:hAnsi="Arial Narrow" w:cs="Arial"/>
          <w:sz w:val="22"/>
          <w:szCs w:val="22"/>
          <w:lang w:val="en-US"/>
        </w:rPr>
        <w:t xml:space="preserve"> (2024). </w:t>
      </w:r>
      <w:r w:rsidRPr="00DA0F6B">
        <w:rPr>
          <w:rFonts w:ascii="Arial Narrow" w:hAnsi="Arial Narrow" w:cs="Arial"/>
          <w:i/>
          <w:iCs/>
          <w:sz w:val="22"/>
          <w:szCs w:val="22"/>
          <w:lang w:val="en-US"/>
        </w:rPr>
        <w:t xml:space="preserve">Physical Vulnerability of Unreinforced, Unconfined, and Confined Masonry Buildings due to Mass Movements Phenomena and Application to </w:t>
      </w:r>
      <w:proofErr w:type="spellStart"/>
      <w:r w:rsidRPr="00DA0F6B">
        <w:rPr>
          <w:rFonts w:ascii="Arial Narrow" w:hAnsi="Arial Narrow" w:cs="Arial"/>
          <w:i/>
          <w:iCs/>
          <w:sz w:val="22"/>
          <w:szCs w:val="22"/>
          <w:lang w:val="en-US"/>
        </w:rPr>
        <w:t>Popayán</w:t>
      </w:r>
      <w:proofErr w:type="spellEnd"/>
      <w:r w:rsidRPr="00DA0F6B">
        <w:rPr>
          <w:rFonts w:ascii="Arial Narrow" w:hAnsi="Arial Narrow" w:cs="Arial"/>
          <w:i/>
          <w:iCs/>
          <w:sz w:val="22"/>
          <w:szCs w:val="22"/>
          <w:lang w:val="en-US"/>
        </w:rPr>
        <w:t>, Cauca, Colombia</w:t>
      </w:r>
      <w:r w:rsidRPr="00DA0F6B">
        <w:rPr>
          <w:rFonts w:ascii="Arial Narrow" w:hAnsi="Arial Narrow" w:cs="Arial"/>
          <w:sz w:val="22"/>
          <w:szCs w:val="22"/>
          <w:lang w:val="en-US"/>
        </w:rPr>
        <w:t xml:space="preserve"> (Tesis Doctoral). </w:t>
      </w:r>
      <w:r w:rsidRPr="00DA0F6B">
        <w:rPr>
          <w:rFonts w:ascii="Arial Narrow" w:hAnsi="Arial Narrow" w:cs="Arial"/>
          <w:sz w:val="22"/>
          <w:szCs w:val="22"/>
        </w:rPr>
        <w:t>Universidad EAFIT, Medellín, Colombia.</w:t>
      </w:r>
    </w:p>
    <w:p w14:paraId="30CD6FDC" w14:textId="77777777" w:rsidR="00685C06" w:rsidRPr="00DA0F6B" w:rsidRDefault="00685C06" w:rsidP="00685C06">
      <w:pPr>
        <w:numPr>
          <w:ilvl w:val="0"/>
          <w:numId w:val="18"/>
        </w:numPr>
        <w:jc w:val="both"/>
        <w:rPr>
          <w:rFonts w:ascii="Arial Narrow" w:hAnsi="Arial Narrow" w:cs="Arial"/>
          <w:sz w:val="22"/>
          <w:szCs w:val="22"/>
        </w:rPr>
      </w:pPr>
      <w:r w:rsidRPr="00DA0F6B">
        <w:rPr>
          <w:rFonts w:ascii="Arial Narrow" w:hAnsi="Arial Narrow" w:cs="Arial"/>
          <w:b/>
          <w:bCs/>
          <w:sz w:val="22"/>
          <w:szCs w:val="22"/>
          <w:lang w:val="pt-BR"/>
        </w:rPr>
        <w:lastRenderedPageBreak/>
        <w:t>Ordoñez-Ruiz, A. F.</w:t>
      </w:r>
      <w:r w:rsidRPr="00DA0F6B">
        <w:rPr>
          <w:rFonts w:ascii="Arial Narrow" w:hAnsi="Arial Narrow" w:cs="Arial"/>
          <w:sz w:val="22"/>
          <w:szCs w:val="22"/>
          <w:lang w:val="pt-BR"/>
        </w:rPr>
        <w:t xml:space="preserve">, Parra-Moreno, W. A., &amp; </w:t>
      </w:r>
      <w:r w:rsidRPr="00DA0F6B">
        <w:rPr>
          <w:rFonts w:ascii="Arial Narrow" w:hAnsi="Arial Narrow" w:cs="Arial"/>
          <w:b/>
          <w:bCs/>
          <w:sz w:val="22"/>
          <w:szCs w:val="22"/>
          <w:lang w:val="pt-BR"/>
        </w:rPr>
        <w:t>Silva-Ceron, A. L.</w:t>
      </w:r>
      <w:r w:rsidRPr="00DA0F6B">
        <w:rPr>
          <w:rFonts w:ascii="Arial Narrow" w:hAnsi="Arial Narrow" w:cs="Arial"/>
          <w:sz w:val="22"/>
          <w:szCs w:val="22"/>
          <w:lang w:val="pt-BR"/>
        </w:rPr>
        <w:t xml:space="preserve"> (2023). </w:t>
      </w:r>
      <w:r w:rsidRPr="00DA0F6B">
        <w:rPr>
          <w:rFonts w:ascii="Arial Narrow" w:hAnsi="Arial Narrow" w:cs="Arial"/>
          <w:sz w:val="22"/>
          <w:szCs w:val="22"/>
          <w:lang w:val="en-US"/>
        </w:rPr>
        <w:t xml:space="preserve">Comparison between a traditional Colombian Structural Design and the Use of Viscous-Type Energy Damping Systems. </w:t>
      </w:r>
      <w:r w:rsidRPr="00DA0F6B">
        <w:rPr>
          <w:rFonts w:ascii="Arial Narrow" w:hAnsi="Arial Narrow" w:cs="Arial"/>
          <w:b/>
          <w:bCs/>
          <w:i/>
          <w:iCs/>
          <w:sz w:val="22"/>
          <w:szCs w:val="22"/>
        </w:rPr>
        <w:t>Ingeniería e Investigación</w:t>
      </w:r>
      <w:r w:rsidRPr="00DA0F6B">
        <w:rPr>
          <w:rFonts w:ascii="Arial Narrow" w:hAnsi="Arial Narrow" w:cs="Arial"/>
          <w:sz w:val="22"/>
          <w:szCs w:val="22"/>
        </w:rPr>
        <w:t xml:space="preserve"> (Universidad Nacional de Colombia), 43(1), e99281.</w:t>
      </w:r>
    </w:p>
    <w:p w14:paraId="54492B0E" w14:textId="77777777" w:rsidR="00685C06" w:rsidRPr="00DA0F6B" w:rsidRDefault="00685C06" w:rsidP="00685C06">
      <w:pPr>
        <w:jc w:val="both"/>
        <w:rPr>
          <w:rFonts w:ascii="Arial Narrow" w:hAnsi="Arial Narrow" w:cs="Arial"/>
          <w:sz w:val="22"/>
          <w:szCs w:val="22"/>
        </w:rPr>
      </w:pPr>
      <w:r w:rsidRPr="00DA0F6B">
        <w:rPr>
          <w:rFonts w:ascii="Arial Narrow" w:hAnsi="Arial Narrow" w:cs="Arial"/>
          <w:b/>
          <w:bCs/>
          <w:sz w:val="22"/>
          <w:szCs w:val="22"/>
        </w:rPr>
        <w:t xml:space="preserve">Evaluación de Riesgo y Resiliencia en el Contexto </w:t>
      </w:r>
      <w:r>
        <w:rPr>
          <w:rFonts w:ascii="Arial Narrow" w:hAnsi="Arial Narrow" w:cs="Arial"/>
          <w:b/>
          <w:bCs/>
          <w:sz w:val="22"/>
          <w:szCs w:val="22"/>
        </w:rPr>
        <w:t>Nacional e Internacional</w:t>
      </w:r>
    </w:p>
    <w:p w14:paraId="160593A7" w14:textId="77777777" w:rsidR="00685C06" w:rsidRPr="008455BD" w:rsidRDefault="00685C06" w:rsidP="00685C06">
      <w:pPr>
        <w:numPr>
          <w:ilvl w:val="0"/>
          <w:numId w:val="19"/>
        </w:numPr>
        <w:jc w:val="both"/>
        <w:rPr>
          <w:rStyle w:val="Hyperlink"/>
          <w:rFonts w:ascii="Arial Narrow" w:hAnsi="Arial Narrow" w:cs="Arial"/>
          <w:color w:val="auto"/>
          <w:sz w:val="22"/>
          <w:szCs w:val="22"/>
          <w:u w:val="none"/>
        </w:rPr>
      </w:pPr>
      <w:r w:rsidRPr="00DA0F6B">
        <w:rPr>
          <w:rFonts w:ascii="Arial Narrow" w:hAnsi="Arial Narrow" w:cs="Arial"/>
          <w:b/>
          <w:bCs/>
          <w:sz w:val="22"/>
          <w:szCs w:val="22"/>
          <w:lang w:val="pt-BR"/>
        </w:rPr>
        <w:t>Acevedo, A. B.</w:t>
      </w:r>
      <w:r w:rsidRPr="00DA0F6B">
        <w:rPr>
          <w:rFonts w:ascii="Arial Narrow" w:hAnsi="Arial Narrow" w:cs="Arial"/>
          <w:sz w:val="22"/>
          <w:szCs w:val="22"/>
          <w:lang w:val="pt-BR"/>
        </w:rPr>
        <w:t xml:space="preserve">, Jaramillo, J. D., Yepes, C., Silva, V., Osorio, F. A., &amp; Villar, M. (2017). </w:t>
      </w:r>
      <w:r w:rsidRPr="00DA0F6B">
        <w:rPr>
          <w:rFonts w:ascii="Arial Narrow" w:hAnsi="Arial Narrow" w:cs="Arial"/>
          <w:sz w:val="22"/>
          <w:szCs w:val="22"/>
          <w:lang w:val="en-US"/>
        </w:rPr>
        <w:t xml:space="preserve">Evaluation of the seismic risk of the unreinforced masonry building stock in Antioquia, Colombia. </w:t>
      </w:r>
      <w:r w:rsidRPr="00DA0F6B">
        <w:rPr>
          <w:rFonts w:ascii="Arial Narrow" w:hAnsi="Arial Narrow" w:cs="Arial"/>
          <w:b/>
          <w:bCs/>
          <w:i/>
          <w:iCs/>
          <w:sz w:val="22"/>
          <w:szCs w:val="22"/>
        </w:rPr>
        <w:t xml:space="preserve">Natural </w:t>
      </w:r>
      <w:proofErr w:type="spellStart"/>
      <w:r w:rsidRPr="00DA0F6B">
        <w:rPr>
          <w:rFonts w:ascii="Arial Narrow" w:hAnsi="Arial Narrow" w:cs="Arial"/>
          <w:b/>
          <w:bCs/>
          <w:i/>
          <w:iCs/>
          <w:sz w:val="22"/>
          <w:szCs w:val="22"/>
        </w:rPr>
        <w:t>Hazards</w:t>
      </w:r>
      <w:proofErr w:type="spellEnd"/>
      <w:r w:rsidRPr="00DA0F6B">
        <w:rPr>
          <w:rFonts w:ascii="Arial Narrow" w:hAnsi="Arial Narrow" w:cs="Arial"/>
          <w:sz w:val="22"/>
          <w:szCs w:val="22"/>
        </w:rPr>
        <w:t xml:space="preserve">, 86(S1), 31–54. </w:t>
      </w:r>
      <w:hyperlink w:tgtFrame="_blank" w:history="1">
        <w:r w:rsidRPr="00DA0F6B">
          <w:rPr>
            <w:rStyle w:val="Hyperlink"/>
            <w:rFonts w:ascii="Arial Narrow" w:hAnsi="Arial Narrow" w:cs="Arial"/>
            <w:sz w:val="22"/>
            <w:szCs w:val="22"/>
          </w:rPr>
          <w:t>https://doi.org/10.1007/s11069-016-2647-8</w:t>
        </w:r>
      </w:hyperlink>
    </w:p>
    <w:p w14:paraId="6EFE1FCB" w14:textId="77777777" w:rsidR="00685C06" w:rsidRPr="008455BD" w:rsidRDefault="00685C06" w:rsidP="00685C06">
      <w:pPr>
        <w:numPr>
          <w:ilvl w:val="0"/>
          <w:numId w:val="19"/>
        </w:numPr>
        <w:jc w:val="both"/>
        <w:rPr>
          <w:rFonts w:ascii="Arial Narrow" w:hAnsi="Arial Narrow" w:cs="Arial"/>
          <w:sz w:val="22"/>
          <w:szCs w:val="22"/>
        </w:rPr>
      </w:pPr>
      <w:r w:rsidRPr="00B3305B">
        <w:rPr>
          <w:rFonts w:ascii="Arial Narrow" w:hAnsi="Arial Narrow" w:cs="Arial"/>
          <w:b/>
          <w:bCs/>
          <w:sz w:val="22"/>
          <w:szCs w:val="22"/>
          <w:lang w:val="en-US"/>
        </w:rPr>
        <w:t>Ayyub, B. M. (2014).</w:t>
      </w:r>
      <w:r w:rsidRPr="00B3305B">
        <w:rPr>
          <w:rFonts w:ascii="Arial Narrow" w:hAnsi="Arial Narrow" w:cs="Arial"/>
          <w:sz w:val="22"/>
          <w:szCs w:val="22"/>
          <w:lang w:val="en-US"/>
        </w:rPr>
        <w:t xml:space="preserve"> Systems resiliency for </w:t>
      </w:r>
      <w:proofErr w:type="spellStart"/>
      <w:r w:rsidRPr="00B3305B">
        <w:rPr>
          <w:rFonts w:ascii="Arial Narrow" w:hAnsi="Arial Narrow" w:cs="Arial"/>
          <w:sz w:val="22"/>
          <w:szCs w:val="22"/>
          <w:lang w:val="en-US"/>
        </w:rPr>
        <w:t>multihazard</w:t>
      </w:r>
      <w:proofErr w:type="spellEnd"/>
      <w:r w:rsidRPr="00B3305B">
        <w:rPr>
          <w:rFonts w:ascii="Arial Narrow" w:hAnsi="Arial Narrow" w:cs="Arial"/>
          <w:sz w:val="22"/>
          <w:szCs w:val="22"/>
          <w:lang w:val="en-US"/>
        </w:rPr>
        <w:t xml:space="preserve"> environments: Definition, metrics, and valuation for decision making. </w:t>
      </w:r>
      <w:proofErr w:type="spellStart"/>
      <w:r w:rsidRPr="00B3305B">
        <w:rPr>
          <w:rFonts w:ascii="Arial Narrow" w:hAnsi="Arial Narrow" w:cs="Arial"/>
          <w:b/>
          <w:bCs/>
          <w:i/>
          <w:iCs/>
          <w:sz w:val="22"/>
          <w:szCs w:val="22"/>
        </w:rPr>
        <w:t>Risk</w:t>
      </w:r>
      <w:proofErr w:type="spellEnd"/>
      <w:r w:rsidRPr="00B3305B">
        <w:rPr>
          <w:rFonts w:ascii="Arial Narrow" w:hAnsi="Arial Narrow" w:cs="Arial"/>
          <w:b/>
          <w:bCs/>
          <w:i/>
          <w:iCs/>
          <w:sz w:val="22"/>
          <w:szCs w:val="22"/>
        </w:rPr>
        <w:t xml:space="preserve"> </w:t>
      </w:r>
      <w:proofErr w:type="spellStart"/>
      <w:r w:rsidRPr="00B3305B">
        <w:rPr>
          <w:rFonts w:ascii="Arial Narrow" w:hAnsi="Arial Narrow" w:cs="Arial"/>
          <w:b/>
          <w:bCs/>
          <w:i/>
          <w:iCs/>
          <w:sz w:val="22"/>
          <w:szCs w:val="22"/>
        </w:rPr>
        <w:t>Analysis</w:t>
      </w:r>
      <w:proofErr w:type="spellEnd"/>
      <w:r w:rsidRPr="00B3305B">
        <w:rPr>
          <w:rFonts w:ascii="Arial Narrow" w:hAnsi="Arial Narrow" w:cs="Arial"/>
          <w:sz w:val="22"/>
          <w:szCs w:val="22"/>
        </w:rPr>
        <w:t xml:space="preserve">, </w:t>
      </w:r>
      <w:r w:rsidRPr="00B3305B">
        <w:rPr>
          <w:rFonts w:ascii="Arial Narrow" w:hAnsi="Arial Narrow" w:cs="Arial"/>
          <w:i/>
          <w:iCs/>
          <w:sz w:val="22"/>
          <w:szCs w:val="22"/>
        </w:rPr>
        <w:t>34</w:t>
      </w:r>
      <w:r w:rsidRPr="00B3305B">
        <w:rPr>
          <w:rFonts w:ascii="Arial Narrow" w:hAnsi="Arial Narrow" w:cs="Arial"/>
          <w:sz w:val="22"/>
          <w:szCs w:val="22"/>
        </w:rPr>
        <w:t xml:space="preserve">(2), 340–355. </w:t>
      </w:r>
      <w:hyperlink w:tgtFrame="_blank" w:history="1">
        <w:r w:rsidRPr="00B3305B">
          <w:rPr>
            <w:rStyle w:val="Hyperlink"/>
            <w:rFonts w:ascii="Arial Narrow" w:hAnsi="Arial Narrow" w:cs="Arial"/>
            <w:sz w:val="22"/>
            <w:szCs w:val="22"/>
          </w:rPr>
          <w:t>https://doi.org/10.1111/risa.12093</w:t>
        </w:r>
      </w:hyperlink>
    </w:p>
    <w:p w14:paraId="26169C71" w14:textId="77777777" w:rsidR="00685C06" w:rsidRPr="00DA0F6B" w:rsidRDefault="00685C06" w:rsidP="00685C06">
      <w:pPr>
        <w:numPr>
          <w:ilvl w:val="0"/>
          <w:numId w:val="19"/>
        </w:numPr>
        <w:jc w:val="both"/>
        <w:rPr>
          <w:rFonts w:ascii="Arial Narrow" w:hAnsi="Arial Narrow" w:cs="Arial"/>
          <w:sz w:val="22"/>
          <w:szCs w:val="22"/>
        </w:rPr>
      </w:pPr>
      <w:r w:rsidRPr="00DA0F6B">
        <w:rPr>
          <w:rFonts w:ascii="Arial Narrow" w:hAnsi="Arial Narrow" w:cs="Arial"/>
          <w:b/>
          <w:bCs/>
          <w:sz w:val="22"/>
          <w:szCs w:val="22"/>
        </w:rPr>
        <w:t>Ramos Cañón, A. M., et al. (2021).</w:t>
      </w:r>
      <w:r w:rsidRPr="00DA0F6B">
        <w:rPr>
          <w:rFonts w:ascii="Arial Narrow" w:hAnsi="Arial Narrow" w:cs="Arial"/>
          <w:sz w:val="22"/>
          <w:szCs w:val="22"/>
        </w:rPr>
        <w:t xml:space="preserve"> </w:t>
      </w:r>
      <w:r w:rsidRPr="00DA0F6B">
        <w:rPr>
          <w:rFonts w:ascii="Arial Narrow" w:hAnsi="Arial Narrow" w:cs="Arial"/>
          <w:i/>
          <w:iCs/>
          <w:sz w:val="22"/>
          <w:szCs w:val="22"/>
        </w:rPr>
        <w:t>Guía metodológica para la zonificación de la amenaza por avenidas torrenciales</w:t>
      </w:r>
      <w:r w:rsidRPr="00DA0F6B">
        <w:rPr>
          <w:rFonts w:ascii="Arial Narrow" w:hAnsi="Arial Narrow" w:cs="Arial"/>
          <w:sz w:val="22"/>
          <w:szCs w:val="22"/>
        </w:rPr>
        <w:t>. Universidad Nacional de Colombia - Servicio Geológico Colombiano.</w:t>
      </w:r>
    </w:p>
    <w:p w14:paraId="4C7C71E4" w14:textId="77777777" w:rsidR="00685C06" w:rsidRDefault="00685C06" w:rsidP="00685C06">
      <w:pPr>
        <w:numPr>
          <w:ilvl w:val="0"/>
          <w:numId w:val="23"/>
        </w:numPr>
        <w:jc w:val="both"/>
        <w:rPr>
          <w:rFonts w:ascii="Arial Narrow" w:hAnsi="Arial Narrow" w:cs="Arial"/>
          <w:sz w:val="22"/>
          <w:szCs w:val="22"/>
        </w:rPr>
      </w:pPr>
      <w:r w:rsidRPr="00DE5509">
        <w:rPr>
          <w:rFonts w:ascii="Arial Narrow" w:hAnsi="Arial Narrow" w:cs="Arial"/>
          <w:b/>
          <w:bCs/>
          <w:sz w:val="22"/>
          <w:szCs w:val="22"/>
          <w:lang w:val="en-US"/>
        </w:rPr>
        <w:t>Luo, H. Y., Fan, R. L., Wang, H. J., &amp; Zhang, L. M. (2020).</w:t>
      </w:r>
      <w:r w:rsidRPr="00DE5509">
        <w:rPr>
          <w:rFonts w:ascii="Arial Narrow" w:hAnsi="Arial Narrow" w:cs="Arial"/>
          <w:sz w:val="22"/>
          <w:szCs w:val="22"/>
          <w:lang w:val="en-US"/>
        </w:rPr>
        <w:t xml:space="preserve"> Physics of building vulnerability to debris flows, floods and earth flows. </w:t>
      </w:r>
      <w:proofErr w:type="spellStart"/>
      <w:r w:rsidRPr="00DE5509">
        <w:rPr>
          <w:rFonts w:ascii="Arial Narrow" w:hAnsi="Arial Narrow" w:cs="Arial"/>
          <w:b/>
          <w:bCs/>
          <w:i/>
          <w:iCs/>
          <w:sz w:val="22"/>
          <w:szCs w:val="22"/>
        </w:rPr>
        <w:t>Engineering</w:t>
      </w:r>
      <w:proofErr w:type="spellEnd"/>
      <w:r w:rsidRPr="00DE5509">
        <w:rPr>
          <w:rFonts w:ascii="Arial Narrow" w:hAnsi="Arial Narrow" w:cs="Arial"/>
          <w:b/>
          <w:bCs/>
          <w:i/>
          <w:iCs/>
          <w:sz w:val="22"/>
          <w:szCs w:val="22"/>
        </w:rPr>
        <w:t xml:space="preserve"> </w:t>
      </w:r>
      <w:proofErr w:type="spellStart"/>
      <w:r w:rsidRPr="00DE5509">
        <w:rPr>
          <w:rFonts w:ascii="Arial Narrow" w:hAnsi="Arial Narrow" w:cs="Arial"/>
          <w:b/>
          <w:bCs/>
          <w:i/>
          <w:iCs/>
          <w:sz w:val="22"/>
          <w:szCs w:val="22"/>
        </w:rPr>
        <w:t>Geology</w:t>
      </w:r>
      <w:proofErr w:type="spellEnd"/>
      <w:r w:rsidRPr="00DE5509">
        <w:rPr>
          <w:rFonts w:ascii="Arial Narrow" w:hAnsi="Arial Narrow" w:cs="Arial"/>
          <w:sz w:val="22"/>
          <w:szCs w:val="22"/>
        </w:rPr>
        <w:t xml:space="preserve">, </w:t>
      </w:r>
      <w:r w:rsidRPr="00DE5509">
        <w:rPr>
          <w:rFonts w:ascii="Arial Narrow" w:hAnsi="Arial Narrow" w:cs="Arial"/>
          <w:i/>
          <w:iCs/>
          <w:sz w:val="22"/>
          <w:szCs w:val="22"/>
        </w:rPr>
        <w:t>271</w:t>
      </w:r>
      <w:r w:rsidRPr="00DE5509">
        <w:rPr>
          <w:rFonts w:ascii="Arial Narrow" w:hAnsi="Arial Narrow" w:cs="Arial"/>
          <w:sz w:val="22"/>
          <w:szCs w:val="22"/>
        </w:rPr>
        <w:t xml:space="preserve">, 105611. </w:t>
      </w:r>
      <w:hyperlink w:tgtFrame="_blank" w:history="1">
        <w:r w:rsidRPr="00DE5509">
          <w:rPr>
            <w:rStyle w:val="Hyperlink"/>
            <w:rFonts w:ascii="Arial Narrow" w:hAnsi="Arial Narrow" w:cs="Arial"/>
            <w:sz w:val="22"/>
            <w:szCs w:val="22"/>
          </w:rPr>
          <w:t>https://doi.org/10.1016/j.enggeo.2020.105611</w:t>
        </w:r>
      </w:hyperlink>
      <w:r>
        <w:rPr>
          <w:rFonts w:ascii="Arial Narrow" w:hAnsi="Arial Narrow" w:cs="Arial"/>
          <w:sz w:val="22"/>
          <w:szCs w:val="22"/>
        </w:rPr>
        <w:t>.</w:t>
      </w:r>
    </w:p>
    <w:p w14:paraId="5D2A25AC" w14:textId="77777777" w:rsidR="00685C06" w:rsidRDefault="00685C06" w:rsidP="00685C06">
      <w:pPr>
        <w:numPr>
          <w:ilvl w:val="0"/>
          <w:numId w:val="23"/>
        </w:numPr>
        <w:jc w:val="both"/>
        <w:rPr>
          <w:rFonts w:ascii="Arial Narrow" w:hAnsi="Arial Narrow" w:cs="Arial"/>
          <w:sz w:val="22"/>
          <w:szCs w:val="22"/>
        </w:rPr>
      </w:pPr>
      <w:r w:rsidRPr="00DE5509">
        <w:rPr>
          <w:rFonts w:ascii="Arial Narrow" w:hAnsi="Arial Narrow" w:cs="Arial"/>
          <w:b/>
          <w:bCs/>
          <w:sz w:val="22"/>
          <w:szCs w:val="22"/>
          <w:lang w:val="en-US"/>
        </w:rPr>
        <w:t>Luo, H. Y., Zhang, L. M., Zhang, L. L., He, J., &amp; Yin, K. S. (2023).</w:t>
      </w:r>
      <w:r w:rsidRPr="00DE5509">
        <w:rPr>
          <w:rFonts w:ascii="Arial Narrow" w:hAnsi="Arial Narrow" w:cs="Arial"/>
          <w:sz w:val="22"/>
          <w:szCs w:val="22"/>
          <w:lang w:val="en-US"/>
        </w:rPr>
        <w:t xml:space="preserve"> Vulnerability of buildings to landslides: the state of the art and future needs. </w:t>
      </w:r>
      <w:proofErr w:type="spellStart"/>
      <w:r w:rsidRPr="00DE5509">
        <w:rPr>
          <w:rFonts w:ascii="Arial Narrow" w:hAnsi="Arial Narrow" w:cs="Arial"/>
          <w:b/>
          <w:bCs/>
          <w:i/>
          <w:iCs/>
          <w:sz w:val="22"/>
          <w:szCs w:val="22"/>
        </w:rPr>
        <w:t>Earth-Science</w:t>
      </w:r>
      <w:proofErr w:type="spellEnd"/>
      <w:r w:rsidRPr="00DE5509">
        <w:rPr>
          <w:rFonts w:ascii="Arial Narrow" w:hAnsi="Arial Narrow" w:cs="Arial"/>
          <w:b/>
          <w:bCs/>
          <w:i/>
          <w:iCs/>
          <w:sz w:val="22"/>
          <w:szCs w:val="22"/>
        </w:rPr>
        <w:t xml:space="preserve"> </w:t>
      </w:r>
      <w:proofErr w:type="spellStart"/>
      <w:r w:rsidRPr="00DE5509">
        <w:rPr>
          <w:rFonts w:ascii="Arial Narrow" w:hAnsi="Arial Narrow" w:cs="Arial"/>
          <w:b/>
          <w:bCs/>
          <w:i/>
          <w:iCs/>
          <w:sz w:val="22"/>
          <w:szCs w:val="22"/>
        </w:rPr>
        <w:t>Reviews</w:t>
      </w:r>
      <w:proofErr w:type="spellEnd"/>
      <w:r w:rsidRPr="00DE5509">
        <w:rPr>
          <w:rFonts w:ascii="Arial Narrow" w:hAnsi="Arial Narrow" w:cs="Arial"/>
          <w:sz w:val="22"/>
          <w:szCs w:val="22"/>
        </w:rPr>
        <w:t xml:space="preserve">, </w:t>
      </w:r>
      <w:r w:rsidRPr="00DE5509">
        <w:rPr>
          <w:rFonts w:ascii="Arial Narrow" w:hAnsi="Arial Narrow" w:cs="Arial"/>
          <w:i/>
          <w:iCs/>
          <w:sz w:val="22"/>
          <w:szCs w:val="22"/>
        </w:rPr>
        <w:t>238</w:t>
      </w:r>
      <w:r w:rsidRPr="00DE5509">
        <w:rPr>
          <w:rFonts w:ascii="Arial Narrow" w:hAnsi="Arial Narrow" w:cs="Arial"/>
          <w:sz w:val="22"/>
          <w:szCs w:val="22"/>
        </w:rPr>
        <w:t xml:space="preserve">, 104329. </w:t>
      </w:r>
      <w:hyperlink w:tgtFrame="_blank" w:history="1">
        <w:r w:rsidRPr="00DE5509">
          <w:rPr>
            <w:rStyle w:val="Hyperlink"/>
            <w:rFonts w:ascii="Arial Narrow" w:hAnsi="Arial Narrow" w:cs="Arial"/>
            <w:sz w:val="22"/>
            <w:szCs w:val="22"/>
          </w:rPr>
          <w:t>https://doi.org/10.1016/j.earscirev.2023.104329</w:t>
        </w:r>
      </w:hyperlink>
      <w:r>
        <w:rPr>
          <w:rFonts w:ascii="Arial Narrow" w:hAnsi="Arial Narrow" w:cs="Arial"/>
          <w:sz w:val="22"/>
          <w:szCs w:val="22"/>
        </w:rPr>
        <w:t>.</w:t>
      </w:r>
    </w:p>
    <w:p w14:paraId="34F41C44" w14:textId="77777777" w:rsidR="00685C06" w:rsidRDefault="00685C06" w:rsidP="00685C06">
      <w:pPr>
        <w:numPr>
          <w:ilvl w:val="0"/>
          <w:numId w:val="23"/>
        </w:numPr>
        <w:jc w:val="both"/>
        <w:rPr>
          <w:rFonts w:ascii="Arial Narrow" w:hAnsi="Arial Narrow" w:cs="Arial"/>
          <w:sz w:val="22"/>
          <w:szCs w:val="22"/>
        </w:rPr>
      </w:pPr>
      <w:r w:rsidRPr="002B27E5">
        <w:rPr>
          <w:rFonts w:ascii="Arial Narrow" w:hAnsi="Arial Narrow" w:cs="Arial"/>
          <w:b/>
          <w:bCs/>
          <w:sz w:val="22"/>
          <w:szCs w:val="22"/>
          <w:lang w:val="en-US"/>
        </w:rPr>
        <w:t xml:space="preserve">Constantinou, M. C., Soong, T. T., &amp; </w:t>
      </w:r>
      <w:proofErr w:type="spellStart"/>
      <w:r w:rsidRPr="002B27E5">
        <w:rPr>
          <w:rFonts w:ascii="Arial Narrow" w:hAnsi="Arial Narrow" w:cs="Arial"/>
          <w:b/>
          <w:bCs/>
          <w:sz w:val="22"/>
          <w:szCs w:val="22"/>
          <w:lang w:val="en-US"/>
        </w:rPr>
        <w:t>Dargush</w:t>
      </w:r>
      <w:proofErr w:type="spellEnd"/>
      <w:r w:rsidRPr="002B27E5">
        <w:rPr>
          <w:rFonts w:ascii="Arial Narrow" w:hAnsi="Arial Narrow" w:cs="Arial"/>
          <w:b/>
          <w:bCs/>
          <w:sz w:val="22"/>
          <w:szCs w:val="22"/>
          <w:lang w:val="en-US"/>
        </w:rPr>
        <w:t>, G. F. (1998).</w:t>
      </w:r>
      <w:r w:rsidRPr="002B27E5">
        <w:rPr>
          <w:rFonts w:ascii="Arial Narrow" w:hAnsi="Arial Narrow" w:cs="Arial"/>
          <w:sz w:val="22"/>
          <w:szCs w:val="22"/>
          <w:lang w:val="en-US"/>
        </w:rPr>
        <w:t xml:space="preserve"> </w:t>
      </w:r>
      <w:r w:rsidRPr="002B27E5">
        <w:rPr>
          <w:rFonts w:ascii="Arial Narrow" w:hAnsi="Arial Narrow" w:cs="Arial"/>
          <w:i/>
          <w:iCs/>
          <w:sz w:val="22"/>
          <w:szCs w:val="22"/>
          <w:lang w:val="en-US"/>
        </w:rPr>
        <w:t>Passive Energy Dissipation Systems for Structural Design and Retrofit</w:t>
      </w:r>
      <w:r w:rsidRPr="002B27E5">
        <w:rPr>
          <w:rFonts w:ascii="Arial Narrow" w:hAnsi="Arial Narrow" w:cs="Arial"/>
          <w:sz w:val="22"/>
          <w:szCs w:val="22"/>
          <w:lang w:val="en-US"/>
        </w:rPr>
        <w:t xml:space="preserve">. </w:t>
      </w:r>
      <w:proofErr w:type="spellStart"/>
      <w:r w:rsidRPr="002B27E5">
        <w:rPr>
          <w:rFonts w:ascii="Arial Narrow" w:hAnsi="Arial Narrow" w:cs="Arial"/>
          <w:sz w:val="22"/>
          <w:szCs w:val="22"/>
        </w:rPr>
        <w:t>Multidisciplinary</w:t>
      </w:r>
      <w:proofErr w:type="spellEnd"/>
      <w:r w:rsidRPr="002B27E5">
        <w:rPr>
          <w:rFonts w:ascii="Arial Narrow" w:hAnsi="Arial Narrow" w:cs="Arial"/>
          <w:sz w:val="22"/>
          <w:szCs w:val="22"/>
        </w:rPr>
        <w:t xml:space="preserve"> Center </w:t>
      </w:r>
      <w:proofErr w:type="spellStart"/>
      <w:r w:rsidRPr="002B27E5">
        <w:rPr>
          <w:rFonts w:ascii="Arial Narrow" w:hAnsi="Arial Narrow" w:cs="Arial"/>
          <w:sz w:val="22"/>
          <w:szCs w:val="22"/>
        </w:rPr>
        <w:t>for</w:t>
      </w:r>
      <w:proofErr w:type="spellEnd"/>
      <w:r w:rsidRPr="002B27E5">
        <w:rPr>
          <w:rFonts w:ascii="Arial Narrow" w:hAnsi="Arial Narrow" w:cs="Arial"/>
          <w:sz w:val="22"/>
          <w:szCs w:val="22"/>
        </w:rPr>
        <w:t xml:space="preserve"> </w:t>
      </w:r>
      <w:proofErr w:type="spellStart"/>
      <w:r w:rsidRPr="002B27E5">
        <w:rPr>
          <w:rFonts w:ascii="Arial Narrow" w:hAnsi="Arial Narrow" w:cs="Arial"/>
          <w:sz w:val="22"/>
          <w:szCs w:val="22"/>
        </w:rPr>
        <w:t>Earthquake</w:t>
      </w:r>
      <w:proofErr w:type="spellEnd"/>
      <w:r w:rsidRPr="002B27E5">
        <w:rPr>
          <w:rFonts w:ascii="Arial Narrow" w:hAnsi="Arial Narrow" w:cs="Arial"/>
          <w:sz w:val="22"/>
          <w:szCs w:val="22"/>
        </w:rPr>
        <w:t xml:space="preserve"> </w:t>
      </w:r>
      <w:proofErr w:type="spellStart"/>
      <w:r w:rsidRPr="002B27E5">
        <w:rPr>
          <w:rFonts w:ascii="Arial Narrow" w:hAnsi="Arial Narrow" w:cs="Arial"/>
          <w:sz w:val="22"/>
          <w:szCs w:val="22"/>
        </w:rPr>
        <w:t>Engineering</w:t>
      </w:r>
      <w:proofErr w:type="spellEnd"/>
      <w:r w:rsidRPr="002B27E5">
        <w:rPr>
          <w:rFonts w:ascii="Arial Narrow" w:hAnsi="Arial Narrow" w:cs="Arial"/>
          <w:sz w:val="22"/>
          <w:szCs w:val="22"/>
        </w:rPr>
        <w:t xml:space="preserve"> </w:t>
      </w:r>
      <w:proofErr w:type="spellStart"/>
      <w:r w:rsidRPr="002B27E5">
        <w:rPr>
          <w:rFonts w:ascii="Arial Narrow" w:hAnsi="Arial Narrow" w:cs="Arial"/>
          <w:sz w:val="22"/>
          <w:szCs w:val="22"/>
        </w:rPr>
        <w:t>Research</w:t>
      </w:r>
      <w:proofErr w:type="spellEnd"/>
      <w:r w:rsidRPr="002B27E5">
        <w:rPr>
          <w:rFonts w:ascii="Arial Narrow" w:hAnsi="Arial Narrow" w:cs="Arial"/>
          <w:sz w:val="22"/>
          <w:szCs w:val="22"/>
        </w:rPr>
        <w:t xml:space="preserve"> (MCEER)</w:t>
      </w:r>
    </w:p>
    <w:p w14:paraId="13ED1BF2" w14:textId="77777777" w:rsidR="00685C06" w:rsidRPr="00DA0F6B" w:rsidRDefault="00685C06" w:rsidP="00685C06">
      <w:pPr>
        <w:jc w:val="both"/>
        <w:rPr>
          <w:rFonts w:ascii="Arial Narrow" w:hAnsi="Arial Narrow" w:cs="Arial"/>
          <w:sz w:val="22"/>
          <w:szCs w:val="22"/>
        </w:rPr>
      </w:pPr>
      <w:r>
        <w:rPr>
          <w:rFonts w:ascii="Arial Narrow" w:hAnsi="Arial Narrow" w:cs="Arial"/>
          <w:b/>
          <w:bCs/>
          <w:sz w:val="22"/>
          <w:szCs w:val="22"/>
        </w:rPr>
        <w:t>Regulaciones Nacionales e</w:t>
      </w:r>
      <w:r w:rsidRPr="00DA0F6B">
        <w:rPr>
          <w:rFonts w:ascii="Arial Narrow" w:hAnsi="Arial Narrow" w:cs="Arial"/>
          <w:b/>
          <w:bCs/>
          <w:sz w:val="22"/>
          <w:szCs w:val="22"/>
        </w:rPr>
        <w:t xml:space="preserve"> Internacionales </w:t>
      </w:r>
    </w:p>
    <w:p w14:paraId="0A55D215" w14:textId="77777777" w:rsidR="00685C06" w:rsidRPr="00DA0F6B" w:rsidRDefault="00685C06" w:rsidP="00685C06">
      <w:pPr>
        <w:numPr>
          <w:ilvl w:val="0"/>
          <w:numId w:val="20"/>
        </w:numPr>
        <w:jc w:val="both"/>
        <w:rPr>
          <w:rFonts w:ascii="Arial Narrow" w:hAnsi="Arial Narrow" w:cs="Arial"/>
          <w:sz w:val="22"/>
          <w:szCs w:val="22"/>
        </w:rPr>
      </w:pPr>
      <w:r w:rsidRPr="00DA0F6B">
        <w:rPr>
          <w:rFonts w:ascii="Arial Narrow" w:hAnsi="Arial Narrow" w:cs="Arial"/>
          <w:b/>
          <w:bCs/>
          <w:sz w:val="22"/>
          <w:szCs w:val="22"/>
          <w:lang w:val="en-US"/>
        </w:rPr>
        <w:t>FEMA/NIBS (2003-2017).</w:t>
      </w:r>
      <w:r w:rsidRPr="00DA0F6B">
        <w:rPr>
          <w:rFonts w:ascii="Arial Narrow" w:hAnsi="Arial Narrow" w:cs="Arial"/>
          <w:sz w:val="22"/>
          <w:szCs w:val="22"/>
          <w:lang w:val="en-US"/>
        </w:rPr>
        <w:t xml:space="preserve"> </w:t>
      </w:r>
      <w:proofErr w:type="spellStart"/>
      <w:r w:rsidRPr="00DA0F6B">
        <w:rPr>
          <w:rFonts w:ascii="Arial Narrow" w:hAnsi="Arial Narrow" w:cs="Arial"/>
          <w:i/>
          <w:iCs/>
          <w:sz w:val="22"/>
          <w:szCs w:val="22"/>
          <w:lang w:val="en-US"/>
        </w:rPr>
        <w:t>Hazus</w:t>
      </w:r>
      <w:proofErr w:type="spellEnd"/>
      <w:r w:rsidRPr="00DA0F6B">
        <w:rPr>
          <w:rFonts w:ascii="Arial Narrow" w:hAnsi="Arial Narrow" w:cs="Arial"/>
          <w:i/>
          <w:iCs/>
          <w:sz w:val="22"/>
          <w:szCs w:val="22"/>
          <w:lang w:val="en-US"/>
        </w:rPr>
        <w:t>-MH Technical Manuals (Earthquake, Flood, and Tsunami Models)</w:t>
      </w:r>
      <w:r w:rsidRPr="00DA0F6B">
        <w:rPr>
          <w:rFonts w:ascii="Arial Narrow" w:hAnsi="Arial Narrow" w:cs="Arial"/>
          <w:sz w:val="22"/>
          <w:szCs w:val="22"/>
          <w:lang w:val="en-US"/>
        </w:rPr>
        <w:t xml:space="preserve">. </w:t>
      </w:r>
      <w:r w:rsidRPr="00DA0F6B">
        <w:rPr>
          <w:rFonts w:ascii="Arial Narrow" w:hAnsi="Arial Narrow" w:cs="Arial"/>
          <w:sz w:val="22"/>
          <w:szCs w:val="22"/>
        </w:rPr>
        <w:t xml:space="preserve">Federal </w:t>
      </w:r>
      <w:proofErr w:type="spellStart"/>
      <w:r w:rsidRPr="00DA0F6B">
        <w:rPr>
          <w:rFonts w:ascii="Arial Narrow" w:hAnsi="Arial Narrow" w:cs="Arial"/>
          <w:sz w:val="22"/>
          <w:szCs w:val="22"/>
        </w:rPr>
        <w:t>Emergency</w:t>
      </w:r>
      <w:proofErr w:type="spellEnd"/>
      <w:r w:rsidRPr="00DA0F6B">
        <w:rPr>
          <w:rFonts w:ascii="Arial Narrow" w:hAnsi="Arial Narrow" w:cs="Arial"/>
          <w:sz w:val="22"/>
          <w:szCs w:val="22"/>
        </w:rPr>
        <w:t xml:space="preserve"> Management Agency.</w:t>
      </w:r>
    </w:p>
    <w:p w14:paraId="196927D4" w14:textId="77777777" w:rsidR="00685C06" w:rsidRPr="00DA0F6B" w:rsidRDefault="00685C06" w:rsidP="00685C06">
      <w:pPr>
        <w:numPr>
          <w:ilvl w:val="0"/>
          <w:numId w:val="20"/>
        </w:numPr>
        <w:jc w:val="both"/>
        <w:rPr>
          <w:rFonts w:ascii="Arial Narrow" w:hAnsi="Arial Narrow" w:cs="Arial"/>
          <w:sz w:val="22"/>
          <w:szCs w:val="22"/>
          <w:lang w:val="en-US"/>
        </w:rPr>
      </w:pPr>
      <w:r w:rsidRPr="00DA0F6B">
        <w:rPr>
          <w:rFonts w:ascii="Arial Narrow" w:hAnsi="Arial Narrow" w:cs="Arial"/>
          <w:b/>
          <w:bCs/>
          <w:sz w:val="22"/>
          <w:szCs w:val="22"/>
          <w:lang w:val="en-US"/>
        </w:rPr>
        <w:t>FEMA (2000).</w:t>
      </w:r>
      <w:r w:rsidRPr="00DA0F6B">
        <w:rPr>
          <w:rFonts w:ascii="Arial Narrow" w:hAnsi="Arial Narrow" w:cs="Arial"/>
          <w:sz w:val="22"/>
          <w:szCs w:val="22"/>
          <w:lang w:val="en-US"/>
        </w:rPr>
        <w:t xml:space="preserve"> </w:t>
      </w:r>
      <w:r w:rsidRPr="00DA0F6B">
        <w:rPr>
          <w:rFonts w:ascii="Arial Narrow" w:hAnsi="Arial Narrow" w:cs="Arial"/>
          <w:i/>
          <w:iCs/>
          <w:sz w:val="22"/>
          <w:szCs w:val="22"/>
          <w:lang w:val="en-US"/>
        </w:rPr>
        <w:t xml:space="preserve">FEMA 356: </w:t>
      </w:r>
      <w:proofErr w:type="spellStart"/>
      <w:r w:rsidRPr="00DA0F6B">
        <w:rPr>
          <w:rFonts w:ascii="Arial Narrow" w:hAnsi="Arial Narrow" w:cs="Arial"/>
          <w:i/>
          <w:iCs/>
          <w:sz w:val="22"/>
          <w:szCs w:val="22"/>
          <w:lang w:val="en-US"/>
        </w:rPr>
        <w:t>Prestandard</w:t>
      </w:r>
      <w:proofErr w:type="spellEnd"/>
      <w:r w:rsidRPr="00DA0F6B">
        <w:rPr>
          <w:rFonts w:ascii="Arial Narrow" w:hAnsi="Arial Narrow" w:cs="Arial"/>
          <w:i/>
          <w:iCs/>
          <w:sz w:val="22"/>
          <w:szCs w:val="22"/>
          <w:lang w:val="en-US"/>
        </w:rPr>
        <w:t xml:space="preserve"> and Commentary for the Seismic Rehabilitation of Buildings</w:t>
      </w:r>
      <w:r w:rsidRPr="00DA0F6B">
        <w:rPr>
          <w:rFonts w:ascii="Arial Narrow" w:hAnsi="Arial Narrow" w:cs="Arial"/>
          <w:sz w:val="22"/>
          <w:szCs w:val="22"/>
          <w:lang w:val="en-US"/>
        </w:rPr>
        <w:t>.</w:t>
      </w:r>
    </w:p>
    <w:p w14:paraId="7229AC55" w14:textId="77777777" w:rsidR="00685C06" w:rsidRDefault="00685C06" w:rsidP="00685C06">
      <w:pPr>
        <w:numPr>
          <w:ilvl w:val="0"/>
          <w:numId w:val="20"/>
        </w:numPr>
        <w:jc w:val="both"/>
        <w:rPr>
          <w:rFonts w:ascii="Arial Narrow" w:hAnsi="Arial Narrow" w:cs="Arial"/>
          <w:sz w:val="22"/>
          <w:szCs w:val="22"/>
        </w:rPr>
      </w:pPr>
      <w:r w:rsidRPr="00DA0F6B">
        <w:rPr>
          <w:rFonts w:ascii="Arial Narrow" w:hAnsi="Arial Narrow" w:cs="Arial"/>
          <w:b/>
          <w:bCs/>
          <w:sz w:val="22"/>
          <w:szCs w:val="22"/>
          <w:lang w:val="en-US"/>
        </w:rPr>
        <w:t>ASCE/SEI 41-17 (2017).</w:t>
      </w:r>
      <w:r w:rsidRPr="00DA0F6B">
        <w:rPr>
          <w:rFonts w:ascii="Arial Narrow" w:hAnsi="Arial Narrow" w:cs="Arial"/>
          <w:sz w:val="22"/>
          <w:szCs w:val="22"/>
          <w:lang w:val="en-US"/>
        </w:rPr>
        <w:t xml:space="preserve"> </w:t>
      </w:r>
      <w:r w:rsidRPr="00DA0F6B">
        <w:rPr>
          <w:rFonts w:ascii="Arial Narrow" w:hAnsi="Arial Narrow" w:cs="Arial"/>
          <w:i/>
          <w:iCs/>
          <w:sz w:val="22"/>
          <w:szCs w:val="22"/>
          <w:lang w:val="en-US"/>
        </w:rPr>
        <w:t>Seismic Evaluation and Retrofit of Existing Buildings</w:t>
      </w:r>
      <w:r w:rsidRPr="00DA0F6B">
        <w:rPr>
          <w:rFonts w:ascii="Arial Narrow" w:hAnsi="Arial Narrow" w:cs="Arial"/>
          <w:sz w:val="22"/>
          <w:szCs w:val="22"/>
          <w:lang w:val="en-US"/>
        </w:rPr>
        <w:t xml:space="preserve">. </w:t>
      </w:r>
      <w:r w:rsidRPr="00DA0F6B">
        <w:rPr>
          <w:rFonts w:ascii="Arial Narrow" w:hAnsi="Arial Narrow" w:cs="Arial"/>
          <w:sz w:val="22"/>
          <w:szCs w:val="22"/>
        </w:rPr>
        <w:t xml:space="preserve">American </w:t>
      </w:r>
      <w:proofErr w:type="spellStart"/>
      <w:r w:rsidRPr="00DA0F6B">
        <w:rPr>
          <w:rFonts w:ascii="Arial Narrow" w:hAnsi="Arial Narrow" w:cs="Arial"/>
          <w:sz w:val="22"/>
          <w:szCs w:val="22"/>
        </w:rPr>
        <w:t>Society</w:t>
      </w:r>
      <w:proofErr w:type="spellEnd"/>
      <w:r w:rsidRPr="00DA0F6B">
        <w:rPr>
          <w:rFonts w:ascii="Arial Narrow" w:hAnsi="Arial Narrow" w:cs="Arial"/>
          <w:sz w:val="22"/>
          <w:szCs w:val="22"/>
        </w:rPr>
        <w:t xml:space="preserve"> </w:t>
      </w:r>
      <w:proofErr w:type="spellStart"/>
      <w:r w:rsidRPr="00DA0F6B">
        <w:rPr>
          <w:rFonts w:ascii="Arial Narrow" w:hAnsi="Arial Narrow" w:cs="Arial"/>
          <w:sz w:val="22"/>
          <w:szCs w:val="22"/>
        </w:rPr>
        <w:t>of</w:t>
      </w:r>
      <w:proofErr w:type="spellEnd"/>
      <w:r w:rsidRPr="00DA0F6B">
        <w:rPr>
          <w:rFonts w:ascii="Arial Narrow" w:hAnsi="Arial Narrow" w:cs="Arial"/>
          <w:sz w:val="22"/>
          <w:szCs w:val="22"/>
        </w:rPr>
        <w:t xml:space="preserve"> Civil </w:t>
      </w:r>
      <w:proofErr w:type="spellStart"/>
      <w:r w:rsidRPr="00DA0F6B">
        <w:rPr>
          <w:rFonts w:ascii="Arial Narrow" w:hAnsi="Arial Narrow" w:cs="Arial"/>
          <w:sz w:val="22"/>
          <w:szCs w:val="22"/>
        </w:rPr>
        <w:t>Engineers</w:t>
      </w:r>
      <w:proofErr w:type="spellEnd"/>
      <w:r w:rsidRPr="00DA0F6B">
        <w:rPr>
          <w:rFonts w:ascii="Arial Narrow" w:hAnsi="Arial Narrow" w:cs="Arial"/>
          <w:sz w:val="22"/>
          <w:szCs w:val="22"/>
        </w:rPr>
        <w:t>.</w:t>
      </w:r>
    </w:p>
    <w:p w14:paraId="43C51B2F" w14:textId="77777777" w:rsidR="00685C06" w:rsidRDefault="00685C06" w:rsidP="00685C06">
      <w:pPr>
        <w:numPr>
          <w:ilvl w:val="0"/>
          <w:numId w:val="20"/>
        </w:numPr>
        <w:jc w:val="both"/>
        <w:rPr>
          <w:rFonts w:ascii="Arial Narrow" w:hAnsi="Arial Narrow" w:cs="Arial"/>
          <w:sz w:val="22"/>
          <w:szCs w:val="22"/>
        </w:rPr>
      </w:pPr>
      <w:r w:rsidRPr="00DA0F6B">
        <w:rPr>
          <w:rFonts w:ascii="Arial Narrow" w:hAnsi="Arial Narrow" w:cs="Arial"/>
          <w:b/>
          <w:bCs/>
          <w:sz w:val="22"/>
          <w:szCs w:val="22"/>
        </w:rPr>
        <w:t>AIS (20</w:t>
      </w:r>
      <w:r>
        <w:rPr>
          <w:rFonts w:ascii="Arial Narrow" w:hAnsi="Arial Narrow" w:cs="Arial"/>
          <w:b/>
          <w:bCs/>
          <w:sz w:val="22"/>
          <w:szCs w:val="22"/>
        </w:rPr>
        <w:t>10</w:t>
      </w:r>
      <w:r w:rsidRPr="00DA0F6B">
        <w:rPr>
          <w:rFonts w:ascii="Arial Narrow" w:hAnsi="Arial Narrow" w:cs="Arial"/>
          <w:b/>
          <w:bCs/>
          <w:sz w:val="22"/>
          <w:szCs w:val="22"/>
        </w:rPr>
        <w:t>).</w:t>
      </w:r>
      <w:r w:rsidRPr="00DA0F6B">
        <w:rPr>
          <w:rFonts w:ascii="Arial Narrow" w:hAnsi="Arial Narrow" w:cs="Arial"/>
          <w:sz w:val="22"/>
          <w:szCs w:val="22"/>
        </w:rPr>
        <w:t xml:space="preserve"> </w:t>
      </w:r>
      <w:r w:rsidRPr="00DA0F6B">
        <w:rPr>
          <w:rFonts w:ascii="Arial Narrow" w:hAnsi="Arial Narrow" w:cs="Arial"/>
          <w:i/>
          <w:iCs/>
          <w:sz w:val="22"/>
          <w:szCs w:val="22"/>
        </w:rPr>
        <w:t>Reglamento Colombiano de Construcción Sismo Resistente NSR-</w:t>
      </w:r>
      <w:r>
        <w:rPr>
          <w:rFonts w:ascii="Arial Narrow" w:hAnsi="Arial Narrow" w:cs="Arial"/>
          <w:i/>
          <w:iCs/>
          <w:sz w:val="22"/>
          <w:szCs w:val="22"/>
        </w:rPr>
        <w:t>10</w:t>
      </w:r>
      <w:r w:rsidRPr="00DA0F6B">
        <w:rPr>
          <w:rFonts w:ascii="Arial Narrow" w:hAnsi="Arial Narrow" w:cs="Arial"/>
          <w:sz w:val="22"/>
          <w:szCs w:val="22"/>
        </w:rPr>
        <w:t>. Asociación Colombiana de Ingeniería Sísmica.</w:t>
      </w:r>
    </w:p>
    <w:p w14:paraId="7BB0BFE6" w14:textId="77777777" w:rsidR="00685C06" w:rsidRPr="00DD5C32" w:rsidRDefault="00685C06" w:rsidP="00685C06">
      <w:pPr>
        <w:numPr>
          <w:ilvl w:val="0"/>
          <w:numId w:val="20"/>
        </w:numPr>
        <w:jc w:val="both"/>
        <w:rPr>
          <w:rFonts w:ascii="Arial Narrow" w:hAnsi="Arial Narrow" w:cs="Arial"/>
          <w:sz w:val="22"/>
          <w:szCs w:val="22"/>
        </w:rPr>
      </w:pPr>
      <w:r w:rsidRPr="00774E98">
        <w:rPr>
          <w:rFonts w:ascii="Arial Narrow" w:hAnsi="Arial Narrow" w:cs="Arial"/>
          <w:b/>
          <w:bCs/>
          <w:sz w:val="22"/>
          <w:szCs w:val="22"/>
        </w:rPr>
        <w:t>AIS (en prensa).</w:t>
      </w:r>
      <w:r w:rsidRPr="00774E98">
        <w:rPr>
          <w:rFonts w:ascii="Arial Narrow" w:hAnsi="Arial Narrow" w:cs="Arial"/>
          <w:sz w:val="22"/>
          <w:szCs w:val="22"/>
        </w:rPr>
        <w:t xml:space="preserve"> </w:t>
      </w:r>
      <w:r w:rsidRPr="00774E98">
        <w:rPr>
          <w:rFonts w:ascii="Arial Narrow" w:hAnsi="Arial Narrow" w:cs="Arial"/>
          <w:i/>
          <w:iCs/>
          <w:sz w:val="22"/>
          <w:szCs w:val="22"/>
        </w:rPr>
        <w:t>Actualización del Reglamento Colombiano de Construcción Sismo Resistente (NSR-24/25)</w:t>
      </w:r>
      <w:r w:rsidRPr="00774E98">
        <w:rPr>
          <w:rFonts w:ascii="Arial Narrow" w:hAnsi="Arial Narrow" w:cs="Arial"/>
          <w:sz w:val="22"/>
          <w:szCs w:val="22"/>
        </w:rPr>
        <w:t>. Asociación Colombiana de Ingeniería Sísmica.</w:t>
      </w:r>
    </w:p>
    <w:p w14:paraId="46BED4FD" w14:textId="77777777" w:rsidR="00685C06" w:rsidRPr="00DA0F6B" w:rsidRDefault="00685C06" w:rsidP="00685C06">
      <w:pPr>
        <w:jc w:val="both"/>
        <w:rPr>
          <w:rFonts w:ascii="Arial Narrow" w:hAnsi="Arial Narrow" w:cs="Arial"/>
          <w:sz w:val="22"/>
          <w:szCs w:val="22"/>
        </w:rPr>
      </w:pPr>
      <w:r w:rsidRPr="00DA0F6B">
        <w:rPr>
          <w:rFonts w:ascii="Arial Narrow" w:hAnsi="Arial Narrow" w:cs="Arial"/>
          <w:b/>
          <w:bCs/>
          <w:sz w:val="22"/>
          <w:szCs w:val="22"/>
        </w:rPr>
        <w:t>Fundamentos de Confiabilidad y Métodos Probabilísticos</w:t>
      </w:r>
    </w:p>
    <w:p w14:paraId="21FDC042" w14:textId="77777777" w:rsidR="00685C06" w:rsidRPr="002D19FA" w:rsidRDefault="00685C06" w:rsidP="00685C06">
      <w:pPr>
        <w:numPr>
          <w:ilvl w:val="0"/>
          <w:numId w:val="21"/>
        </w:numPr>
        <w:jc w:val="both"/>
        <w:rPr>
          <w:rFonts w:ascii="Arial Narrow" w:hAnsi="Arial Narrow" w:cs="Arial"/>
          <w:sz w:val="22"/>
          <w:szCs w:val="22"/>
          <w:lang w:val="en-US"/>
        </w:rPr>
      </w:pPr>
      <w:proofErr w:type="spellStart"/>
      <w:r w:rsidRPr="008379E3">
        <w:rPr>
          <w:rFonts w:ascii="Arial Narrow" w:hAnsi="Arial Narrow" w:cs="Arial"/>
          <w:b/>
          <w:bCs/>
          <w:sz w:val="22"/>
          <w:szCs w:val="22"/>
          <w:lang w:val="en-US"/>
        </w:rPr>
        <w:t>Heijungs</w:t>
      </w:r>
      <w:proofErr w:type="spellEnd"/>
      <w:r w:rsidRPr="008379E3">
        <w:rPr>
          <w:rFonts w:ascii="Arial Narrow" w:hAnsi="Arial Narrow" w:cs="Arial"/>
          <w:sz w:val="22"/>
          <w:szCs w:val="22"/>
          <w:lang w:val="en-US"/>
        </w:rPr>
        <w:t xml:space="preserve">, R. (2020). On the number of Monte Carlo runs in comparative probabilistic LCA. </w:t>
      </w:r>
      <w:r w:rsidRPr="008379E3">
        <w:rPr>
          <w:rFonts w:ascii="Arial Narrow" w:hAnsi="Arial Narrow" w:cs="Arial"/>
          <w:i/>
          <w:iCs/>
          <w:sz w:val="22"/>
          <w:szCs w:val="22"/>
          <w:lang w:val="en-US"/>
        </w:rPr>
        <w:t>The International Journal of Life Cycle Assessment</w:t>
      </w:r>
      <w:r w:rsidRPr="008379E3">
        <w:rPr>
          <w:rFonts w:ascii="Arial Narrow" w:hAnsi="Arial Narrow" w:cs="Arial"/>
          <w:sz w:val="22"/>
          <w:szCs w:val="22"/>
          <w:lang w:val="en-US"/>
        </w:rPr>
        <w:t>, 25(2), 394–402.</w:t>
      </w:r>
    </w:p>
    <w:p w14:paraId="1EC56F5B" w14:textId="77777777" w:rsidR="00685C06" w:rsidRPr="00DA0F6B" w:rsidRDefault="00685C06" w:rsidP="00685C06">
      <w:pPr>
        <w:numPr>
          <w:ilvl w:val="0"/>
          <w:numId w:val="21"/>
        </w:numPr>
        <w:jc w:val="both"/>
        <w:rPr>
          <w:rFonts w:ascii="Arial Narrow" w:hAnsi="Arial Narrow" w:cs="Arial"/>
          <w:sz w:val="22"/>
          <w:szCs w:val="22"/>
        </w:rPr>
      </w:pPr>
      <w:proofErr w:type="spellStart"/>
      <w:r w:rsidRPr="00DA0F6B">
        <w:rPr>
          <w:rFonts w:ascii="Arial Narrow" w:hAnsi="Arial Narrow" w:cs="Arial"/>
          <w:b/>
          <w:bCs/>
          <w:sz w:val="22"/>
          <w:szCs w:val="22"/>
          <w:lang w:val="en-US"/>
        </w:rPr>
        <w:t>Rosenblueth</w:t>
      </w:r>
      <w:proofErr w:type="spellEnd"/>
      <w:r w:rsidRPr="00DA0F6B">
        <w:rPr>
          <w:rFonts w:ascii="Arial Narrow" w:hAnsi="Arial Narrow" w:cs="Arial"/>
          <w:b/>
          <w:bCs/>
          <w:sz w:val="22"/>
          <w:szCs w:val="22"/>
          <w:lang w:val="en-US"/>
        </w:rPr>
        <w:t>, E. (1975).</w:t>
      </w:r>
      <w:r w:rsidRPr="00DA0F6B">
        <w:rPr>
          <w:rFonts w:ascii="Arial Narrow" w:hAnsi="Arial Narrow" w:cs="Arial"/>
          <w:sz w:val="22"/>
          <w:szCs w:val="22"/>
          <w:lang w:val="en-US"/>
        </w:rPr>
        <w:t xml:space="preserve"> Point estimates for probability moments. </w:t>
      </w:r>
      <w:r w:rsidRPr="00DA0F6B">
        <w:rPr>
          <w:rFonts w:ascii="Arial Narrow" w:hAnsi="Arial Narrow" w:cs="Arial"/>
          <w:b/>
          <w:bCs/>
          <w:i/>
          <w:iCs/>
          <w:sz w:val="22"/>
          <w:szCs w:val="22"/>
        </w:rPr>
        <w:t>PNAS</w:t>
      </w:r>
      <w:r w:rsidRPr="00DA0F6B">
        <w:rPr>
          <w:rFonts w:ascii="Arial Narrow" w:hAnsi="Arial Narrow" w:cs="Arial"/>
          <w:sz w:val="22"/>
          <w:szCs w:val="22"/>
        </w:rPr>
        <w:t>, 72(10), 3812–3814.</w:t>
      </w:r>
    </w:p>
    <w:p w14:paraId="174DC58F" w14:textId="77777777" w:rsidR="00685C06" w:rsidRDefault="00685C06" w:rsidP="00685C06">
      <w:pPr>
        <w:numPr>
          <w:ilvl w:val="0"/>
          <w:numId w:val="21"/>
        </w:numPr>
        <w:jc w:val="both"/>
        <w:rPr>
          <w:rFonts w:ascii="Arial Narrow" w:hAnsi="Arial Narrow" w:cs="Arial"/>
          <w:sz w:val="22"/>
          <w:szCs w:val="22"/>
        </w:rPr>
      </w:pPr>
      <w:r w:rsidRPr="00DA0F6B">
        <w:rPr>
          <w:rFonts w:ascii="Arial Narrow" w:hAnsi="Arial Narrow" w:cs="Arial"/>
          <w:b/>
          <w:bCs/>
          <w:sz w:val="22"/>
          <w:szCs w:val="22"/>
        </w:rPr>
        <w:t>Sánchez-Silva, M. (2010).</w:t>
      </w:r>
      <w:r w:rsidRPr="00DA0F6B">
        <w:rPr>
          <w:rFonts w:ascii="Arial Narrow" w:hAnsi="Arial Narrow" w:cs="Arial"/>
          <w:sz w:val="22"/>
          <w:szCs w:val="22"/>
        </w:rPr>
        <w:t xml:space="preserve"> </w:t>
      </w:r>
      <w:r w:rsidRPr="00DA0F6B">
        <w:rPr>
          <w:rFonts w:ascii="Arial Narrow" w:hAnsi="Arial Narrow" w:cs="Arial"/>
          <w:i/>
          <w:iCs/>
          <w:sz w:val="22"/>
          <w:szCs w:val="22"/>
        </w:rPr>
        <w:t>Introducción a la Confiabilidad y Evaluación de Riesgos: Teoría y Aplicaciones en Ingeniería</w:t>
      </w:r>
      <w:r w:rsidRPr="00DA0F6B">
        <w:rPr>
          <w:rFonts w:ascii="Arial Narrow" w:hAnsi="Arial Narrow" w:cs="Arial"/>
          <w:sz w:val="22"/>
          <w:szCs w:val="22"/>
        </w:rPr>
        <w:t>. Universidad de los Andes. Bogotá, Colombia.</w:t>
      </w:r>
    </w:p>
    <w:p w14:paraId="1DA0CE13" w14:textId="77777777" w:rsidR="00685C06" w:rsidRPr="002D19FA" w:rsidRDefault="00685C06" w:rsidP="00685C06">
      <w:pPr>
        <w:numPr>
          <w:ilvl w:val="0"/>
          <w:numId w:val="21"/>
        </w:numPr>
        <w:jc w:val="both"/>
        <w:rPr>
          <w:rFonts w:ascii="Arial Narrow" w:hAnsi="Arial Narrow" w:cs="Arial"/>
          <w:sz w:val="22"/>
          <w:szCs w:val="22"/>
          <w:lang w:val="en-US"/>
        </w:rPr>
      </w:pPr>
      <w:proofErr w:type="spellStart"/>
      <w:r w:rsidRPr="002D19FA">
        <w:rPr>
          <w:rFonts w:ascii="Arial Narrow" w:hAnsi="Arial Narrow" w:cs="Arial"/>
          <w:sz w:val="22"/>
          <w:szCs w:val="22"/>
          <w:lang w:val="en-US"/>
        </w:rPr>
        <w:lastRenderedPageBreak/>
        <w:t>Thinley</w:t>
      </w:r>
      <w:proofErr w:type="spellEnd"/>
      <w:r w:rsidRPr="002D19FA">
        <w:rPr>
          <w:rFonts w:ascii="Arial Narrow" w:hAnsi="Arial Narrow" w:cs="Arial"/>
          <w:sz w:val="22"/>
          <w:szCs w:val="22"/>
          <w:lang w:val="en-US"/>
        </w:rPr>
        <w:t xml:space="preserve">, K., &amp; Hao, H. (2017). Seismic performance of reinforced concrete frame buildings in Bhutan based on fuzzy probability analysis. </w:t>
      </w:r>
      <w:r w:rsidRPr="002D19FA">
        <w:rPr>
          <w:rFonts w:ascii="Arial Narrow" w:hAnsi="Arial Narrow" w:cs="Arial"/>
          <w:b/>
          <w:bCs/>
          <w:i/>
          <w:iCs/>
          <w:sz w:val="22"/>
          <w:szCs w:val="22"/>
          <w:lang w:val="en-US"/>
        </w:rPr>
        <w:t>Soil Dynamics and Earthquake Engineering</w:t>
      </w:r>
      <w:r w:rsidRPr="002D19FA">
        <w:rPr>
          <w:rFonts w:ascii="Arial Narrow" w:hAnsi="Arial Narrow" w:cs="Arial"/>
          <w:sz w:val="22"/>
          <w:szCs w:val="22"/>
          <w:lang w:val="en-US"/>
        </w:rPr>
        <w:t xml:space="preserve">, </w:t>
      </w:r>
      <w:r w:rsidRPr="002D19FA">
        <w:rPr>
          <w:rFonts w:ascii="Arial Narrow" w:hAnsi="Arial Narrow" w:cs="Arial"/>
          <w:i/>
          <w:iCs/>
          <w:sz w:val="22"/>
          <w:szCs w:val="22"/>
          <w:lang w:val="en-US"/>
        </w:rPr>
        <w:t>92</w:t>
      </w:r>
      <w:r w:rsidRPr="002D19FA">
        <w:rPr>
          <w:rFonts w:ascii="Arial Narrow" w:hAnsi="Arial Narrow" w:cs="Arial"/>
          <w:sz w:val="22"/>
          <w:szCs w:val="22"/>
          <w:lang w:val="en-US"/>
        </w:rPr>
        <w:t xml:space="preserve">, 604–620. </w:t>
      </w:r>
      <w:hyperlink w:tgtFrame="_blank" w:history="1">
        <w:r w:rsidRPr="002D19FA">
          <w:rPr>
            <w:rStyle w:val="Hyperlink"/>
            <w:rFonts w:ascii="Arial Narrow" w:hAnsi="Arial Narrow" w:cs="Arial"/>
            <w:sz w:val="22"/>
            <w:szCs w:val="22"/>
            <w:lang w:val="en-US"/>
          </w:rPr>
          <w:t>https://doi.org/10.1016/j.soildyn.2016.11.004</w:t>
        </w:r>
      </w:hyperlink>
    </w:p>
    <w:p w14:paraId="3D0E818C" w14:textId="77777777" w:rsidR="00685C06" w:rsidRDefault="00685C06" w:rsidP="00685C06">
      <w:pPr>
        <w:jc w:val="both"/>
        <w:rPr>
          <w:rFonts w:ascii="Arial Narrow" w:hAnsi="Arial Narrow" w:cs="Arial"/>
          <w:b/>
          <w:bCs/>
          <w:sz w:val="22"/>
          <w:szCs w:val="22"/>
        </w:rPr>
      </w:pPr>
      <w:r w:rsidRPr="008379E3">
        <w:rPr>
          <w:rFonts w:ascii="Arial Narrow" w:hAnsi="Arial Narrow" w:cs="Arial"/>
          <w:b/>
          <w:bCs/>
          <w:sz w:val="22"/>
          <w:szCs w:val="22"/>
        </w:rPr>
        <w:t>Mampostería e Ingeniería Estructural Avanzada</w:t>
      </w:r>
    </w:p>
    <w:p w14:paraId="708CBF1C" w14:textId="77777777" w:rsidR="00685C06" w:rsidRDefault="00685C06" w:rsidP="00685C06">
      <w:pPr>
        <w:numPr>
          <w:ilvl w:val="0"/>
          <w:numId w:val="22"/>
        </w:numPr>
        <w:jc w:val="both"/>
        <w:rPr>
          <w:rFonts w:ascii="Arial Narrow" w:hAnsi="Arial Narrow" w:cs="Arial"/>
          <w:sz w:val="22"/>
          <w:szCs w:val="22"/>
        </w:rPr>
      </w:pPr>
      <w:r w:rsidRPr="006F00B1">
        <w:rPr>
          <w:rFonts w:ascii="Arial Narrow" w:hAnsi="Arial Narrow" w:cs="Arial"/>
          <w:b/>
          <w:bCs/>
          <w:sz w:val="22"/>
          <w:szCs w:val="22"/>
          <w:lang w:val="en-US"/>
        </w:rPr>
        <w:t>Borah, B., Kaushik, H. B., &amp; Singhal, V. (2023).</w:t>
      </w:r>
      <w:r w:rsidRPr="006F00B1">
        <w:rPr>
          <w:rFonts w:ascii="Arial Narrow" w:hAnsi="Arial Narrow" w:cs="Arial"/>
          <w:sz w:val="22"/>
          <w:szCs w:val="22"/>
          <w:lang w:val="en-US"/>
        </w:rPr>
        <w:t xml:space="preserve"> Analysis and design of confined masonry structures: review and future research directions. </w:t>
      </w:r>
      <w:proofErr w:type="spellStart"/>
      <w:r w:rsidRPr="006F00B1">
        <w:rPr>
          <w:rFonts w:ascii="Arial Narrow" w:hAnsi="Arial Narrow" w:cs="Arial"/>
          <w:b/>
          <w:bCs/>
          <w:i/>
          <w:iCs/>
          <w:sz w:val="22"/>
          <w:szCs w:val="22"/>
        </w:rPr>
        <w:t>Buildings</w:t>
      </w:r>
      <w:proofErr w:type="spellEnd"/>
      <w:r w:rsidRPr="006F00B1">
        <w:rPr>
          <w:rFonts w:ascii="Arial Narrow" w:hAnsi="Arial Narrow" w:cs="Arial"/>
          <w:sz w:val="22"/>
          <w:szCs w:val="22"/>
        </w:rPr>
        <w:t xml:space="preserve">, </w:t>
      </w:r>
      <w:r w:rsidRPr="006F00B1">
        <w:rPr>
          <w:rFonts w:ascii="Arial Narrow" w:hAnsi="Arial Narrow" w:cs="Arial"/>
          <w:i/>
          <w:iCs/>
          <w:sz w:val="22"/>
          <w:szCs w:val="22"/>
        </w:rPr>
        <w:t>13</w:t>
      </w:r>
      <w:r w:rsidRPr="006F00B1">
        <w:rPr>
          <w:rFonts w:ascii="Arial Narrow" w:hAnsi="Arial Narrow" w:cs="Arial"/>
          <w:sz w:val="22"/>
          <w:szCs w:val="22"/>
        </w:rPr>
        <w:t xml:space="preserve">(5), 1282. </w:t>
      </w:r>
      <w:hyperlink w:tgtFrame="_blank" w:history="1">
        <w:r w:rsidRPr="006F00B1">
          <w:rPr>
            <w:rStyle w:val="Hyperlink"/>
            <w:rFonts w:ascii="Arial Narrow" w:hAnsi="Arial Narrow" w:cs="Arial"/>
            <w:sz w:val="22"/>
            <w:szCs w:val="22"/>
          </w:rPr>
          <w:t>https://doi.org/10.3390/buildings13051282</w:t>
        </w:r>
      </w:hyperlink>
      <w:r>
        <w:rPr>
          <w:rFonts w:ascii="Arial Narrow" w:hAnsi="Arial Narrow" w:cs="Arial"/>
          <w:sz w:val="22"/>
          <w:szCs w:val="22"/>
        </w:rPr>
        <w:t>.</w:t>
      </w:r>
    </w:p>
    <w:p w14:paraId="628C7A8C" w14:textId="77777777" w:rsidR="00685C06" w:rsidRDefault="00685C06" w:rsidP="00685C06">
      <w:pPr>
        <w:numPr>
          <w:ilvl w:val="0"/>
          <w:numId w:val="22"/>
        </w:numPr>
        <w:jc w:val="both"/>
        <w:rPr>
          <w:rFonts w:ascii="Arial Narrow" w:hAnsi="Arial Narrow" w:cs="Arial"/>
          <w:sz w:val="22"/>
          <w:szCs w:val="22"/>
        </w:rPr>
      </w:pPr>
      <w:r w:rsidRPr="00760D0C">
        <w:rPr>
          <w:rFonts w:ascii="Arial Narrow" w:hAnsi="Arial Narrow" w:cs="Arial"/>
          <w:b/>
          <w:bCs/>
          <w:sz w:val="22"/>
          <w:szCs w:val="22"/>
          <w:lang w:val="en-US"/>
        </w:rPr>
        <w:t xml:space="preserve">Bruneau, M., Chang, S. E., </w:t>
      </w:r>
      <w:proofErr w:type="spellStart"/>
      <w:r w:rsidRPr="00760D0C">
        <w:rPr>
          <w:rFonts w:ascii="Arial Narrow" w:hAnsi="Arial Narrow" w:cs="Arial"/>
          <w:b/>
          <w:bCs/>
          <w:sz w:val="22"/>
          <w:szCs w:val="22"/>
          <w:lang w:val="en-US"/>
        </w:rPr>
        <w:t>Eguchi</w:t>
      </w:r>
      <w:proofErr w:type="spellEnd"/>
      <w:r w:rsidRPr="00760D0C">
        <w:rPr>
          <w:rFonts w:ascii="Arial Narrow" w:hAnsi="Arial Narrow" w:cs="Arial"/>
          <w:b/>
          <w:bCs/>
          <w:sz w:val="22"/>
          <w:szCs w:val="22"/>
          <w:lang w:val="en-US"/>
        </w:rPr>
        <w:t xml:space="preserve">, R. T., Lee, G. C., O'Rourke, T. D., </w:t>
      </w:r>
      <w:proofErr w:type="spellStart"/>
      <w:r w:rsidRPr="00760D0C">
        <w:rPr>
          <w:rFonts w:ascii="Arial Narrow" w:hAnsi="Arial Narrow" w:cs="Arial"/>
          <w:b/>
          <w:bCs/>
          <w:sz w:val="22"/>
          <w:szCs w:val="22"/>
          <w:lang w:val="en-US"/>
        </w:rPr>
        <w:t>Reinhorn</w:t>
      </w:r>
      <w:proofErr w:type="spellEnd"/>
      <w:r w:rsidRPr="00760D0C">
        <w:rPr>
          <w:rFonts w:ascii="Arial Narrow" w:hAnsi="Arial Narrow" w:cs="Arial"/>
          <w:b/>
          <w:bCs/>
          <w:sz w:val="22"/>
          <w:szCs w:val="22"/>
          <w:lang w:val="en-US"/>
        </w:rPr>
        <w:t xml:space="preserve">, A. M., </w:t>
      </w:r>
      <w:proofErr w:type="spellStart"/>
      <w:r w:rsidRPr="00760D0C">
        <w:rPr>
          <w:rFonts w:ascii="Arial Narrow" w:hAnsi="Arial Narrow" w:cs="Arial"/>
          <w:b/>
          <w:bCs/>
          <w:sz w:val="22"/>
          <w:szCs w:val="22"/>
          <w:lang w:val="en-US"/>
        </w:rPr>
        <w:t>Shinozuka</w:t>
      </w:r>
      <w:proofErr w:type="spellEnd"/>
      <w:r w:rsidRPr="00760D0C">
        <w:rPr>
          <w:rFonts w:ascii="Arial Narrow" w:hAnsi="Arial Narrow" w:cs="Arial"/>
          <w:b/>
          <w:bCs/>
          <w:sz w:val="22"/>
          <w:szCs w:val="22"/>
          <w:lang w:val="en-US"/>
        </w:rPr>
        <w:t xml:space="preserve">, M., Tierney, K., Wallace, W. A., &amp; von </w:t>
      </w:r>
      <w:proofErr w:type="spellStart"/>
      <w:r w:rsidRPr="00760D0C">
        <w:rPr>
          <w:rFonts w:ascii="Arial Narrow" w:hAnsi="Arial Narrow" w:cs="Arial"/>
          <w:b/>
          <w:bCs/>
          <w:sz w:val="22"/>
          <w:szCs w:val="22"/>
          <w:lang w:val="en-US"/>
        </w:rPr>
        <w:t>Winterfeldt</w:t>
      </w:r>
      <w:proofErr w:type="spellEnd"/>
      <w:r w:rsidRPr="00760D0C">
        <w:rPr>
          <w:rFonts w:ascii="Arial Narrow" w:hAnsi="Arial Narrow" w:cs="Arial"/>
          <w:b/>
          <w:bCs/>
          <w:sz w:val="22"/>
          <w:szCs w:val="22"/>
          <w:lang w:val="en-US"/>
        </w:rPr>
        <w:t>, D. (2003).</w:t>
      </w:r>
      <w:r w:rsidRPr="00760D0C">
        <w:rPr>
          <w:rFonts w:ascii="Arial Narrow" w:hAnsi="Arial Narrow" w:cs="Arial"/>
          <w:sz w:val="22"/>
          <w:szCs w:val="22"/>
          <w:lang w:val="en-US"/>
        </w:rPr>
        <w:t xml:space="preserve"> A framework to quantitatively assess and enhance the seismic resilience of communities. </w:t>
      </w:r>
      <w:proofErr w:type="spellStart"/>
      <w:r w:rsidRPr="00760D0C">
        <w:rPr>
          <w:rFonts w:ascii="Arial Narrow" w:hAnsi="Arial Narrow" w:cs="Arial"/>
          <w:b/>
          <w:bCs/>
          <w:i/>
          <w:iCs/>
          <w:sz w:val="22"/>
          <w:szCs w:val="22"/>
        </w:rPr>
        <w:t>Earthquake</w:t>
      </w:r>
      <w:proofErr w:type="spellEnd"/>
      <w:r w:rsidRPr="00760D0C">
        <w:rPr>
          <w:rFonts w:ascii="Arial Narrow" w:hAnsi="Arial Narrow" w:cs="Arial"/>
          <w:b/>
          <w:bCs/>
          <w:i/>
          <w:iCs/>
          <w:sz w:val="22"/>
          <w:szCs w:val="22"/>
        </w:rPr>
        <w:t xml:space="preserve"> </w:t>
      </w:r>
      <w:proofErr w:type="spellStart"/>
      <w:r w:rsidRPr="00760D0C">
        <w:rPr>
          <w:rFonts w:ascii="Arial Narrow" w:hAnsi="Arial Narrow" w:cs="Arial"/>
          <w:b/>
          <w:bCs/>
          <w:i/>
          <w:iCs/>
          <w:sz w:val="22"/>
          <w:szCs w:val="22"/>
        </w:rPr>
        <w:t>Spectra</w:t>
      </w:r>
      <w:proofErr w:type="spellEnd"/>
      <w:r w:rsidRPr="00760D0C">
        <w:rPr>
          <w:rFonts w:ascii="Arial Narrow" w:hAnsi="Arial Narrow" w:cs="Arial"/>
          <w:sz w:val="22"/>
          <w:szCs w:val="22"/>
        </w:rPr>
        <w:t xml:space="preserve">, </w:t>
      </w:r>
      <w:r w:rsidRPr="00760D0C">
        <w:rPr>
          <w:rFonts w:ascii="Arial Narrow" w:hAnsi="Arial Narrow" w:cs="Arial"/>
          <w:i/>
          <w:iCs/>
          <w:sz w:val="22"/>
          <w:szCs w:val="22"/>
        </w:rPr>
        <w:t>19</w:t>
      </w:r>
      <w:r w:rsidRPr="00760D0C">
        <w:rPr>
          <w:rFonts w:ascii="Arial Narrow" w:hAnsi="Arial Narrow" w:cs="Arial"/>
          <w:sz w:val="22"/>
          <w:szCs w:val="22"/>
        </w:rPr>
        <w:t xml:space="preserve">(4), 733–752. </w:t>
      </w:r>
      <w:hyperlink w:tgtFrame="_blank" w:history="1">
        <w:r w:rsidRPr="00760D0C">
          <w:rPr>
            <w:rStyle w:val="Hyperlink"/>
            <w:rFonts w:ascii="Arial Narrow" w:hAnsi="Arial Narrow" w:cs="Arial"/>
            <w:sz w:val="22"/>
            <w:szCs w:val="22"/>
          </w:rPr>
          <w:t>https://doi.org/10.1193/1.1623497</w:t>
        </w:r>
      </w:hyperlink>
    </w:p>
    <w:p w14:paraId="424643EC" w14:textId="77777777" w:rsidR="00685C06" w:rsidRDefault="00685C06" w:rsidP="00685C06">
      <w:pPr>
        <w:numPr>
          <w:ilvl w:val="0"/>
          <w:numId w:val="22"/>
        </w:numPr>
        <w:jc w:val="both"/>
        <w:rPr>
          <w:rFonts w:ascii="Arial Narrow" w:hAnsi="Arial Narrow" w:cs="Arial"/>
          <w:sz w:val="22"/>
          <w:szCs w:val="22"/>
        </w:rPr>
      </w:pPr>
      <w:r w:rsidRPr="006F00B1">
        <w:rPr>
          <w:rFonts w:ascii="Arial Narrow" w:hAnsi="Arial Narrow" w:cs="Arial"/>
          <w:b/>
          <w:bCs/>
          <w:sz w:val="22"/>
          <w:szCs w:val="22"/>
        </w:rPr>
        <w:t>Gonzales, G., Aguilar, A., &amp; Huaco, G. (2020).</w:t>
      </w:r>
      <w:r w:rsidRPr="006F00B1">
        <w:rPr>
          <w:rFonts w:ascii="Arial Narrow" w:hAnsi="Arial Narrow" w:cs="Arial"/>
          <w:sz w:val="22"/>
          <w:szCs w:val="22"/>
        </w:rPr>
        <w:t xml:space="preserve"> </w:t>
      </w:r>
      <w:r w:rsidRPr="006F00B1">
        <w:rPr>
          <w:rFonts w:ascii="Arial Narrow" w:hAnsi="Arial Narrow" w:cs="Arial"/>
          <w:sz w:val="22"/>
          <w:szCs w:val="22"/>
          <w:lang w:val="en-US"/>
        </w:rPr>
        <w:t xml:space="preserve">Incremental dynamic analysis of a </w:t>
      </w:r>
      <w:proofErr w:type="gramStart"/>
      <w:r w:rsidRPr="006F00B1">
        <w:rPr>
          <w:rFonts w:ascii="Arial Narrow" w:hAnsi="Arial Narrow" w:cs="Arial"/>
          <w:sz w:val="22"/>
          <w:szCs w:val="22"/>
          <w:lang w:val="en-US"/>
        </w:rPr>
        <w:t>60 year old</w:t>
      </w:r>
      <w:proofErr w:type="gramEnd"/>
      <w:r w:rsidRPr="006F00B1">
        <w:rPr>
          <w:rFonts w:ascii="Arial Narrow" w:hAnsi="Arial Narrow" w:cs="Arial"/>
          <w:sz w:val="22"/>
          <w:szCs w:val="22"/>
          <w:lang w:val="en-US"/>
        </w:rPr>
        <w:t xml:space="preserve"> hospital with handmade brick masonry walls. In: </w:t>
      </w:r>
      <w:r w:rsidRPr="006F00B1">
        <w:rPr>
          <w:rFonts w:ascii="Arial Narrow" w:hAnsi="Arial Narrow" w:cs="Arial"/>
          <w:b/>
          <w:bCs/>
          <w:i/>
          <w:iCs/>
          <w:sz w:val="22"/>
          <w:szCs w:val="22"/>
          <w:lang w:val="en-US"/>
        </w:rPr>
        <w:t>18th LACCEI International Multi-Conference for Engineering, Education, and Technology</w:t>
      </w:r>
      <w:r w:rsidRPr="006F00B1">
        <w:rPr>
          <w:rFonts w:ascii="Arial Narrow" w:hAnsi="Arial Narrow" w:cs="Arial"/>
          <w:sz w:val="22"/>
          <w:szCs w:val="22"/>
          <w:lang w:val="en-US"/>
        </w:rPr>
        <w:t xml:space="preserve">, pp. 1–6. </w:t>
      </w:r>
      <w:hyperlink w:tgtFrame="_blank" w:history="1">
        <w:r w:rsidRPr="006F00B1">
          <w:rPr>
            <w:rStyle w:val="Hyperlink"/>
            <w:rFonts w:ascii="Arial Narrow" w:hAnsi="Arial Narrow" w:cs="Arial"/>
            <w:sz w:val="22"/>
            <w:szCs w:val="22"/>
          </w:rPr>
          <w:t>https://doi.org/10.18687/LACCEI2020.1.1.375</w:t>
        </w:r>
      </w:hyperlink>
    </w:p>
    <w:p w14:paraId="1CA88044" w14:textId="77777777" w:rsidR="00685C06" w:rsidRPr="00DF7E24" w:rsidRDefault="00685C06" w:rsidP="00685C06">
      <w:pPr>
        <w:numPr>
          <w:ilvl w:val="0"/>
          <w:numId w:val="22"/>
        </w:numPr>
        <w:jc w:val="both"/>
        <w:rPr>
          <w:rFonts w:ascii="Arial Narrow" w:hAnsi="Arial Narrow" w:cs="Arial"/>
          <w:sz w:val="22"/>
          <w:szCs w:val="22"/>
          <w:lang w:val="en-US"/>
        </w:rPr>
      </w:pPr>
      <w:r w:rsidRPr="00DF7E24">
        <w:rPr>
          <w:rFonts w:ascii="Arial Narrow" w:hAnsi="Arial Narrow" w:cs="Arial"/>
          <w:b/>
          <w:bCs/>
          <w:sz w:val="22"/>
          <w:szCs w:val="22"/>
          <w:lang w:val="pt-BR"/>
        </w:rPr>
        <w:t>Szabó, S., Funari, M. F., &amp; Lourenço, P. B. (2023).</w:t>
      </w:r>
      <w:r w:rsidRPr="00DF7E24">
        <w:rPr>
          <w:rFonts w:ascii="Arial Narrow" w:hAnsi="Arial Narrow" w:cs="Arial"/>
          <w:sz w:val="22"/>
          <w:szCs w:val="22"/>
          <w:lang w:val="pt-BR"/>
        </w:rPr>
        <w:t xml:space="preserve"> </w:t>
      </w:r>
      <w:r w:rsidRPr="00DF7E24">
        <w:rPr>
          <w:rFonts w:ascii="Arial Narrow" w:hAnsi="Arial Narrow" w:cs="Arial"/>
          <w:sz w:val="22"/>
          <w:szCs w:val="22"/>
          <w:lang w:val="en-US"/>
        </w:rPr>
        <w:t xml:space="preserve">Masonry patterns’ influence on the damage assessment of URM walls: current and future trends. </w:t>
      </w:r>
      <w:r w:rsidRPr="00DF7E24">
        <w:rPr>
          <w:rFonts w:ascii="Arial Narrow" w:hAnsi="Arial Narrow" w:cs="Arial"/>
          <w:b/>
          <w:bCs/>
          <w:i/>
          <w:iCs/>
          <w:sz w:val="22"/>
          <w:szCs w:val="22"/>
          <w:lang w:val="en-US"/>
        </w:rPr>
        <w:t>Developments in the Built Environment</w:t>
      </w:r>
      <w:r w:rsidRPr="00DF7E24">
        <w:rPr>
          <w:rFonts w:ascii="Arial Narrow" w:hAnsi="Arial Narrow" w:cs="Arial"/>
          <w:sz w:val="22"/>
          <w:szCs w:val="22"/>
          <w:lang w:val="en-US"/>
        </w:rPr>
        <w:t xml:space="preserve">, </w:t>
      </w:r>
      <w:r w:rsidRPr="00DF7E24">
        <w:rPr>
          <w:rFonts w:ascii="Arial Narrow" w:hAnsi="Arial Narrow" w:cs="Arial"/>
          <w:i/>
          <w:iCs/>
          <w:sz w:val="22"/>
          <w:szCs w:val="22"/>
          <w:lang w:val="en-US"/>
        </w:rPr>
        <w:t>13</w:t>
      </w:r>
      <w:r w:rsidRPr="00DF7E24">
        <w:rPr>
          <w:rFonts w:ascii="Arial Narrow" w:hAnsi="Arial Narrow" w:cs="Arial"/>
          <w:sz w:val="22"/>
          <w:szCs w:val="22"/>
          <w:lang w:val="en-US"/>
        </w:rPr>
        <w:t xml:space="preserve">, 100119. </w:t>
      </w:r>
      <w:hyperlink w:tgtFrame="_blank" w:history="1">
        <w:r w:rsidRPr="00DF7E24">
          <w:rPr>
            <w:rStyle w:val="Hyperlink"/>
            <w:rFonts w:ascii="Arial Narrow" w:hAnsi="Arial Narrow" w:cs="Arial"/>
            <w:sz w:val="22"/>
            <w:szCs w:val="22"/>
            <w:lang w:val="en-US"/>
          </w:rPr>
          <w:t>https://doi.org/10.1016/j.dibe.2023.100119</w:t>
        </w:r>
      </w:hyperlink>
    </w:p>
    <w:p w14:paraId="074D67C7" w14:textId="77777777" w:rsidR="00685C06" w:rsidRPr="00DA0F6B" w:rsidRDefault="00685C06" w:rsidP="00685C06">
      <w:pPr>
        <w:numPr>
          <w:ilvl w:val="0"/>
          <w:numId w:val="22"/>
        </w:numPr>
        <w:jc w:val="both"/>
        <w:rPr>
          <w:rFonts w:ascii="Arial Narrow" w:hAnsi="Arial Narrow" w:cs="Arial"/>
          <w:sz w:val="22"/>
          <w:szCs w:val="22"/>
        </w:rPr>
      </w:pPr>
      <w:r w:rsidRPr="00DA0F6B">
        <w:rPr>
          <w:rFonts w:ascii="Arial Narrow" w:hAnsi="Arial Narrow" w:cs="Arial"/>
          <w:b/>
          <w:bCs/>
          <w:sz w:val="22"/>
          <w:szCs w:val="22"/>
          <w:lang w:val="en-US"/>
        </w:rPr>
        <w:t xml:space="preserve">Meli, R., </w:t>
      </w:r>
      <w:proofErr w:type="spellStart"/>
      <w:r w:rsidRPr="00DA0F6B">
        <w:rPr>
          <w:rFonts w:ascii="Arial Narrow" w:hAnsi="Arial Narrow" w:cs="Arial"/>
          <w:b/>
          <w:bCs/>
          <w:sz w:val="22"/>
          <w:szCs w:val="22"/>
          <w:lang w:val="en-US"/>
        </w:rPr>
        <w:t>Brzev</w:t>
      </w:r>
      <w:proofErr w:type="spellEnd"/>
      <w:r w:rsidRPr="00DA0F6B">
        <w:rPr>
          <w:rFonts w:ascii="Arial Narrow" w:hAnsi="Arial Narrow" w:cs="Arial"/>
          <w:b/>
          <w:bCs/>
          <w:sz w:val="22"/>
          <w:szCs w:val="22"/>
          <w:lang w:val="en-US"/>
        </w:rPr>
        <w:t>, S., et al. (2011).</w:t>
      </w:r>
      <w:r w:rsidRPr="00DA0F6B">
        <w:rPr>
          <w:rFonts w:ascii="Arial Narrow" w:hAnsi="Arial Narrow" w:cs="Arial"/>
          <w:sz w:val="22"/>
          <w:szCs w:val="22"/>
          <w:lang w:val="en-US"/>
        </w:rPr>
        <w:t xml:space="preserve"> </w:t>
      </w:r>
      <w:r w:rsidRPr="00DA0F6B">
        <w:rPr>
          <w:rFonts w:ascii="Arial Narrow" w:hAnsi="Arial Narrow" w:cs="Arial"/>
          <w:i/>
          <w:iCs/>
          <w:sz w:val="22"/>
          <w:szCs w:val="22"/>
          <w:lang w:val="en-US"/>
        </w:rPr>
        <w:t>Seismic design guide for low-rise confined masonry buildings</w:t>
      </w:r>
      <w:r w:rsidRPr="00DA0F6B">
        <w:rPr>
          <w:rFonts w:ascii="Arial Narrow" w:hAnsi="Arial Narrow" w:cs="Arial"/>
          <w:sz w:val="22"/>
          <w:szCs w:val="22"/>
          <w:lang w:val="en-US"/>
        </w:rPr>
        <w:t xml:space="preserve">. </w:t>
      </w:r>
      <w:r w:rsidRPr="00DA0F6B">
        <w:rPr>
          <w:rFonts w:ascii="Arial Narrow" w:hAnsi="Arial Narrow" w:cs="Arial"/>
          <w:sz w:val="22"/>
          <w:szCs w:val="22"/>
        </w:rPr>
        <w:t>EERI &amp; IAEE.</w:t>
      </w:r>
    </w:p>
    <w:p w14:paraId="3F93042D" w14:textId="77777777" w:rsidR="00685C06" w:rsidRDefault="00685C06" w:rsidP="00685C06">
      <w:pPr>
        <w:numPr>
          <w:ilvl w:val="0"/>
          <w:numId w:val="22"/>
        </w:numPr>
        <w:jc w:val="both"/>
        <w:rPr>
          <w:rFonts w:ascii="Arial Narrow" w:hAnsi="Arial Narrow" w:cs="Arial"/>
          <w:sz w:val="22"/>
          <w:szCs w:val="22"/>
        </w:rPr>
      </w:pPr>
      <w:r w:rsidRPr="00DA0F6B">
        <w:rPr>
          <w:rFonts w:ascii="Arial Narrow" w:hAnsi="Arial Narrow" w:cs="Arial"/>
          <w:b/>
          <w:bCs/>
          <w:sz w:val="22"/>
          <w:szCs w:val="22"/>
        </w:rPr>
        <w:t xml:space="preserve">Alcocer-Martínez de Castro, S., et al. </w:t>
      </w:r>
      <w:r w:rsidRPr="00DA0F6B">
        <w:rPr>
          <w:rFonts w:ascii="Arial Narrow" w:hAnsi="Arial Narrow" w:cs="Arial"/>
          <w:b/>
          <w:bCs/>
          <w:sz w:val="22"/>
          <w:szCs w:val="22"/>
          <w:lang w:val="en-US"/>
        </w:rPr>
        <w:t>(2013).</w:t>
      </w:r>
      <w:r w:rsidRPr="00DA0F6B">
        <w:rPr>
          <w:rFonts w:ascii="Arial Narrow" w:hAnsi="Arial Narrow" w:cs="Arial"/>
          <w:sz w:val="22"/>
          <w:szCs w:val="22"/>
          <w:lang w:val="en-US"/>
        </w:rPr>
        <w:t xml:space="preserve"> Lateral Strength Envelope for Confined Masonry Structures. </w:t>
      </w:r>
      <w:r w:rsidRPr="00DA0F6B">
        <w:rPr>
          <w:rFonts w:ascii="Arial Narrow" w:hAnsi="Arial Narrow" w:cs="Arial"/>
          <w:b/>
          <w:bCs/>
          <w:i/>
          <w:iCs/>
          <w:sz w:val="22"/>
          <w:szCs w:val="22"/>
        </w:rPr>
        <w:t>Revista de Ingeniería Sísmica</w:t>
      </w:r>
      <w:r w:rsidRPr="00DA0F6B">
        <w:rPr>
          <w:rFonts w:ascii="Arial Narrow" w:hAnsi="Arial Narrow" w:cs="Arial"/>
          <w:sz w:val="22"/>
          <w:szCs w:val="22"/>
        </w:rPr>
        <w:t>, 89, 24–54.</w:t>
      </w:r>
    </w:p>
    <w:p w14:paraId="061405BF" w14:textId="77777777" w:rsidR="00685C06" w:rsidRDefault="00685C06" w:rsidP="00685C06">
      <w:pPr>
        <w:numPr>
          <w:ilvl w:val="0"/>
          <w:numId w:val="22"/>
        </w:numPr>
        <w:jc w:val="both"/>
        <w:rPr>
          <w:rFonts w:ascii="Arial Narrow" w:hAnsi="Arial Narrow" w:cs="Arial"/>
          <w:sz w:val="22"/>
          <w:szCs w:val="22"/>
          <w:lang w:val="en-US"/>
        </w:rPr>
      </w:pPr>
      <w:proofErr w:type="spellStart"/>
      <w:r w:rsidRPr="00245EBE">
        <w:rPr>
          <w:rFonts w:ascii="Arial Narrow" w:hAnsi="Arial Narrow" w:cs="Arial"/>
          <w:b/>
          <w:bCs/>
          <w:sz w:val="22"/>
          <w:szCs w:val="22"/>
        </w:rPr>
        <w:t>Mangalathu</w:t>
      </w:r>
      <w:proofErr w:type="spellEnd"/>
      <w:r w:rsidRPr="00245EBE">
        <w:rPr>
          <w:rFonts w:ascii="Arial Narrow" w:hAnsi="Arial Narrow" w:cs="Arial"/>
          <w:b/>
          <w:bCs/>
          <w:sz w:val="22"/>
          <w:szCs w:val="22"/>
        </w:rPr>
        <w:t xml:space="preserve">, S., </w:t>
      </w:r>
      <w:proofErr w:type="spellStart"/>
      <w:r w:rsidRPr="00245EBE">
        <w:rPr>
          <w:rFonts w:ascii="Arial Narrow" w:hAnsi="Arial Narrow" w:cs="Arial"/>
          <w:b/>
          <w:bCs/>
          <w:sz w:val="22"/>
          <w:szCs w:val="22"/>
        </w:rPr>
        <w:t>Sun</w:t>
      </w:r>
      <w:proofErr w:type="spellEnd"/>
      <w:r w:rsidRPr="00245EBE">
        <w:rPr>
          <w:rFonts w:ascii="Arial Narrow" w:hAnsi="Arial Narrow" w:cs="Arial"/>
          <w:b/>
          <w:bCs/>
          <w:sz w:val="22"/>
          <w:szCs w:val="22"/>
        </w:rPr>
        <w:t xml:space="preserve">, H., </w:t>
      </w:r>
      <w:proofErr w:type="spellStart"/>
      <w:r w:rsidRPr="00245EBE">
        <w:rPr>
          <w:rFonts w:ascii="Arial Narrow" w:hAnsi="Arial Narrow" w:cs="Arial"/>
          <w:b/>
          <w:bCs/>
          <w:sz w:val="22"/>
          <w:szCs w:val="22"/>
        </w:rPr>
        <w:t>Nofal</w:t>
      </w:r>
      <w:proofErr w:type="spellEnd"/>
      <w:r w:rsidRPr="00245EBE">
        <w:rPr>
          <w:rFonts w:ascii="Arial Narrow" w:hAnsi="Arial Narrow" w:cs="Arial"/>
          <w:b/>
          <w:bCs/>
          <w:sz w:val="22"/>
          <w:szCs w:val="22"/>
        </w:rPr>
        <w:t>, Y., &amp; Jeon, J. S. (2020).</w:t>
      </w:r>
      <w:r w:rsidRPr="00245EBE">
        <w:rPr>
          <w:rFonts w:ascii="Arial Narrow" w:hAnsi="Arial Narrow" w:cs="Arial"/>
          <w:sz w:val="22"/>
          <w:szCs w:val="22"/>
        </w:rPr>
        <w:t xml:space="preserve"> </w:t>
      </w:r>
      <w:r w:rsidRPr="00245EBE">
        <w:rPr>
          <w:rFonts w:ascii="Arial Narrow" w:hAnsi="Arial Narrow" w:cs="Arial"/>
          <w:sz w:val="22"/>
          <w:szCs w:val="22"/>
          <w:lang w:val="en-US"/>
        </w:rPr>
        <w:t xml:space="preserve">Explainable machine learning models for earthquake-induced damage assessment of buildings. </w:t>
      </w:r>
      <w:r w:rsidRPr="00245EBE">
        <w:rPr>
          <w:rFonts w:ascii="Arial Narrow" w:hAnsi="Arial Narrow" w:cs="Arial"/>
          <w:i/>
          <w:iCs/>
          <w:sz w:val="22"/>
          <w:szCs w:val="22"/>
          <w:lang w:val="en-US"/>
        </w:rPr>
        <w:t>Reliability Engineering &amp; System Safety</w:t>
      </w:r>
      <w:r w:rsidRPr="00245EBE">
        <w:rPr>
          <w:rFonts w:ascii="Arial Narrow" w:hAnsi="Arial Narrow" w:cs="Arial"/>
          <w:sz w:val="22"/>
          <w:szCs w:val="22"/>
          <w:lang w:val="en-US"/>
        </w:rPr>
        <w:t xml:space="preserve">, </w:t>
      </w:r>
      <w:r w:rsidRPr="00245EBE">
        <w:rPr>
          <w:rFonts w:ascii="Arial Narrow" w:hAnsi="Arial Narrow" w:cs="Arial"/>
          <w:i/>
          <w:iCs/>
          <w:sz w:val="22"/>
          <w:szCs w:val="22"/>
          <w:lang w:val="en-US"/>
        </w:rPr>
        <w:t>203</w:t>
      </w:r>
      <w:r w:rsidRPr="00245EBE">
        <w:rPr>
          <w:rFonts w:ascii="Arial Narrow" w:hAnsi="Arial Narrow" w:cs="Arial"/>
          <w:sz w:val="22"/>
          <w:szCs w:val="22"/>
          <w:lang w:val="en-US"/>
        </w:rPr>
        <w:t xml:space="preserve">, 107105. </w:t>
      </w:r>
      <w:hyperlink r:id="rId6" w:tgtFrame="_blank" w:history="1">
        <w:r w:rsidRPr="00245EBE">
          <w:rPr>
            <w:rStyle w:val="Hyperlink"/>
            <w:rFonts w:ascii="Arial Narrow" w:hAnsi="Arial Narrow" w:cs="Arial"/>
            <w:sz w:val="22"/>
            <w:szCs w:val="22"/>
            <w:lang w:val="en-US"/>
          </w:rPr>
          <w:t>https://doi.org/10.1016/j.ress.2020.107105</w:t>
        </w:r>
      </w:hyperlink>
    </w:p>
    <w:p w14:paraId="492D2A3B" w14:textId="77777777" w:rsidR="00685C06" w:rsidRPr="004B1B32" w:rsidRDefault="00685C06" w:rsidP="00685C06">
      <w:pPr>
        <w:numPr>
          <w:ilvl w:val="0"/>
          <w:numId w:val="22"/>
        </w:numPr>
        <w:jc w:val="both"/>
        <w:rPr>
          <w:rFonts w:ascii="Arial Narrow" w:hAnsi="Arial Narrow" w:cs="Arial"/>
          <w:sz w:val="22"/>
          <w:szCs w:val="22"/>
          <w:lang w:val="en-US"/>
        </w:rPr>
      </w:pPr>
      <w:proofErr w:type="spellStart"/>
      <w:r w:rsidRPr="00AB76D5">
        <w:rPr>
          <w:rFonts w:ascii="Arial Narrow" w:hAnsi="Arial Narrow" w:cs="Arial"/>
          <w:b/>
          <w:bCs/>
          <w:sz w:val="22"/>
          <w:szCs w:val="22"/>
          <w:lang w:val="en-US"/>
        </w:rPr>
        <w:t>Moscoso</w:t>
      </w:r>
      <w:proofErr w:type="spellEnd"/>
      <w:r w:rsidRPr="00245EBE">
        <w:rPr>
          <w:rFonts w:ascii="Arial Narrow" w:hAnsi="Arial Narrow" w:cs="Arial"/>
          <w:b/>
          <w:bCs/>
          <w:sz w:val="22"/>
          <w:szCs w:val="22"/>
          <w:lang w:val="en-US"/>
        </w:rPr>
        <w:t xml:space="preserve"> Alcantara, E. A., &amp; Saito, T. (202</w:t>
      </w:r>
      <w:r>
        <w:rPr>
          <w:rFonts w:ascii="Arial Narrow" w:hAnsi="Arial Narrow" w:cs="Arial"/>
          <w:b/>
          <w:bCs/>
          <w:sz w:val="22"/>
          <w:szCs w:val="22"/>
          <w:lang w:val="en-US"/>
        </w:rPr>
        <w:t>3</w:t>
      </w:r>
      <w:r w:rsidRPr="00245EBE">
        <w:rPr>
          <w:rFonts w:ascii="Arial Narrow" w:hAnsi="Arial Narrow" w:cs="Arial"/>
          <w:b/>
          <w:bCs/>
          <w:sz w:val="22"/>
          <w:szCs w:val="22"/>
          <w:lang w:val="en-US"/>
        </w:rPr>
        <w:t>).</w:t>
      </w:r>
      <w:r w:rsidRPr="00245EBE">
        <w:rPr>
          <w:rFonts w:ascii="Arial Narrow" w:hAnsi="Arial Narrow" w:cs="Arial"/>
          <w:sz w:val="22"/>
          <w:szCs w:val="22"/>
          <w:lang w:val="en-US"/>
        </w:rPr>
        <w:t xml:space="preserve"> Machine Learning-Based Rapid Post-Earthquake Damage Detection of RC Resisting-Moment Frame Buildings. </w:t>
      </w:r>
      <w:proofErr w:type="spellStart"/>
      <w:r w:rsidRPr="00245EBE">
        <w:rPr>
          <w:rFonts w:ascii="Arial Narrow" w:hAnsi="Arial Narrow" w:cs="Arial"/>
          <w:i/>
          <w:iCs/>
          <w:sz w:val="22"/>
          <w:szCs w:val="22"/>
        </w:rPr>
        <w:t>Buildings</w:t>
      </w:r>
      <w:proofErr w:type="spellEnd"/>
      <w:r w:rsidRPr="00245EBE">
        <w:rPr>
          <w:rFonts w:ascii="Arial Narrow" w:hAnsi="Arial Narrow" w:cs="Arial"/>
          <w:sz w:val="22"/>
          <w:szCs w:val="22"/>
        </w:rPr>
        <w:t xml:space="preserve">, </w:t>
      </w:r>
      <w:r w:rsidRPr="00245EBE">
        <w:rPr>
          <w:rFonts w:ascii="Arial Narrow" w:hAnsi="Arial Narrow" w:cs="Arial"/>
          <w:i/>
          <w:iCs/>
          <w:sz w:val="22"/>
          <w:szCs w:val="22"/>
        </w:rPr>
        <w:t>12</w:t>
      </w:r>
      <w:r w:rsidRPr="00245EBE">
        <w:rPr>
          <w:rFonts w:ascii="Arial Narrow" w:hAnsi="Arial Narrow" w:cs="Arial"/>
          <w:sz w:val="22"/>
          <w:szCs w:val="22"/>
        </w:rPr>
        <w:t xml:space="preserve">(4), 450. </w:t>
      </w:r>
      <w:hyperlink r:id="rId7" w:tgtFrame="_blank" w:history="1">
        <w:r w:rsidRPr="00245EBE">
          <w:rPr>
            <w:rStyle w:val="Hyperlink"/>
            <w:rFonts w:ascii="Arial Narrow" w:hAnsi="Arial Narrow" w:cs="Arial"/>
            <w:sz w:val="22"/>
            <w:szCs w:val="22"/>
          </w:rPr>
          <w:t>https://doi.org/10.3390/buildings12040450</w:t>
        </w:r>
      </w:hyperlink>
    </w:p>
    <w:p w14:paraId="612B823A" w14:textId="77777777" w:rsidR="00DA0F6B" w:rsidRDefault="00DA0F6B" w:rsidP="000C3E44">
      <w:pPr>
        <w:jc w:val="both"/>
        <w:rPr>
          <w:rFonts w:ascii="Arial Narrow" w:hAnsi="Arial Narrow" w:cs="Arial"/>
          <w:sz w:val="22"/>
          <w:szCs w:val="22"/>
        </w:rPr>
      </w:pPr>
    </w:p>
    <w:p w14:paraId="0FBE2C7F" w14:textId="77777777" w:rsidR="00DA0F6B" w:rsidRPr="004E710F" w:rsidRDefault="00DA0F6B" w:rsidP="000C3E44">
      <w:pPr>
        <w:jc w:val="both"/>
        <w:rPr>
          <w:rFonts w:ascii="Arial Narrow" w:hAnsi="Arial Narrow" w:cs="Arial"/>
          <w:sz w:val="22"/>
          <w:szCs w:val="22"/>
        </w:rPr>
      </w:pPr>
    </w:p>
    <w:sectPr w:rsidR="00DA0F6B" w:rsidRPr="004E71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A63A5"/>
    <w:multiLevelType w:val="multilevel"/>
    <w:tmpl w:val="EE94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A4186"/>
    <w:multiLevelType w:val="multilevel"/>
    <w:tmpl w:val="FBBC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52137"/>
    <w:multiLevelType w:val="multilevel"/>
    <w:tmpl w:val="E75C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E758C"/>
    <w:multiLevelType w:val="multilevel"/>
    <w:tmpl w:val="A542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180085"/>
    <w:multiLevelType w:val="multilevel"/>
    <w:tmpl w:val="16680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911691"/>
    <w:multiLevelType w:val="multilevel"/>
    <w:tmpl w:val="B872A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A1E90"/>
    <w:multiLevelType w:val="multilevel"/>
    <w:tmpl w:val="4774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8D1EAD"/>
    <w:multiLevelType w:val="multilevel"/>
    <w:tmpl w:val="0C3CD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BB2594"/>
    <w:multiLevelType w:val="multilevel"/>
    <w:tmpl w:val="AB26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47B6A"/>
    <w:multiLevelType w:val="multilevel"/>
    <w:tmpl w:val="B3B6F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90378"/>
    <w:multiLevelType w:val="multilevel"/>
    <w:tmpl w:val="A8C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0A33F1"/>
    <w:multiLevelType w:val="multilevel"/>
    <w:tmpl w:val="9EA8F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A205B0"/>
    <w:multiLevelType w:val="multilevel"/>
    <w:tmpl w:val="B692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96D76"/>
    <w:multiLevelType w:val="multilevel"/>
    <w:tmpl w:val="4FBE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6E392B"/>
    <w:multiLevelType w:val="multilevel"/>
    <w:tmpl w:val="CB54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60030E"/>
    <w:multiLevelType w:val="multilevel"/>
    <w:tmpl w:val="C7D8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5B00A68"/>
    <w:multiLevelType w:val="multilevel"/>
    <w:tmpl w:val="B69A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26126C"/>
    <w:multiLevelType w:val="multilevel"/>
    <w:tmpl w:val="D2C6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465308"/>
    <w:multiLevelType w:val="multilevel"/>
    <w:tmpl w:val="31969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DE0231"/>
    <w:multiLevelType w:val="multilevel"/>
    <w:tmpl w:val="6E78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645667"/>
    <w:multiLevelType w:val="multilevel"/>
    <w:tmpl w:val="01509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EC4EE9"/>
    <w:multiLevelType w:val="multilevel"/>
    <w:tmpl w:val="236E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0553F5"/>
    <w:multiLevelType w:val="multilevel"/>
    <w:tmpl w:val="5470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38733">
    <w:abstractNumId w:val="10"/>
  </w:num>
  <w:num w:numId="2" w16cid:durableId="1049301151">
    <w:abstractNumId w:val="5"/>
  </w:num>
  <w:num w:numId="3" w16cid:durableId="35083898">
    <w:abstractNumId w:val="16"/>
  </w:num>
  <w:num w:numId="4" w16cid:durableId="1151599996">
    <w:abstractNumId w:val="0"/>
  </w:num>
  <w:num w:numId="5" w16cid:durableId="597103013">
    <w:abstractNumId w:val="7"/>
  </w:num>
  <w:num w:numId="6" w16cid:durableId="295568233">
    <w:abstractNumId w:val="3"/>
  </w:num>
  <w:num w:numId="7" w16cid:durableId="1445539347">
    <w:abstractNumId w:val="18"/>
  </w:num>
  <w:num w:numId="8" w16cid:durableId="1826050774">
    <w:abstractNumId w:val="15"/>
  </w:num>
  <w:num w:numId="9" w16cid:durableId="963846137">
    <w:abstractNumId w:val="8"/>
  </w:num>
  <w:num w:numId="10" w16cid:durableId="1325935749">
    <w:abstractNumId w:val="13"/>
  </w:num>
  <w:num w:numId="11" w16cid:durableId="1816605140">
    <w:abstractNumId w:val="6"/>
  </w:num>
  <w:num w:numId="12" w16cid:durableId="706294492">
    <w:abstractNumId w:val="17"/>
  </w:num>
  <w:num w:numId="13" w16cid:durableId="645359394">
    <w:abstractNumId w:val="11"/>
  </w:num>
  <w:num w:numId="14" w16cid:durableId="1134953398">
    <w:abstractNumId w:val="2"/>
  </w:num>
  <w:num w:numId="15" w16cid:durableId="723527640">
    <w:abstractNumId w:val="20"/>
  </w:num>
  <w:num w:numId="16" w16cid:durableId="484857359">
    <w:abstractNumId w:val="1"/>
  </w:num>
  <w:num w:numId="17" w16cid:durableId="301154375">
    <w:abstractNumId w:val="4"/>
  </w:num>
  <w:num w:numId="18" w16cid:durableId="2137793914">
    <w:abstractNumId w:val="9"/>
  </w:num>
  <w:num w:numId="19" w16cid:durableId="1396777995">
    <w:abstractNumId w:val="22"/>
  </w:num>
  <w:num w:numId="20" w16cid:durableId="1892843146">
    <w:abstractNumId w:val="19"/>
  </w:num>
  <w:num w:numId="21" w16cid:durableId="1280837955">
    <w:abstractNumId w:val="12"/>
  </w:num>
  <w:num w:numId="22" w16cid:durableId="152724129">
    <w:abstractNumId w:val="21"/>
  </w:num>
  <w:num w:numId="23" w16cid:durableId="7136215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8D9"/>
    <w:rsid w:val="00000274"/>
    <w:rsid w:val="000064AC"/>
    <w:rsid w:val="0003716C"/>
    <w:rsid w:val="00092970"/>
    <w:rsid w:val="000B2242"/>
    <w:rsid w:val="000B786D"/>
    <w:rsid w:val="000C2817"/>
    <w:rsid w:val="000C3E44"/>
    <w:rsid w:val="000D7F86"/>
    <w:rsid w:val="00107985"/>
    <w:rsid w:val="00121D59"/>
    <w:rsid w:val="00122DCA"/>
    <w:rsid w:val="00137B29"/>
    <w:rsid w:val="00144AE4"/>
    <w:rsid w:val="00164A7D"/>
    <w:rsid w:val="001711D8"/>
    <w:rsid w:val="00181493"/>
    <w:rsid w:val="001A5C57"/>
    <w:rsid w:val="001E572E"/>
    <w:rsid w:val="00214DCE"/>
    <w:rsid w:val="0022221F"/>
    <w:rsid w:val="00245EBE"/>
    <w:rsid w:val="00294B24"/>
    <w:rsid w:val="002A75E1"/>
    <w:rsid w:val="002B27E5"/>
    <w:rsid w:val="002B73F2"/>
    <w:rsid w:val="002C3470"/>
    <w:rsid w:val="002D19FA"/>
    <w:rsid w:val="002E551A"/>
    <w:rsid w:val="003265A5"/>
    <w:rsid w:val="003B0C8A"/>
    <w:rsid w:val="003B1051"/>
    <w:rsid w:val="003D5845"/>
    <w:rsid w:val="00413481"/>
    <w:rsid w:val="004228D4"/>
    <w:rsid w:val="00484589"/>
    <w:rsid w:val="004B1B32"/>
    <w:rsid w:val="004C6A23"/>
    <w:rsid w:val="004E710F"/>
    <w:rsid w:val="004F616A"/>
    <w:rsid w:val="0052331B"/>
    <w:rsid w:val="0055176B"/>
    <w:rsid w:val="00585887"/>
    <w:rsid w:val="00586D53"/>
    <w:rsid w:val="005B1FD8"/>
    <w:rsid w:val="005B5B13"/>
    <w:rsid w:val="005C7585"/>
    <w:rsid w:val="005D255E"/>
    <w:rsid w:val="00622100"/>
    <w:rsid w:val="00653402"/>
    <w:rsid w:val="00656D75"/>
    <w:rsid w:val="00662200"/>
    <w:rsid w:val="00662B9D"/>
    <w:rsid w:val="00685C06"/>
    <w:rsid w:val="006A1929"/>
    <w:rsid w:val="006B042F"/>
    <w:rsid w:val="006B450C"/>
    <w:rsid w:val="006D0BCC"/>
    <w:rsid w:val="006F00B1"/>
    <w:rsid w:val="00722538"/>
    <w:rsid w:val="00740934"/>
    <w:rsid w:val="00754A60"/>
    <w:rsid w:val="00760D0C"/>
    <w:rsid w:val="00762DBA"/>
    <w:rsid w:val="00774E98"/>
    <w:rsid w:val="00794EF5"/>
    <w:rsid w:val="007D1157"/>
    <w:rsid w:val="007D1A21"/>
    <w:rsid w:val="007F4F4E"/>
    <w:rsid w:val="008311FD"/>
    <w:rsid w:val="008379E3"/>
    <w:rsid w:val="00845123"/>
    <w:rsid w:val="008455BD"/>
    <w:rsid w:val="00862052"/>
    <w:rsid w:val="008A1D64"/>
    <w:rsid w:val="008A7D6B"/>
    <w:rsid w:val="008C6B7D"/>
    <w:rsid w:val="008C7C72"/>
    <w:rsid w:val="008E6EC7"/>
    <w:rsid w:val="008F6FC5"/>
    <w:rsid w:val="00900709"/>
    <w:rsid w:val="009110CB"/>
    <w:rsid w:val="00925173"/>
    <w:rsid w:val="00927E29"/>
    <w:rsid w:val="00941D4E"/>
    <w:rsid w:val="00952238"/>
    <w:rsid w:val="00963172"/>
    <w:rsid w:val="00976290"/>
    <w:rsid w:val="00995CF1"/>
    <w:rsid w:val="009B74C1"/>
    <w:rsid w:val="009C1F54"/>
    <w:rsid w:val="009E468F"/>
    <w:rsid w:val="009F602C"/>
    <w:rsid w:val="00A011D1"/>
    <w:rsid w:val="00A816F5"/>
    <w:rsid w:val="00A86662"/>
    <w:rsid w:val="00AB0BBF"/>
    <w:rsid w:val="00AC3C4A"/>
    <w:rsid w:val="00AD28F6"/>
    <w:rsid w:val="00AD41DB"/>
    <w:rsid w:val="00B3305B"/>
    <w:rsid w:val="00B33DDF"/>
    <w:rsid w:val="00B3699D"/>
    <w:rsid w:val="00B72F46"/>
    <w:rsid w:val="00B81791"/>
    <w:rsid w:val="00B86559"/>
    <w:rsid w:val="00B90C49"/>
    <w:rsid w:val="00C04E20"/>
    <w:rsid w:val="00C6360C"/>
    <w:rsid w:val="00C72344"/>
    <w:rsid w:val="00C938D9"/>
    <w:rsid w:val="00C978AF"/>
    <w:rsid w:val="00CB6007"/>
    <w:rsid w:val="00CD4053"/>
    <w:rsid w:val="00CE6921"/>
    <w:rsid w:val="00D3661F"/>
    <w:rsid w:val="00D676FF"/>
    <w:rsid w:val="00D67EEE"/>
    <w:rsid w:val="00DA0F6B"/>
    <w:rsid w:val="00DD02C6"/>
    <w:rsid w:val="00DD5C32"/>
    <w:rsid w:val="00DE4D1B"/>
    <w:rsid w:val="00DE5509"/>
    <w:rsid w:val="00DE64C6"/>
    <w:rsid w:val="00DF59B1"/>
    <w:rsid w:val="00DF7E24"/>
    <w:rsid w:val="00E02DB4"/>
    <w:rsid w:val="00E4516A"/>
    <w:rsid w:val="00E61BA3"/>
    <w:rsid w:val="00E7180F"/>
    <w:rsid w:val="00E77BD0"/>
    <w:rsid w:val="00EA4C29"/>
    <w:rsid w:val="00EE7F48"/>
    <w:rsid w:val="00F72948"/>
    <w:rsid w:val="00F839F5"/>
    <w:rsid w:val="00F918A6"/>
    <w:rsid w:val="00F94889"/>
    <w:rsid w:val="00FA6A16"/>
    <w:rsid w:val="00FB5189"/>
    <w:rsid w:val="00FC017B"/>
    <w:rsid w:val="00FD31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9D4ED"/>
  <w15:chartTrackingRefBased/>
  <w15:docId w15:val="{23631478-D57B-4BC7-A07E-EC078D945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8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38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8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8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8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8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8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8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8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8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38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8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8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8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8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8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8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8D9"/>
    <w:rPr>
      <w:rFonts w:eastAsiaTheme="majorEastAsia" w:cstheme="majorBidi"/>
      <w:color w:val="272727" w:themeColor="text1" w:themeTint="D8"/>
    </w:rPr>
  </w:style>
  <w:style w:type="paragraph" w:styleId="Title">
    <w:name w:val="Title"/>
    <w:basedOn w:val="Normal"/>
    <w:next w:val="Normal"/>
    <w:link w:val="TitleChar"/>
    <w:uiPriority w:val="10"/>
    <w:qFormat/>
    <w:rsid w:val="00C93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8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8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8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8D9"/>
    <w:pPr>
      <w:spacing w:before="160"/>
      <w:jc w:val="center"/>
    </w:pPr>
    <w:rPr>
      <w:i/>
      <w:iCs/>
      <w:color w:val="404040" w:themeColor="text1" w:themeTint="BF"/>
    </w:rPr>
  </w:style>
  <w:style w:type="character" w:customStyle="1" w:styleId="QuoteChar">
    <w:name w:val="Quote Char"/>
    <w:basedOn w:val="DefaultParagraphFont"/>
    <w:link w:val="Quote"/>
    <w:uiPriority w:val="29"/>
    <w:rsid w:val="00C938D9"/>
    <w:rPr>
      <w:i/>
      <w:iCs/>
      <w:color w:val="404040" w:themeColor="text1" w:themeTint="BF"/>
    </w:rPr>
  </w:style>
  <w:style w:type="paragraph" w:styleId="ListParagraph">
    <w:name w:val="List Paragraph"/>
    <w:basedOn w:val="Normal"/>
    <w:uiPriority w:val="34"/>
    <w:qFormat/>
    <w:rsid w:val="00C938D9"/>
    <w:pPr>
      <w:ind w:left="720"/>
      <w:contextualSpacing/>
    </w:pPr>
  </w:style>
  <w:style w:type="character" w:styleId="IntenseEmphasis">
    <w:name w:val="Intense Emphasis"/>
    <w:basedOn w:val="DefaultParagraphFont"/>
    <w:uiPriority w:val="21"/>
    <w:qFormat/>
    <w:rsid w:val="00C938D9"/>
    <w:rPr>
      <w:i/>
      <w:iCs/>
      <w:color w:val="0F4761" w:themeColor="accent1" w:themeShade="BF"/>
    </w:rPr>
  </w:style>
  <w:style w:type="paragraph" w:styleId="IntenseQuote">
    <w:name w:val="Intense Quote"/>
    <w:basedOn w:val="Normal"/>
    <w:next w:val="Normal"/>
    <w:link w:val="IntenseQuoteChar"/>
    <w:uiPriority w:val="30"/>
    <w:qFormat/>
    <w:rsid w:val="00C938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8D9"/>
    <w:rPr>
      <w:i/>
      <w:iCs/>
      <w:color w:val="0F4761" w:themeColor="accent1" w:themeShade="BF"/>
    </w:rPr>
  </w:style>
  <w:style w:type="character" w:styleId="IntenseReference">
    <w:name w:val="Intense Reference"/>
    <w:basedOn w:val="DefaultParagraphFont"/>
    <w:uiPriority w:val="32"/>
    <w:qFormat/>
    <w:rsid w:val="00C938D9"/>
    <w:rPr>
      <w:b/>
      <w:bCs/>
      <w:smallCaps/>
      <w:color w:val="0F4761" w:themeColor="accent1" w:themeShade="BF"/>
      <w:spacing w:val="5"/>
    </w:rPr>
  </w:style>
  <w:style w:type="paragraph" w:styleId="NormalWeb">
    <w:name w:val="Normal (Web)"/>
    <w:basedOn w:val="Normal"/>
    <w:uiPriority w:val="99"/>
    <w:semiHidden/>
    <w:unhideWhenUsed/>
    <w:rsid w:val="002E551A"/>
    <w:rPr>
      <w:rFonts w:ascii="Times New Roman" w:hAnsi="Times New Roman" w:cs="Times New Roman"/>
    </w:rPr>
  </w:style>
  <w:style w:type="character" w:styleId="Hyperlink">
    <w:name w:val="Hyperlink"/>
    <w:basedOn w:val="DefaultParagraphFont"/>
    <w:uiPriority w:val="99"/>
    <w:unhideWhenUsed/>
    <w:rsid w:val="00DA0F6B"/>
    <w:rPr>
      <w:color w:val="467886" w:themeColor="hyperlink"/>
      <w:u w:val="single"/>
    </w:rPr>
  </w:style>
  <w:style w:type="character" w:styleId="UnresolvedMention">
    <w:name w:val="Unresolved Mention"/>
    <w:basedOn w:val="DefaultParagraphFont"/>
    <w:uiPriority w:val="99"/>
    <w:semiHidden/>
    <w:unhideWhenUsed/>
    <w:rsid w:val="00DA0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159">
      <w:bodyDiv w:val="1"/>
      <w:marLeft w:val="0"/>
      <w:marRight w:val="0"/>
      <w:marTop w:val="0"/>
      <w:marBottom w:val="0"/>
      <w:divBdr>
        <w:top w:val="none" w:sz="0" w:space="0" w:color="auto"/>
        <w:left w:val="none" w:sz="0" w:space="0" w:color="auto"/>
        <w:bottom w:val="none" w:sz="0" w:space="0" w:color="auto"/>
        <w:right w:val="none" w:sz="0" w:space="0" w:color="auto"/>
      </w:divBdr>
    </w:div>
    <w:div w:id="25299140">
      <w:bodyDiv w:val="1"/>
      <w:marLeft w:val="0"/>
      <w:marRight w:val="0"/>
      <w:marTop w:val="0"/>
      <w:marBottom w:val="0"/>
      <w:divBdr>
        <w:top w:val="none" w:sz="0" w:space="0" w:color="auto"/>
        <w:left w:val="none" w:sz="0" w:space="0" w:color="auto"/>
        <w:bottom w:val="none" w:sz="0" w:space="0" w:color="auto"/>
        <w:right w:val="none" w:sz="0" w:space="0" w:color="auto"/>
      </w:divBdr>
    </w:div>
    <w:div w:id="140968456">
      <w:bodyDiv w:val="1"/>
      <w:marLeft w:val="0"/>
      <w:marRight w:val="0"/>
      <w:marTop w:val="0"/>
      <w:marBottom w:val="0"/>
      <w:divBdr>
        <w:top w:val="none" w:sz="0" w:space="0" w:color="auto"/>
        <w:left w:val="none" w:sz="0" w:space="0" w:color="auto"/>
        <w:bottom w:val="none" w:sz="0" w:space="0" w:color="auto"/>
        <w:right w:val="none" w:sz="0" w:space="0" w:color="auto"/>
      </w:divBdr>
    </w:div>
    <w:div w:id="143860561">
      <w:bodyDiv w:val="1"/>
      <w:marLeft w:val="0"/>
      <w:marRight w:val="0"/>
      <w:marTop w:val="0"/>
      <w:marBottom w:val="0"/>
      <w:divBdr>
        <w:top w:val="none" w:sz="0" w:space="0" w:color="auto"/>
        <w:left w:val="none" w:sz="0" w:space="0" w:color="auto"/>
        <w:bottom w:val="none" w:sz="0" w:space="0" w:color="auto"/>
        <w:right w:val="none" w:sz="0" w:space="0" w:color="auto"/>
      </w:divBdr>
    </w:div>
    <w:div w:id="146636326">
      <w:bodyDiv w:val="1"/>
      <w:marLeft w:val="0"/>
      <w:marRight w:val="0"/>
      <w:marTop w:val="0"/>
      <w:marBottom w:val="0"/>
      <w:divBdr>
        <w:top w:val="none" w:sz="0" w:space="0" w:color="auto"/>
        <w:left w:val="none" w:sz="0" w:space="0" w:color="auto"/>
        <w:bottom w:val="none" w:sz="0" w:space="0" w:color="auto"/>
        <w:right w:val="none" w:sz="0" w:space="0" w:color="auto"/>
      </w:divBdr>
    </w:div>
    <w:div w:id="179004098">
      <w:bodyDiv w:val="1"/>
      <w:marLeft w:val="0"/>
      <w:marRight w:val="0"/>
      <w:marTop w:val="0"/>
      <w:marBottom w:val="0"/>
      <w:divBdr>
        <w:top w:val="none" w:sz="0" w:space="0" w:color="auto"/>
        <w:left w:val="none" w:sz="0" w:space="0" w:color="auto"/>
        <w:bottom w:val="none" w:sz="0" w:space="0" w:color="auto"/>
        <w:right w:val="none" w:sz="0" w:space="0" w:color="auto"/>
      </w:divBdr>
    </w:div>
    <w:div w:id="230164140">
      <w:bodyDiv w:val="1"/>
      <w:marLeft w:val="0"/>
      <w:marRight w:val="0"/>
      <w:marTop w:val="0"/>
      <w:marBottom w:val="0"/>
      <w:divBdr>
        <w:top w:val="none" w:sz="0" w:space="0" w:color="auto"/>
        <w:left w:val="none" w:sz="0" w:space="0" w:color="auto"/>
        <w:bottom w:val="none" w:sz="0" w:space="0" w:color="auto"/>
        <w:right w:val="none" w:sz="0" w:space="0" w:color="auto"/>
      </w:divBdr>
    </w:div>
    <w:div w:id="369187849">
      <w:bodyDiv w:val="1"/>
      <w:marLeft w:val="0"/>
      <w:marRight w:val="0"/>
      <w:marTop w:val="0"/>
      <w:marBottom w:val="0"/>
      <w:divBdr>
        <w:top w:val="none" w:sz="0" w:space="0" w:color="auto"/>
        <w:left w:val="none" w:sz="0" w:space="0" w:color="auto"/>
        <w:bottom w:val="none" w:sz="0" w:space="0" w:color="auto"/>
        <w:right w:val="none" w:sz="0" w:space="0" w:color="auto"/>
      </w:divBdr>
    </w:div>
    <w:div w:id="374621844">
      <w:bodyDiv w:val="1"/>
      <w:marLeft w:val="0"/>
      <w:marRight w:val="0"/>
      <w:marTop w:val="0"/>
      <w:marBottom w:val="0"/>
      <w:divBdr>
        <w:top w:val="none" w:sz="0" w:space="0" w:color="auto"/>
        <w:left w:val="none" w:sz="0" w:space="0" w:color="auto"/>
        <w:bottom w:val="none" w:sz="0" w:space="0" w:color="auto"/>
        <w:right w:val="none" w:sz="0" w:space="0" w:color="auto"/>
      </w:divBdr>
    </w:div>
    <w:div w:id="400522438">
      <w:bodyDiv w:val="1"/>
      <w:marLeft w:val="0"/>
      <w:marRight w:val="0"/>
      <w:marTop w:val="0"/>
      <w:marBottom w:val="0"/>
      <w:divBdr>
        <w:top w:val="none" w:sz="0" w:space="0" w:color="auto"/>
        <w:left w:val="none" w:sz="0" w:space="0" w:color="auto"/>
        <w:bottom w:val="none" w:sz="0" w:space="0" w:color="auto"/>
        <w:right w:val="none" w:sz="0" w:space="0" w:color="auto"/>
      </w:divBdr>
    </w:div>
    <w:div w:id="417988629">
      <w:bodyDiv w:val="1"/>
      <w:marLeft w:val="0"/>
      <w:marRight w:val="0"/>
      <w:marTop w:val="0"/>
      <w:marBottom w:val="0"/>
      <w:divBdr>
        <w:top w:val="none" w:sz="0" w:space="0" w:color="auto"/>
        <w:left w:val="none" w:sz="0" w:space="0" w:color="auto"/>
        <w:bottom w:val="none" w:sz="0" w:space="0" w:color="auto"/>
        <w:right w:val="none" w:sz="0" w:space="0" w:color="auto"/>
      </w:divBdr>
    </w:div>
    <w:div w:id="465858305">
      <w:bodyDiv w:val="1"/>
      <w:marLeft w:val="0"/>
      <w:marRight w:val="0"/>
      <w:marTop w:val="0"/>
      <w:marBottom w:val="0"/>
      <w:divBdr>
        <w:top w:val="none" w:sz="0" w:space="0" w:color="auto"/>
        <w:left w:val="none" w:sz="0" w:space="0" w:color="auto"/>
        <w:bottom w:val="none" w:sz="0" w:space="0" w:color="auto"/>
        <w:right w:val="none" w:sz="0" w:space="0" w:color="auto"/>
      </w:divBdr>
    </w:div>
    <w:div w:id="549805239">
      <w:bodyDiv w:val="1"/>
      <w:marLeft w:val="0"/>
      <w:marRight w:val="0"/>
      <w:marTop w:val="0"/>
      <w:marBottom w:val="0"/>
      <w:divBdr>
        <w:top w:val="none" w:sz="0" w:space="0" w:color="auto"/>
        <w:left w:val="none" w:sz="0" w:space="0" w:color="auto"/>
        <w:bottom w:val="none" w:sz="0" w:space="0" w:color="auto"/>
        <w:right w:val="none" w:sz="0" w:space="0" w:color="auto"/>
      </w:divBdr>
    </w:div>
    <w:div w:id="554463837">
      <w:bodyDiv w:val="1"/>
      <w:marLeft w:val="0"/>
      <w:marRight w:val="0"/>
      <w:marTop w:val="0"/>
      <w:marBottom w:val="0"/>
      <w:divBdr>
        <w:top w:val="none" w:sz="0" w:space="0" w:color="auto"/>
        <w:left w:val="none" w:sz="0" w:space="0" w:color="auto"/>
        <w:bottom w:val="none" w:sz="0" w:space="0" w:color="auto"/>
        <w:right w:val="none" w:sz="0" w:space="0" w:color="auto"/>
      </w:divBdr>
    </w:div>
    <w:div w:id="666633094">
      <w:bodyDiv w:val="1"/>
      <w:marLeft w:val="0"/>
      <w:marRight w:val="0"/>
      <w:marTop w:val="0"/>
      <w:marBottom w:val="0"/>
      <w:divBdr>
        <w:top w:val="none" w:sz="0" w:space="0" w:color="auto"/>
        <w:left w:val="none" w:sz="0" w:space="0" w:color="auto"/>
        <w:bottom w:val="none" w:sz="0" w:space="0" w:color="auto"/>
        <w:right w:val="none" w:sz="0" w:space="0" w:color="auto"/>
      </w:divBdr>
    </w:div>
    <w:div w:id="707223509">
      <w:bodyDiv w:val="1"/>
      <w:marLeft w:val="0"/>
      <w:marRight w:val="0"/>
      <w:marTop w:val="0"/>
      <w:marBottom w:val="0"/>
      <w:divBdr>
        <w:top w:val="none" w:sz="0" w:space="0" w:color="auto"/>
        <w:left w:val="none" w:sz="0" w:space="0" w:color="auto"/>
        <w:bottom w:val="none" w:sz="0" w:space="0" w:color="auto"/>
        <w:right w:val="none" w:sz="0" w:space="0" w:color="auto"/>
      </w:divBdr>
    </w:div>
    <w:div w:id="793986374">
      <w:bodyDiv w:val="1"/>
      <w:marLeft w:val="0"/>
      <w:marRight w:val="0"/>
      <w:marTop w:val="0"/>
      <w:marBottom w:val="0"/>
      <w:divBdr>
        <w:top w:val="none" w:sz="0" w:space="0" w:color="auto"/>
        <w:left w:val="none" w:sz="0" w:space="0" w:color="auto"/>
        <w:bottom w:val="none" w:sz="0" w:space="0" w:color="auto"/>
        <w:right w:val="none" w:sz="0" w:space="0" w:color="auto"/>
      </w:divBdr>
    </w:div>
    <w:div w:id="804813490">
      <w:bodyDiv w:val="1"/>
      <w:marLeft w:val="0"/>
      <w:marRight w:val="0"/>
      <w:marTop w:val="0"/>
      <w:marBottom w:val="0"/>
      <w:divBdr>
        <w:top w:val="none" w:sz="0" w:space="0" w:color="auto"/>
        <w:left w:val="none" w:sz="0" w:space="0" w:color="auto"/>
        <w:bottom w:val="none" w:sz="0" w:space="0" w:color="auto"/>
        <w:right w:val="none" w:sz="0" w:space="0" w:color="auto"/>
      </w:divBdr>
    </w:div>
    <w:div w:id="870073459">
      <w:bodyDiv w:val="1"/>
      <w:marLeft w:val="0"/>
      <w:marRight w:val="0"/>
      <w:marTop w:val="0"/>
      <w:marBottom w:val="0"/>
      <w:divBdr>
        <w:top w:val="none" w:sz="0" w:space="0" w:color="auto"/>
        <w:left w:val="none" w:sz="0" w:space="0" w:color="auto"/>
        <w:bottom w:val="none" w:sz="0" w:space="0" w:color="auto"/>
        <w:right w:val="none" w:sz="0" w:space="0" w:color="auto"/>
      </w:divBdr>
    </w:div>
    <w:div w:id="886986691">
      <w:bodyDiv w:val="1"/>
      <w:marLeft w:val="0"/>
      <w:marRight w:val="0"/>
      <w:marTop w:val="0"/>
      <w:marBottom w:val="0"/>
      <w:divBdr>
        <w:top w:val="none" w:sz="0" w:space="0" w:color="auto"/>
        <w:left w:val="none" w:sz="0" w:space="0" w:color="auto"/>
        <w:bottom w:val="none" w:sz="0" w:space="0" w:color="auto"/>
        <w:right w:val="none" w:sz="0" w:space="0" w:color="auto"/>
      </w:divBdr>
    </w:div>
    <w:div w:id="895582123">
      <w:bodyDiv w:val="1"/>
      <w:marLeft w:val="0"/>
      <w:marRight w:val="0"/>
      <w:marTop w:val="0"/>
      <w:marBottom w:val="0"/>
      <w:divBdr>
        <w:top w:val="none" w:sz="0" w:space="0" w:color="auto"/>
        <w:left w:val="none" w:sz="0" w:space="0" w:color="auto"/>
        <w:bottom w:val="none" w:sz="0" w:space="0" w:color="auto"/>
        <w:right w:val="none" w:sz="0" w:space="0" w:color="auto"/>
      </w:divBdr>
    </w:div>
    <w:div w:id="921765199">
      <w:bodyDiv w:val="1"/>
      <w:marLeft w:val="0"/>
      <w:marRight w:val="0"/>
      <w:marTop w:val="0"/>
      <w:marBottom w:val="0"/>
      <w:divBdr>
        <w:top w:val="none" w:sz="0" w:space="0" w:color="auto"/>
        <w:left w:val="none" w:sz="0" w:space="0" w:color="auto"/>
        <w:bottom w:val="none" w:sz="0" w:space="0" w:color="auto"/>
        <w:right w:val="none" w:sz="0" w:space="0" w:color="auto"/>
      </w:divBdr>
    </w:div>
    <w:div w:id="944967368">
      <w:bodyDiv w:val="1"/>
      <w:marLeft w:val="0"/>
      <w:marRight w:val="0"/>
      <w:marTop w:val="0"/>
      <w:marBottom w:val="0"/>
      <w:divBdr>
        <w:top w:val="none" w:sz="0" w:space="0" w:color="auto"/>
        <w:left w:val="none" w:sz="0" w:space="0" w:color="auto"/>
        <w:bottom w:val="none" w:sz="0" w:space="0" w:color="auto"/>
        <w:right w:val="none" w:sz="0" w:space="0" w:color="auto"/>
      </w:divBdr>
    </w:div>
    <w:div w:id="976569051">
      <w:bodyDiv w:val="1"/>
      <w:marLeft w:val="0"/>
      <w:marRight w:val="0"/>
      <w:marTop w:val="0"/>
      <w:marBottom w:val="0"/>
      <w:divBdr>
        <w:top w:val="none" w:sz="0" w:space="0" w:color="auto"/>
        <w:left w:val="none" w:sz="0" w:space="0" w:color="auto"/>
        <w:bottom w:val="none" w:sz="0" w:space="0" w:color="auto"/>
        <w:right w:val="none" w:sz="0" w:space="0" w:color="auto"/>
      </w:divBdr>
    </w:div>
    <w:div w:id="995457859">
      <w:bodyDiv w:val="1"/>
      <w:marLeft w:val="0"/>
      <w:marRight w:val="0"/>
      <w:marTop w:val="0"/>
      <w:marBottom w:val="0"/>
      <w:divBdr>
        <w:top w:val="none" w:sz="0" w:space="0" w:color="auto"/>
        <w:left w:val="none" w:sz="0" w:space="0" w:color="auto"/>
        <w:bottom w:val="none" w:sz="0" w:space="0" w:color="auto"/>
        <w:right w:val="none" w:sz="0" w:space="0" w:color="auto"/>
      </w:divBdr>
    </w:div>
    <w:div w:id="1061170462">
      <w:bodyDiv w:val="1"/>
      <w:marLeft w:val="0"/>
      <w:marRight w:val="0"/>
      <w:marTop w:val="0"/>
      <w:marBottom w:val="0"/>
      <w:divBdr>
        <w:top w:val="none" w:sz="0" w:space="0" w:color="auto"/>
        <w:left w:val="none" w:sz="0" w:space="0" w:color="auto"/>
        <w:bottom w:val="none" w:sz="0" w:space="0" w:color="auto"/>
        <w:right w:val="none" w:sz="0" w:space="0" w:color="auto"/>
      </w:divBdr>
    </w:div>
    <w:div w:id="1067265776">
      <w:bodyDiv w:val="1"/>
      <w:marLeft w:val="0"/>
      <w:marRight w:val="0"/>
      <w:marTop w:val="0"/>
      <w:marBottom w:val="0"/>
      <w:divBdr>
        <w:top w:val="none" w:sz="0" w:space="0" w:color="auto"/>
        <w:left w:val="none" w:sz="0" w:space="0" w:color="auto"/>
        <w:bottom w:val="none" w:sz="0" w:space="0" w:color="auto"/>
        <w:right w:val="none" w:sz="0" w:space="0" w:color="auto"/>
      </w:divBdr>
    </w:div>
    <w:div w:id="1085766386">
      <w:bodyDiv w:val="1"/>
      <w:marLeft w:val="0"/>
      <w:marRight w:val="0"/>
      <w:marTop w:val="0"/>
      <w:marBottom w:val="0"/>
      <w:divBdr>
        <w:top w:val="none" w:sz="0" w:space="0" w:color="auto"/>
        <w:left w:val="none" w:sz="0" w:space="0" w:color="auto"/>
        <w:bottom w:val="none" w:sz="0" w:space="0" w:color="auto"/>
        <w:right w:val="none" w:sz="0" w:space="0" w:color="auto"/>
      </w:divBdr>
    </w:div>
    <w:div w:id="1218584635">
      <w:bodyDiv w:val="1"/>
      <w:marLeft w:val="0"/>
      <w:marRight w:val="0"/>
      <w:marTop w:val="0"/>
      <w:marBottom w:val="0"/>
      <w:divBdr>
        <w:top w:val="none" w:sz="0" w:space="0" w:color="auto"/>
        <w:left w:val="none" w:sz="0" w:space="0" w:color="auto"/>
        <w:bottom w:val="none" w:sz="0" w:space="0" w:color="auto"/>
        <w:right w:val="none" w:sz="0" w:space="0" w:color="auto"/>
      </w:divBdr>
    </w:div>
    <w:div w:id="1259562651">
      <w:bodyDiv w:val="1"/>
      <w:marLeft w:val="0"/>
      <w:marRight w:val="0"/>
      <w:marTop w:val="0"/>
      <w:marBottom w:val="0"/>
      <w:divBdr>
        <w:top w:val="none" w:sz="0" w:space="0" w:color="auto"/>
        <w:left w:val="none" w:sz="0" w:space="0" w:color="auto"/>
        <w:bottom w:val="none" w:sz="0" w:space="0" w:color="auto"/>
        <w:right w:val="none" w:sz="0" w:space="0" w:color="auto"/>
      </w:divBdr>
    </w:div>
    <w:div w:id="1274483128">
      <w:bodyDiv w:val="1"/>
      <w:marLeft w:val="0"/>
      <w:marRight w:val="0"/>
      <w:marTop w:val="0"/>
      <w:marBottom w:val="0"/>
      <w:divBdr>
        <w:top w:val="none" w:sz="0" w:space="0" w:color="auto"/>
        <w:left w:val="none" w:sz="0" w:space="0" w:color="auto"/>
        <w:bottom w:val="none" w:sz="0" w:space="0" w:color="auto"/>
        <w:right w:val="none" w:sz="0" w:space="0" w:color="auto"/>
      </w:divBdr>
    </w:div>
    <w:div w:id="1415008769">
      <w:bodyDiv w:val="1"/>
      <w:marLeft w:val="0"/>
      <w:marRight w:val="0"/>
      <w:marTop w:val="0"/>
      <w:marBottom w:val="0"/>
      <w:divBdr>
        <w:top w:val="none" w:sz="0" w:space="0" w:color="auto"/>
        <w:left w:val="none" w:sz="0" w:space="0" w:color="auto"/>
        <w:bottom w:val="none" w:sz="0" w:space="0" w:color="auto"/>
        <w:right w:val="none" w:sz="0" w:space="0" w:color="auto"/>
      </w:divBdr>
    </w:div>
    <w:div w:id="1464691817">
      <w:bodyDiv w:val="1"/>
      <w:marLeft w:val="0"/>
      <w:marRight w:val="0"/>
      <w:marTop w:val="0"/>
      <w:marBottom w:val="0"/>
      <w:divBdr>
        <w:top w:val="none" w:sz="0" w:space="0" w:color="auto"/>
        <w:left w:val="none" w:sz="0" w:space="0" w:color="auto"/>
        <w:bottom w:val="none" w:sz="0" w:space="0" w:color="auto"/>
        <w:right w:val="none" w:sz="0" w:space="0" w:color="auto"/>
      </w:divBdr>
    </w:div>
    <w:div w:id="1476144704">
      <w:bodyDiv w:val="1"/>
      <w:marLeft w:val="0"/>
      <w:marRight w:val="0"/>
      <w:marTop w:val="0"/>
      <w:marBottom w:val="0"/>
      <w:divBdr>
        <w:top w:val="none" w:sz="0" w:space="0" w:color="auto"/>
        <w:left w:val="none" w:sz="0" w:space="0" w:color="auto"/>
        <w:bottom w:val="none" w:sz="0" w:space="0" w:color="auto"/>
        <w:right w:val="none" w:sz="0" w:space="0" w:color="auto"/>
      </w:divBdr>
    </w:div>
    <w:div w:id="1488982965">
      <w:bodyDiv w:val="1"/>
      <w:marLeft w:val="0"/>
      <w:marRight w:val="0"/>
      <w:marTop w:val="0"/>
      <w:marBottom w:val="0"/>
      <w:divBdr>
        <w:top w:val="none" w:sz="0" w:space="0" w:color="auto"/>
        <w:left w:val="none" w:sz="0" w:space="0" w:color="auto"/>
        <w:bottom w:val="none" w:sz="0" w:space="0" w:color="auto"/>
        <w:right w:val="none" w:sz="0" w:space="0" w:color="auto"/>
      </w:divBdr>
    </w:div>
    <w:div w:id="1489980002">
      <w:bodyDiv w:val="1"/>
      <w:marLeft w:val="0"/>
      <w:marRight w:val="0"/>
      <w:marTop w:val="0"/>
      <w:marBottom w:val="0"/>
      <w:divBdr>
        <w:top w:val="none" w:sz="0" w:space="0" w:color="auto"/>
        <w:left w:val="none" w:sz="0" w:space="0" w:color="auto"/>
        <w:bottom w:val="none" w:sz="0" w:space="0" w:color="auto"/>
        <w:right w:val="none" w:sz="0" w:space="0" w:color="auto"/>
      </w:divBdr>
    </w:div>
    <w:div w:id="1575748562">
      <w:bodyDiv w:val="1"/>
      <w:marLeft w:val="0"/>
      <w:marRight w:val="0"/>
      <w:marTop w:val="0"/>
      <w:marBottom w:val="0"/>
      <w:divBdr>
        <w:top w:val="none" w:sz="0" w:space="0" w:color="auto"/>
        <w:left w:val="none" w:sz="0" w:space="0" w:color="auto"/>
        <w:bottom w:val="none" w:sz="0" w:space="0" w:color="auto"/>
        <w:right w:val="none" w:sz="0" w:space="0" w:color="auto"/>
      </w:divBdr>
    </w:div>
    <w:div w:id="1715539597">
      <w:bodyDiv w:val="1"/>
      <w:marLeft w:val="0"/>
      <w:marRight w:val="0"/>
      <w:marTop w:val="0"/>
      <w:marBottom w:val="0"/>
      <w:divBdr>
        <w:top w:val="none" w:sz="0" w:space="0" w:color="auto"/>
        <w:left w:val="none" w:sz="0" w:space="0" w:color="auto"/>
        <w:bottom w:val="none" w:sz="0" w:space="0" w:color="auto"/>
        <w:right w:val="none" w:sz="0" w:space="0" w:color="auto"/>
      </w:divBdr>
    </w:div>
    <w:div w:id="1719356108">
      <w:bodyDiv w:val="1"/>
      <w:marLeft w:val="0"/>
      <w:marRight w:val="0"/>
      <w:marTop w:val="0"/>
      <w:marBottom w:val="0"/>
      <w:divBdr>
        <w:top w:val="none" w:sz="0" w:space="0" w:color="auto"/>
        <w:left w:val="none" w:sz="0" w:space="0" w:color="auto"/>
        <w:bottom w:val="none" w:sz="0" w:space="0" w:color="auto"/>
        <w:right w:val="none" w:sz="0" w:space="0" w:color="auto"/>
      </w:divBdr>
    </w:div>
    <w:div w:id="1810510828">
      <w:bodyDiv w:val="1"/>
      <w:marLeft w:val="0"/>
      <w:marRight w:val="0"/>
      <w:marTop w:val="0"/>
      <w:marBottom w:val="0"/>
      <w:divBdr>
        <w:top w:val="none" w:sz="0" w:space="0" w:color="auto"/>
        <w:left w:val="none" w:sz="0" w:space="0" w:color="auto"/>
        <w:bottom w:val="none" w:sz="0" w:space="0" w:color="auto"/>
        <w:right w:val="none" w:sz="0" w:space="0" w:color="auto"/>
      </w:divBdr>
    </w:div>
    <w:div w:id="1824227156">
      <w:bodyDiv w:val="1"/>
      <w:marLeft w:val="0"/>
      <w:marRight w:val="0"/>
      <w:marTop w:val="0"/>
      <w:marBottom w:val="0"/>
      <w:divBdr>
        <w:top w:val="none" w:sz="0" w:space="0" w:color="auto"/>
        <w:left w:val="none" w:sz="0" w:space="0" w:color="auto"/>
        <w:bottom w:val="none" w:sz="0" w:space="0" w:color="auto"/>
        <w:right w:val="none" w:sz="0" w:space="0" w:color="auto"/>
      </w:divBdr>
    </w:div>
    <w:div w:id="1859854889">
      <w:bodyDiv w:val="1"/>
      <w:marLeft w:val="0"/>
      <w:marRight w:val="0"/>
      <w:marTop w:val="0"/>
      <w:marBottom w:val="0"/>
      <w:divBdr>
        <w:top w:val="none" w:sz="0" w:space="0" w:color="auto"/>
        <w:left w:val="none" w:sz="0" w:space="0" w:color="auto"/>
        <w:bottom w:val="none" w:sz="0" w:space="0" w:color="auto"/>
        <w:right w:val="none" w:sz="0" w:space="0" w:color="auto"/>
      </w:divBdr>
    </w:div>
    <w:div w:id="1952124261">
      <w:bodyDiv w:val="1"/>
      <w:marLeft w:val="0"/>
      <w:marRight w:val="0"/>
      <w:marTop w:val="0"/>
      <w:marBottom w:val="0"/>
      <w:divBdr>
        <w:top w:val="none" w:sz="0" w:space="0" w:color="auto"/>
        <w:left w:val="none" w:sz="0" w:space="0" w:color="auto"/>
        <w:bottom w:val="none" w:sz="0" w:space="0" w:color="auto"/>
        <w:right w:val="none" w:sz="0" w:space="0" w:color="auto"/>
      </w:divBdr>
    </w:div>
    <w:div w:id="1992980830">
      <w:bodyDiv w:val="1"/>
      <w:marLeft w:val="0"/>
      <w:marRight w:val="0"/>
      <w:marTop w:val="0"/>
      <w:marBottom w:val="0"/>
      <w:divBdr>
        <w:top w:val="none" w:sz="0" w:space="0" w:color="auto"/>
        <w:left w:val="none" w:sz="0" w:space="0" w:color="auto"/>
        <w:bottom w:val="none" w:sz="0" w:space="0" w:color="auto"/>
        <w:right w:val="none" w:sz="0" w:space="0" w:color="auto"/>
      </w:divBdr>
    </w:div>
    <w:div w:id="2038658555">
      <w:bodyDiv w:val="1"/>
      <w:marLeft w:val="0"/>
      <w:marRight w:val="0"/>
      <w:marTop w:val="0"/>
      <w:marBottom w:val="0"/>
      <w:divBdr>
        <w:top w:val="none" w:sz="0" w:space="0" w:color="auto"/>
        <w:left w:val="none" w:sz="0" w:space="0" w:color="auto"/>
        <w:bottom w:val="none" w:sz="0" w:space="0" w:color="auto"/>
        <w:right w:val="none" w:sz="0" w:space="0" w:color="auto"/>
      </w:divBdr>
    </w:div>
    <w:div w:id="2049184582">
      <w:bodyDiv w:val="1"/>
      <w:marLeft w:val="0"/>
      <w:marRight w:val="0"/>
      <w:marTop w:val="0"/>
      <w:marBottom w:val="0"/>
      <w:divBdr>
        <w:top w:val="none" w:sz="0" w:space="0" w:color="auto"/>
        <w:left w:val="none" w:sz="0" w:space="0" w:color="auto"/>
        <w:bottom w:val="none" w:sz="0" w:space="0" w:color="auto"/>
        <w:right w:val="none" w:sz="0" w:space="0" w:color="auto"/>
      </w:divBdr>
    </w:div>
    <w:div w:id="208156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3390/buildings12040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ress.2020.10710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9FBE6-E5A6-41CA-9E13-F7F83D26F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4608</TotalTime>
  <Pages>7</Pages>
  <Words>9878</Words>
  <Characters>54330</Characters>
  <Application>Microsoft Office Word</Application>
  <DocSecurity>0</DocSecurity>
  <Lines>452</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Alfer</dc:creator>
  <cp:keywords/>
  <dc:description/>
  <cp:lastModifiedBy>Alfer</cp:lastModifiedBy>
  <cp:revision>166</cp:revision>
  <dcterms:created xsi:type="dcterms:W3CDTF">2026-02-07T23:32:00Z</dcterms:created>
  <dcterms:modified xsi:type="dcterms:W3CDTF">2026-02-19T16:13:00Z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c62c2023-d957-3f43-8463-02df01de5234</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http://csl.mendeley.com/styles/507188711/ieee-4</vt:lpwstr>
  </property>
  <property fmtid="{D5CDD505-2E9C-101B-9397-08002B2CF9AE}" pid="20" name="Mendeley Recent Style Name 7_1">
    <vt:lpwstr>IEEE - Alfer  Silva Cerón</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4th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9th edition</vt:lpwstr>
  </property>
</Properties>
</file>