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24911" w14:textId="77777777" w:rsidR="009500F8" w:rsidRPr="00536D18" w:rsidRDefault="009500F8" w:rsidP="00AF4B4D">
      <w:pPr>
        <w:spacing w:line="276" w:lineRule="auto"/>
        <w:jc w:val="center"/>
        <w:rPr>
          <w:rFonts w:ascii="Arial Narrow" w:hAnsi="Arial Narrow"/>
          <w:b/>
          <w:bCs/>
        </w:rPr>
      </w:pPr>
      <w:r w:rsidRPr="00536D18">
        <w:rPr>
          <w:rFonts w:ascii="Arial Narrow" w:hAnsi="Arial Narrow"/>
          <w:b/>
          <w:bCs/>
        </w:rPr>
        <w:t>Universidad Nacional de Colombia – Sede Bogotá</w:t>
      </w:r>
    </w:p>
    <w:p w14:paraId="5849CC5E" w14:textId="77777777" w:rsidR="009500F8" w:rsidRPr="00536D18" w:rsidRDefault="009500F8" w:rsidP="00AF4B4D">
      <w:pPr>
        <w:spacing w:line="276" w:lineRule="auto"/>
        <w:jc w:val="center"/>
        <w:rPr>
          <w:rFonts w:ascii="Arial Narrow" w:hAnsi="Arial Narrow"/>
          <w:b/>
          <w:bCs/>
        </w:rPr>
      </w:pPr>
      <w:r w:rsidRPr="00536D18">
        <w:rPr>
          <w:rFonts w:ascii="Arial Narrow" w:hAnsi="Arial Narrow"/>
          <w:b/>
          <w:bCs/>
        </w:rPr>
        <w:t>Departamento de Ingeniería Civil y Agrícola</w:t>
      </w:r>
    </w:p>
    <w:p w14:paraId="22321F06" w14:textId="77777777" w:rsidR="009500F8" w:rsidRPr="00536D18" w:rsidRDefault="009500F8" w:rsidP="00AF4B4D">
      <w:pPr>
        <w:spacing w:line="276" w:lineRule="auto"/>
        <w:jc w:val="center"/>
        <w:rPr>
          <w:rFonts w:ascii="Arial Narrow" w:hAnsi="Arial Narrow"/>
          <w:b/>
          <w:bCs/>
        </w:rPr>
      </w:pPr>
      <w:r w:rsidRPr="00536D18">
        <w:rPr>
          <w:rFonts w:ascii="Arial Narrow" w:hAnsi="Arial Narrow"/>
          <w:b/>
          <w:bCs/>
        </w:rPr>
        <w:t>Perfil TC2</w:t>
      </w:r>
    </w:p>
    <w:p w14:paraId="77DCF0BC" w14:textId="77777777" w:rsidR="009500F8" w:rsidRPr="00536D18" w:rsidRDefault="009500F8" w:rsidP="00AF4B4D">
      <w:pPr>
        <w:spacing w:line="276" w:lineRule="auto"/>
        <w:jc w:val="center"/>
        <w:rPr>
          <w:rFonts w:ascii="Arial Narrow" w:hAnsi="Arial Narrow"/>
          <w:b/>
          <w:bCs/>
        </w:rPr>
      </w:pPr>
      <w:r w:rsidRPr="00536D18">
        <w:rPr>
          <w:rFonts w:ascii="Arial Narrow" w:hAnsi="Arial Narrow"/>
          <w:b/>
          <w:bCs/>
        </w:rPr>
        <w:t>Ing., PhD. Alba Mery Garzón García</w:t>
      </w:r>
    </w:p>
    <w:p w14:paraId="3FC7A7C3" w14:textId="720C480B" w:rsidR="00995B91" w:rsidRDefault="009500F8" w:rsidP="009500F8">
      <w:pPr>
        <w:spacing w:line="276" w:lineRule="auto"/>
        <w:jc w:val="center"/>
        <w:rPr>
          <w:rFonts w:ascii="Arial Narrow" w:hAnsi="Arial Narrow"/>
        </w:rPr>
      </w:pPr>
      <w:r w:rsidRPr="00536D18">
        <w:rPr>
          <w:rFonts w:ascii="Arial Narrow" w:hAnsi="Arial Narrow"/>
          <w:b/>
          <w:bCs/>
        </w:rPr>
        <w:t>Candidato AMGG7776</w:t>
      </w:r>
    </w:p>
    <w:p w14:paraId="6C428109" w14:textId="77777777" w:rsidR="009500F8" w:rsidRDefault="009500F8" w:rsidP="009500F8">
      <w:pPr>
        <w:spacing w:line="276" w:lineRule="auto"/>
        <w:jc w:val="center"/>
        <w:rPr>
          <w:rFonts w:ascii="Arial Narrow" w:hAnsi="Arial Narrow"/>
        </w:rPr>
      </w:pPr>
    </w:p>
    <w:p w14:paraId="4A9597EC" w14:textId="77777777" w:rsidR="00BA6D96" w:rsidRPr="00BA6D96" w:rsidRDefault="009500F8" w:rsidP="00BA6D9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hAnsi="Arial Narrow"/>
          <w:b/>
          <w:bCs/>
        </w:rPr>
      </w:pPr>
      <w:r w:rsidRPr="00BA6D96">
        <w:rPr>
          <w:rFonts w:ascii="Arial Narrow" w:hAnsi="Arial Narrow"/>
          <w:b/>
          <w:bCs/>
        </w:rPr>
        <w:t>Justificación</w:t>
      </w:r>
    </w:p>
    <w:p w14:paraId="4BFBEBDE" w14:textId="239E55B0" w:rsidR="00BA6D96" w:rsidRDefault="0017798B" w:rsidP="00BA6D96">
      <w:pPr>
        <w:spacing w:line="276" w:lineRule="auto"/>
        <w:jc w:val="both"/>
        <w:rPr>
          <w:rFonts w:ascii="Arial Narrow" w:hAnsi="Arial Narrow"/>
        </w:rPr>
      </w:pPr>
      <w:r w:rsidRPr="0017798B">
        <w:rPr>
          <w:rFonts w:ascii="Arial Narrow" w:hAnsi="Arial Narrow"/>
        </w:rPr>
        <w:t xml:space="preserve">Colombia es un país megadiverso que alberga cerca del 10% de la biodiversidad global. No obstante, a pesar de esta riqueza, aproximadamente el 54% de la población del país sufre de inseguridad alimentaria debido al conflicto armado, </w:t>
      </w:r>
      <w:r w:rsidR="008E0DD4">
        <w:rPr>
          <w:rFonts w:ascii="Arial Narrow" w:hAnsi="Arial Narrow"/>
        </w:rPr>
        <w:t xml:space="preserve">a </w:t>
      </w:r>
      <w:r w:rsidRPr="0017798B">
        <w:rPr>
          <w:rFonts w:ascii="Arial Narrow" w:hAnsi="Arial Narrow"/>
        </w:rPr>
        <w:t xml:space="preserve">las </w:t>
      </w:r>
      <w:r w:rsidR="008E0DD4">
        <w:rPr>
          <w:rFonts w:ascii="Arial Narrow" w:hAnsi="Arial Narrow"/>
        </w:rPr>
        <w:t>reformas agrarias,</w:t>
      </w:r>
      <w:r w:rsidR="00FA07D0">
        <w:rPr>
          <w:rFonts w:ascii="Arial Narrow" w:hAnsi="Arial Narrow"/>
        </w:rPr>
        <w:t xml:space="preserve"> </w:t>
      </w:r>
      <w:r w:rsidRPr="0017798B">
        <w:rPr>
          <w:rFonts w:ascii="Arial Narrow" w:hAnsi="Arial Narrow"/>
        </w:rPr>
        <w:t xml:space="preserve">condiciones insostenibles del mercado para los pequeños productores, </w:t>
      </w:r>
      <w:r w:rsidR="00FA07D0">
        <w:rPr>
          <w:rFonts w:ascii="Arial Narrow" w:hAnsi="Arial Narrow"/>
        </w:rPr>
        <w:t xml:space="preserve">a </w:t>
      </w:r>
      <w:r w:rsidRPr="0017798B">
        <w:rPr>
          <w:rFonts w:ascii="Arial Narrow" w:hAnsi="Arial Narrow"/>
        </w:rPr>
        <w:t xml:space="preserve">la desigualdad para el acceso al agua y </w:t>
      </w:r>
      <w:r w:rsidR="00FA07D0">
        <w:rPr>
          <w:rFonts w:ascii="Arial Narrow" w:hAnsi="Arial Narrow"/>
        </w:rPr>
        <w:t xml:space="preserve">a </w:t>
      </w:r>
      <w:r w:rsidRPr="0017798B">
        <w:rPr>
          <w:rFonts w:ascii="Arial Narrow" w:hAnsi="Arial Narrow"/>
        </w:rPr>
        <w:t>fenómenos sociales de las últimas décadas, como el aumento de madres cabeza de familia</w:t>
      </w:r>
      <w:r w:rsidR="00643CFC">
        <w:rPr>
          <w:rFonts w:ascii="Arial Narrow" w:hAnsi="Arial Narrow"/>
        </w:rPr>
        <w:t xml:space="preserve"> que </w:t>
      </w:r>
      <w:r w:rsidR="007034CA">
        <w:rPr>
          <w:rFonts w:ascii="Arial Narrow" w:hAnsi="Arial Narrow"/>
        </w:rPr>
        <w:t xml:space="preserve">deben dejar sus hogares </w:t>
      </w:r>
      <w:r w:rsidR="00B72EEB">
        <w:rPr>
          <w:rFonts w:ascii="Arial Narrow" w:hAnsi="Arial Narrow"/>
        </w:rPr>
        <w:t xml:space="preserve">durante el día </w:t>
      </w:r>
      <w:r w:rsidR="007034CA">
        <w:rPr>
          <w:rFonts w:ascii="Arial Narrow" w:hAnsi="Arial Narrow"/>
        </w:rPr>
        <w:t xml:space="preserve">para </w:t>
      </w:r>
      <w:r w:rsidR="00B72EEB">
        <w:rPr>
          <w:rFonts w:ascii="Arial Narrow" w:hAnsi="Arial Narrow"/>
        </w:rPr>
        <w:t>buscar un sustento económico</w:t>
      </w:r>
      <w:r w:rsidRPr="0017798B">
        <w:rPr>
          <w:rFonts w:ascii="Arial Narrow" w:hAnsi="Arial Narrow"/>
        </w:rPr>
        <w:t xml:space="preserve"> (</w:t>
      </w:r>
      <w:proofErr w:type="spellStart"/>
      <w:r w:rsidRPr="0017798B">
        <w:rPr>
          <w:rFonts w:ascii="Arial Narrow" w:hAnsi="Arial Narrow"/>
        </w:rPr>
        <w:t>Gori</w:t>
      </w:r>
      <w:proofErr w:type="spellEnd"/>
      <w:r w:rsidRPr="0017798B">
        <w:rPr>
          <w:rFonts w:ascii="Arial Narrow" w:hAnsi="Arial Narrow"/>
        </w:rPr>
        <w:t xml:space="preserve"> et al., 2022; Bahamón Méndez, 2024).</w:t>
      </w:r>
    </w:p>
    <w:p w14:paraId="2AF35320" w14:textId="77777777" w:rsidR="00914158" w:rsidRDefault="00506A5E" w:rsidP="00187D1D">
      <w:pPr>
        <w:spacing w:line="276" w:lineRule="auto"/>
        <w:jc w:val="both"/>
        <w:rPr>
          <w:rFonts w:ascii="Arial Narrow" w:hAnsi="Arial Narrow"/>
        </w:rPr>
      </w:pPr>
      <w:r w:rsidRPr="00506A5E">
        <w:rPr>
          <w:rFonts w:ascii="Arial Narrow" w:hAnsi="Arial Narrow"/>
        </w:rPr>
        <w:t xml:space="preserve">Históricamente, se ha </w:t>
      </w:r>
      <w:r w:rsidR="00D4175D">
        <w:rPr>
          <w:rFonts w:ascii="Arial Narrow" w:hAnsi="Arial Narrow"/>
        </w:rPr>
        <w:t xml:space="preserve">reportado </w:t>
      </w:r>
      <w:r w:rsidRPr="00506A5E">
        <w:rPr>
          <w:rFonts w:ascii="Arial Narrow" w:hAnsi="Arial Narrow"/>
        </w:rPr>
        <w:t>que las plantas nativas son parte integral de la dieta de los habitantes rurales de Colombia</w:t>
      </w:r>
      <w:r w:rsidR="00D96372">
        <w:rPr>
          <w:rFonts w:ascii="Arial Narrow" w:hAnsi="Arial Narrow"/>
        </w:rPr>
        <w:t xml:space="preserve"> y de interés para las exportaciones</w:t>
      </w:r>
      <w:r w:rsidRPr="00506A5E">
        <w:rPr>
          <w:rFonts w:ascii="Arial Narrow" w:hAnsi="Arial Narrow"/>
        </w:rPr>
        <w:t>. Las regiones con mayor número de especies endémicas se encuentran en la Amazonía, los Andes y el Pacífico colombiano. Aunque estas tienen un alto potencial para la agricultura, el desarrollo de productos y elevado contenido de nutrientes, la investigación en este campo ha sido incipiente (López Diago, &amp; García Castro, 2021).</w:t>
      </w:r>
      <w:r w:rsidR="00D4175D">
        <w:rPr>
          <w:rFonts w:ascii="Arial Narrow" w:hAnsi="Arial Narrow"/>
        </w:rPr>
        <w:t xml:space="preserve"> Por lo tanto, es importante desarrollar estrategias </w:t>
      </w:r>
      <w:r w:rsidR="009C5C05">
        <w:rPr>
          <w:rFonts w:ascii="Arial Narrow" w:hAnsi="Arial Narrow"/>
        </w:rPr>
        <w:t>efectivas para la valorización de</w:t>
      </w:r>
      <w:r w:rsidR="00527136">
        <w:rPr>
          <w:rFonts w:ascii="Arial Narrow" w:hAnsi="Arial Narrow"/>
        </w:rPr>
        <w:t xml:space="preserve"> estas</w:t>
      </w:r>
      <w:r w:rsidR="009C5C05">
        <w:rPr>
          <w:rFonts w:ascii="Arial Narrow" w:hAnsi="Arial Narrow"/>
        </w:rPr>
        <w:t xml:space="preserve"> </w:t>
      </w:r>
      <w:r w:rsidR="004A4A46">
        <w:rPr>
          <w:rFonts w:ascii="Arial Narrow" w:hAnsi="Arial Narrow"/>
        </w:rPr>
        <w:t>especies prometedoras</w:t>
      </w:r>
      <w:r w:rsidR="00571167">
        <w:rPr>
          <w:rFonts w:ascii="Arial Narrow" w:hAnsi="Arial Narrow"/>
        </w:rPr>
        <w:t xml:space="preserve"> </w:t>
      </w:r>
      <w:r w:rsidR="00527136">
        <w:rPr>
          <w:rFonts w:ascii="Arial Narrow" w:hAnsi="Arial Narrow"/>
        </w:rPr>
        <w:t xml:space="preserve">con el objetivo de </w:t>
      </w:r>
      <w:r w:rsidR="008F6658">
        <w:rPr>
          <w:rFonts w:ascii="Arial Narrow" w:hAnsi="Arial Narrow"/>
        </w:rPr>
        <w:t>fortalece</w:t>
      </w:r>
      <w:r w:rsidR="00571167">
        <w:rPr>
          <w:rFonts w:ascii="Arial Narrow" w:hAnsi="Arial Narrow"/>
        </w:rPr>
        <w:t>r la seguridad alimentaria</w:t>
      </w:r>
      <w:r w:rsidR="009C5C05">
        <w:rPr>
          <w:rFonts w:ascii="Arial Narrow" w:hAnsi="Arial Narrow"/>
        </w:rPr>
        <w:t>.</w:t>
      </w:r>
    </w:p>
    <w:p w14:paraId="50BA1CF5" w14:textId="24B1F45F" w:rsidR="00187D1D" w:rsidRPr="00914158" w:rsidRDefault="00914158" w:rsidP="00187D1D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A</w:t>
      </w:r>
      <w:r w:rsidR="00056A49">
        <w:rPr>
          <w:rFonts w:ascii="Arial Narrow" w:hAnsi="Arial Narrow"/>
        </w:rPr>
        <w:t xml:space="preserve">doptar </w:t>
      </w:r>
      <w:r w:rsidR="00CA10AD" w:rsidRPr="006A0222">
        <w:rPr>
          <w:rFonts w:ascii="Arial Narrow" w:hAnsi="Arial Narrow"/>
          <w:lang w:val="es-ES"/>
        </w:rPr>
        <w:t xml:space="preserve">tecnologías digitales </w:t>
      </w:r>
      <w:r w:rsidR="00CA10AD">
        <w:rPr>
          <w:rFonts w:ascii="Arial Narrow" w:hAnsi="Arial Narrow"/>
          <w:lang w:val="es-ES"/>
        </w:rPr>
        <w:t xml:space="preserve">de la Agricultura 4.0, </w:t>
      </w:r>
      <w:r w:rsidR="00CA10AD" w:rsidRPr="006A0222">
        <w:rPr>
          <w:rFonts w:ascii="Arial Narrow" w:hAnsi="Arial Narrow"/>
          <w:lang w:val="es-ES"/>
        </w:rPr>
        <w:t>como la</w:t>
      </w:r>
      <w:r w:rsidR="00CA10AD">
        <w:rPr>
          <w:rFonts w:ascii="Arial Narrow" w:hAnsi="Arial Narrow"/>
          <w:lang w:val="es-ES"/>
        </w:rPr>
        <w:t xml:space="preserve"> inteligencia artificial (</w:t>
      </w:r>
      <w:r w:rsidR="00CA10AD" w:rsidRPr="00D36A27">
        <w:rPr>
          <w:rFonts w:ascii="Arial Narrow" w:hAnsi="Arial Narrow"/>
          <w:i/>
          <w:iCs/>
          <w:lang w:val="es-ES"/>
        </w:rPr>
        <w:t>IA</w:t>
      </w:r>
      <w:r w:rsidR="00CA10AD">
        <w:rPr>
          <w:rFonts w:ascii="Arial Narrow" w:hAnsi="Arial Narrow"/>
          <w:lang w:val="es-ES"/>
        </w:rPr>
        <w:t>)</w:t>
      </w:r>
      <w:r w:rsidR="00CA10AD" w:rsidRPr="006A0222">
        <w:rPr>
          <w:rFonts w:ascii="Arial Narrow" w:hAnsi="Arial Narrow"/>
          <w:lang w:val="es-ES"/>
        </w:rPr>
        <w:t xml:space="preserve">, </w:t>
      </w:r>
      <w:r w:rsidR="00CA10AD">
        <w:rPr>
          <w:rFonts w:ascii="Arial Narrow" w:hAnsi="Arial Narrow"/>
          <w:lang w:val="es-ES"/>
        </w:rPr>
        <w:t>el internet de las cosas</w:t>
      </w:r>
      <w:r w:rsidR="00CA10AD" w:rsidRPr="006A0222">
        <w:rPr>
          <w:rFonts w:ascii="Arial Narrow" w:hAnsi="Arial Narrow"/>
          <w:lang w:val="es-ES"/>
        </w:rPr>
        <w:t xml:space="preserve"> </w:t>
      </w:r>
      <w:r w:rsidR="00CA10AD">
        <w:rPr>
          <w:rFonts w:ascii="Arial Narrow" w:hAnsi="Arial Narrow"/>
          <w:lang w:val="es-ES"/>
        </w:rPr>
        <w:t>(</w:t>
      </w:r>
      <w:proofErr w:type="spellStart"/>
      <w:r w:rsidR="00CA10AD" w:rsidRPr="00D36A27">
        <w:rPr>
          <w:rFonts w:ascii="Arial Narrow" w:hAnsi="Arial Narrow"/>
          <w:i/>
          <w:iCs/>
          <w:lang w:val="es-ES"/>
        </w:rPr>
        <w:t>IoT</w:t>
      </w:r>
      <w:proofErr w:type="spellEnd"/>
      <w:r w:rsidR="00CA10AD">
        <w:rPr>
          <w:rFonts w:ascii="Arial Narrow" w:hAnsi="Arial Narrow"/>
          <w:lang w:val="es-ES"/>
        </w:rPr>
        <w:t>)</w:t>
      </w:r>
      <w:r w:rsidR="00CA10AD" w:rsidRPr="006A0222">
        <w:rPr>
          <w:rFonts w:ascii="Arial Narrow" w:hAnsi="Arial Narrow"/>
          <w:lang w:val="es-ES"/>
        </w:rPr>
        <w:t xml:space="preserve"> y el aprendizaje automático </w:t>
      </w:r>
      <w:r w:rsidR="00CA10AD">
        <w:rPr>
          <w:rFonts w:ascii="Arial Narrow" w:hAnsi="Arial Narrow"/>
          <w:lang w:val="es-ES"/>
        </w:rPr>
        <w:t>(</w:t>
      </w:r>
      <w:r w:rsidR="00CA10AD" w:rsidRPr="00D36A27">
        <w:rPr>
          <w:rFonts w:ascii="Arial Narrow" w:hAnsi="Arial Narrow"/>
          <w:i/>
          <w:iCs/>
          <w:lang w:val="es-ES"/>
        </w:rPr>
        <w:t xml:space="preserve">machine </w:t>
      </w:r>
      <w:proofErr w:type="spellStart"/>
      <w:r w:rsidR="00CA10AD" w:rsidRPr="00D36A27">
        <w:rPr>
          <w:rFonts w:ascii="Arial Narrow" w:hAnsi="Arial Narrow"/>
          <w:i/>
          <w:iCs/>
          <w:lang w:val="es-ES"/>
        </w:rPr>
        <w:t>learning</w:t>
      </w:r>
      <w:proofErr w:type="spellEnd"/>
      <w:r w:rsidR="00CA10AD">
        <w:rPr>
          <w:rFonts w:ascii="Arial Narrow" w:hAnsi="Arial Narrow"/>
          <w:lang w:val="es-ES"/>
        </w:rPr>
        <w:t xml:space="preserve">) permiten </w:t>
      </w:r>
      <w:r w:rsidR="00CA10AD" w:rsidRPr="006A0222">
        <w:rPr>
          <w:rFonts w:ascii="Arial Narrow" w:hAnsi="Arial Narrow"/>
          <w:lang w:val="es-ES"/>
        </w:rPr>
        <w:t>mejorar el monitoreo y la gestión de recursos</w:t>
      </w:r>
      <w:r w:rsidR="00E76C4A">
        <w:rPr>
          <w:rFonts w:ascii="Arial Narrow" w:hAnsi="Arial Narrow"/>
          <w:lang w:val="es-ES"/>
        </w:rPr>
        <w:t xml:space="preserve"> en campo</w:t>
      </w:r>
      <w:r w:rsidR="00CA10AD">
        <w:rPr>
          <w:rFonts w:ascii="Arial Narrow" w:hAnsi="Arial Narrow"/>
          <w:lang w:val="es-ES"/>
        </w:rPr>
        <w:t xml:space="preserve"> (</w:t>
      </w:r>
      <w:proofErr w:type="spellStart"/>
      <w:r w:rsidR="00CA10AD">
        <w:rPr>
          <w:rFonts w:ascii="Arial Narrow" w:hAnsi="Arial Narrow"/>
          <w:lang w:val="es-ES"/>
        </w:rPr>
        <w:t>Sadiq</w:t>
      </w:r>
      <w:proofErr w:type="spellEnd"/>
      <w:r w:rsidR="00CA10AD">
        <w:rPr>
          <w:rFonts w:ascii="Arial Narrow" w:hAnsi="Arial Narrow"/>
          <w:lang w:val="es-ES"/>
        </w:rPr>
        <w:t xml:space="preserve"> et al., 2025)</w:t>
      </w:r>
      <w:r w:rsidR="00CA10AD" w:rsidRPr="006A0222">
        <w:rPr>
          <w:rFonts w:ascii="Arial Narrow" w:hAnsi="Arial Narrow"/>
          <w:lang w:val="es-ES"/>
        </w:rPr>
        <w:t>.</w:t>
      </w:r>
      <w:r w:rsidR="00CA10AD">
        <w:rPr>
          <w:rFonts w:ascii="Arial Narrow" w:hAnsi="Arial Narrow"/>
        </w:rPr>
        <w:t xml:space="preserve"> Adicionalmente, </w:t>
      </w:r>
      <w:r w:rsidR="0063053F">
        <w:rPr>
          <w:rFonts w:ascii="Arial Narrow" w:hAnsi="Arial Narrow"/>
        </w:rPr>
        <w:t>el procesamiento de productos agrícolas</w:t>
      </w:r>
      <w:r w:rsidR="008E5FFE">
        <w:rPr>
          <w:rFonts w:ascii="Arial Narrow" w:hAnsi="Arial Narrow"/>
        </w:rPr>
        <w:t xml:space="preserve"> </w:t>
      </w:r>
      <w:r w:rsidR="004C28C8">
        <w:rPr>
          <w:rFonts w:ascii="Arial Narrow" w:hAnsi="Arial Narrow"/>
        </w:rPr>
        <w:t xml:space="preserve">es crucial </w:t>
      </w:r>
      <w:r w:rsidR="0022187B">
        <w:rPr>
          <w:rFonts w:ascii="Arial Narrow" w:hAnsi="Arial Narrow"/>
        </w:rPr>
        <w:t xml:space="preserve">para evitar las pérdidas </w:t>
      </w:r>
      <w:r w:rsidR="0052185E">
        <w:rPr>
          <w:rFonts w:ascii="Arial Narrow" w:hAnsi="Arial Narrow"/>
        </w:rPr>
        <w:t>y mantener su trazabilidad</w:t>
      </w:r>
      <w:r w:rsidR="008130C7">
        <w:rPr>
          <w:rFonts w:ascii="Arial Narrow" w:hAnsi="Arial Narrow"/>
        </w:rPr>
        <w:t xml:space="preserve">. </w:t>
      </w:r>
      <w:r w:rsidR="00056A49">
        <w:rPr>
          <w:rFonts w:ascii="Arial Narrow" w:hAnsi="Arial Narrow"/>
        </w:rPr>
        <w:t xml:space="preserve">Algunas </w:t>
      </w:r>
      <w:r w:rsidR="008130C7" w:rsidRPr="008130C7">
        <w:rPr>
          <w:rFonts w:ascii="Arial Narrow" w:hAnsi="Arial Narrow"/>
          <w:lang w:val="es-ES"/>
        </w:rPr>
        <w:t xml:space="preserve">técnicas de </w:t>
      </w:r>
      <w:proofErr w:type="spellStart"/>
      <w:r w:rsidR="008130C7" w:rsidRPr="008130C7">
        <w:rPr>
          <w:rFonts w:ascii="Arial Narrow" w:hAnsi="Arial Narrow"/>
          <w:lang w:val="es-ES"/>
        </w:rPr>
        <w:t>biocontrol</w:t>
      </w:r>
      <w:proofErr w:type="spellEnd"/>
      <w:r w:rsidR="005D0CCE">
        <w:rPr>
          <w:rFonts w:ascii="Arial Narrow" w:hAnsi="Arial Narrow"/>
          <w:lang w:val="es-ES"/>
        </w:rPr>
        <w:t xml:space="preserve"> incluyendo </w:t>
      </w:r>
      <w:r w:rsidR="008130C7">
        <w:rPr>
          <w:rFonts w:ascii="Arial Narrow" w:hAnsi="Arial Narrow"/>
          <w:lang w:val="es-ES"/>
        </w:rPr>
        <w:t xml:space="preserve">el </w:t>
      </w:r>
      <w:r w:rsidR="008130C7" w:rsidRPr="008130C7">
        <w:rPr>
          <w:rFonts w:ascii="Arial Narrow" w:hAnsi="Arial Narrow"/>
          <w:lang w:val="es-ES"/>
        </w:rPr>
        <w:t xml:space="preserve">envasado activo, </w:t>
      </w:r>
      <w:r w:rsidR="008130C7">
        <w:rPr>
          <w:rFonts w:ascii="Arial Narrow" w:hAnsi="Arial Narrow"/>
          <w:lang w:val="es-ES"/>
        </w:rPr>
        <w:t>el</w:t>
      </w:r>
      <w:r w:rsidR="008130C7" w:rsidRPr="008130C7">
        <w:rPr>
          <w:rFonts w:ascii="Arial Narrow" w:hAnsi="Arial Narrow"/>
          <w:lang w:val="es-ES"/>
        </w:rPr>
        <w:t xml:space="preserve"> campo eléctrico pulsado, </w:t>
      </w:r>
      <w:r w:rsidR="00AC31F7" w:rsidRPr="008130C7">
        <w:rPr>
          <w:rFonts w:ascii="Arial Narrow" w:hAnsi="Arial Narrow"/>
          <w:lang w:val="es-ES"/>
        </w:rPr>
        <w:t>plasma frío</w:t>
      </w:r>
      <w:r w:rsidR="00AC31F7">
        <w:rPr>
          <w:rFonts w:ascii="Arial Narrow" w:hAnsi="Arial Narrow"/>
          <w:lang w:val="es-ES"/>
        </w:rPr>
        <w:t xml:space="preserve">, la </w:t>
      </w:r>
      <w:r w:rsidR="008130C7" w:rsidRPr="008130C7">
        <w:rPr>
          <w:rFonts w:ascii="Arial Narrow" w:hAnsi="Arial Narrow"/>
          <w:lang w:val="es-ES"/>
        </w:rPr>
        <w:t>alta presión hidrostática</w:t>
      </w:r>
      <w:r w:rsidR="00AC31F7">
        <w:rPr>
          <w:rFonts w:ascii="Arial Narrow" w:hAnsi="Arial Narrow"/>
          <w:lang w:val="es-ES"/>
        </w:rPr>
        <w:t xml:space="preserve"> y </w:t>
      </w:r>
      <w:r w:rsidR="008130C7">
        <w:rPr>
          <w:rFonts w:ascii="Arial Narrow" w:hAnsi="Arial Narrow"/>
          <w:lang w:val="es-ES"/>
        </w:rPr>
        <w:t>radiación</w:t>
      </w:r>
      <w:r w:rsidR="008130C7" w:rsidRPr="008130C7">
        <w:rPr>
          <w:rFonts w:ascii="Arial Narrow" w:hAnsi="Arial Narrow"/>
          <w:lang w:val="es-ES"/>
        </w:rPr>
        <w:t xml:space="preserve">) </w:t>
      </w:r>
      <w:r w:rsidR="001D09C9">
        <w:rPr>
          <w:rFonts w:ascii="Arial Narrow" w:hAnsi="Arial Narrow"/>
          <w:lang w:val="es-ES"/>
        </w:rPr>
        <w:t xml:space="preserve">fomentan la </w:t>
      </w:r>
      <w:r w:rsidR="00AC31F7">
        <w:rPr>
          <w:rFonts w:ascii="Arial Narrow" w:hAnsi="Arial Narrow"/>
          <w:lang w:val="es-ES"/>
        </w:rPr>
        <w:t>conserva</w:t>
      </w:r>
      <w:r w:rsidR="001D09C9">
        <w:rPr>
          <w:rFonts w:ascii="Arial Narrow" w:hAnsi="Arial Narrow"/>
          <w:lang w:val="es-ES"/>
        </w:rPr>
        <w:t>ción d</w:t>
      </w:r>
      <w:r w:rsidR="00954A9A">
        <w:rPr>
          <w:rFonts w:ascii="Arial Narrow" w:hAnsi="Arial Narrow"/>
          <w:lang w:val="es-ES"/>
        </w:rPr>
        <w:t xml:space="preserve">el </w:t>
      </w:r>
      <w:r w:rsidR="008130C7" w:rsidRPr="008130C7">
        <w:rPr>
          <w:rFonts w:ascii="Arial Narrow" w:hAnsi="Arial Narrow"/>
          <w:lang w:val="es-ES"/>
        </w:rPr>
        <w:t xml:space="preserve">valor nutricional y la seguridad </w:t>
      </w:r>
      <w:r w:rsidR="00AC31F7">
        <w:rPr>
          <w:rFonts w:ascii="Arial Narrow" w:hAnsi="Arial Narrow"/>
          <w:lang w:val="es-ES"/>
        </w:rPr>
        <w:t>de estos productos</w:t>
      </w:r>
      <w:r w:rsidR="004C28C8">
        <w:rPr>
          <w:rFonts w:ascii="Arial Narrow" w:hAnsi="Arial Narrow"/>
          <w:lang w:val="es-ES"/>
        </w:rPr>
        <w:t>;</w:t>
      </w:r>
      <w:r w:rsidR="009505E7">
        <w:rPr>
          <w:rFonts w:ascii="Arial Narrow" w:hAnsi="Arial Narrow"/>
          <w:lang w:val="es-ES"/>
        </w:rPr>
        <w:t xml:space="preserve"> así como </w:t>
      </w:r>
      <w:r w:rsidR="00187D1D" w:rsidRPr="00187D1D">
        <w:rPr>
          <w:rFonts w:ascii="Arial Narrow" w:hAnsi="Arial Narrow"/>
          <w:lang w:val="es-ES"/>
        </w:rPr>
        <w:t xml:space="preserve">técnicas sin contacto y no destructivas </w:t>
      </w:r>
      <w:r w:rsidR="005A66B9">
        <w:rPr>
          <w:rFonts w:ascii="Arial Narrow" w:hAnsi="Arial Narrow"/>
          <w:lang w:val="es-ES"/>
        </w:rPr>
        <w:t>permiten el</w:t>
      </w:r>
      <w:r w:rsidR="00187D1D" w:rsidRPr="00187D1D">
        <w:rPr>
          <w:rFonts w:ascii="Arial Narrow" w:hAnsi="Arial Narrow"/>
          <w:lang w:val="es-ES"/>
        </w:rPr>
        <w:t xml:space="preserve"> control de calidad (análisis de imágenes, narices electrónicas y espectroscopia de infrarrojo cercano)</w:t>
      </w:r>
      <w:r w:rsidR="00BE7CD8">
        <w:rPr>
          <w:rFonts w:ascii="Arial Narrow" w:hAnsi="Arial Narrow"/>
          <w:lang w:val="es-ES"/>
        </w:rPr>
        <w:t xml:space="preserve"> (</w:t>
      </w:r>
      <w:proofErr w:type="spellStart"/>
      <w:r w:rsidR="00901AC9">
        <w:rPr>
          <w:rFonts w:ascii="Arial Narrow" w:hAnsi="Arial Narrow"/>
          <w:lang w:val="es-ES"/>
        </w:rPr>
        <w:t>Palumbo</w:t>
      </w:r>
      <w:proofErr w:type="spellEnd"/>
      <w:r w:rsidR="00901AC9">
        <w:rPr>
          <w:rFonts w:ascii="Arial Narrow" w:hAnsi="Arial Narrow"/>
          <w:lang w:val="es-ES"/>
        </w:rPr>
        <w:t xml:space="preserve"> et al., 2022</w:t>
      </w:r>
      <w:r w:rsidR="00BE7CD8">
        <w:rPr>
          <w:rFonts w:ascii="Arial Narrow" w:hAnsi="Arial Narrow"/>
          <w:lang w:val="es-ES"/>
        </w:rPr>
        <w:t>)</w:t>
      </w:r>
      <w:r w:rsidR="00187D1D">
        <w:rPr>
          <w:rFonts w:ascii="Arial Narrow" w:hAnsi="Arial Narrow"/>
          <w:lang w:val="es-ES"/>
        </w:rPr>
        <w:t>.</w:t>
      </w:r>
    </w:p>
    <w:p w14:paraId="60E47267" w14:textId="2122B0E1" w:rsidR="00901AC9" w:rsidRPr="00BD3287" w:rsidRDefault="00901AC9" w:rsidP="00187D1D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Por otra parte, </w:t>
      </w:r>
      <w:r w:rsidR="005A1431">
        <w:rPr>
          <w:rFonts w:ascii="Arial Narrow" w:hAnsi="Arial Narrow"/>
          <w:lang w:val="es-ES"/>
        </w:rPr>
        <w:t xml:space="preserve">la </w:t>
      </w:r>
      <w:r w:rsidR="00971E1F">
        <w:rPr>
          <w:rFonts w:ascii="Arial Narrow" w:hAnsi="Arial Narrow"/>
          <w:lang w:val="es-ES"/>
        </w:rPr>
        <w:t xml:space="preserve">industria agrícola </w:t>
      </w:r>
      <w:r w:rsidR="002E4285">
        <w:rPr>
          <w:rFonts w:ascii="Arial Narrow" w:hAnsi="Arial Narrow"/>
          <w:lang w:val="es-ES"/>
        </w:rPr>
        <w:t>genera una cantidad significativa de subproductos,</w:t>
      </w:r>
      <w:r w:rsidR="003A4AEF">
        <w:rPr>
          <w:rFonts w:ascii="Arial Narrow" w:hAnsi="Arial Narrow"/>
          <w:lang w:val="es-ES"/>
        </w:rPr>
        <w:t xml:space="preserve"> los cuales prev</w:t>
      </w:r>
      <w:r w:rsidR="001B798C">
        <w:rPr>
          <w:rFonts w:ascii="Arial Narrow" w:hAnsi="Arial Narrow"/>
          <w:lang w:val="es-ES"/>
        </w:rPr>
        <w:t xml:space="preserve">iamente </w:t>
      </w:r>
      <w:r w:rsidR="003A4AEF">
        <w:rPr>
          <w:rFonts w:ascii="Arial Narrow" w:hAnsi="Arial Narrow"/>
          <w:lang w:val="es-ES"/>
        </w:rPr>
        <w:t>se consid</w:t>
      </w:r>
      <w:r w:rsidR="00EE4DF6">
        <w:rPr>
          <w:rFonts w:ascii="Arial Narrow" w:hAnsi="Arial Narrow"/>
          <w:lang w:val="es-ES"/>
        </w:rPr>
        <w:t xml:space="preserve">eraban residuos y eran descartados o generaban focos de contaminación ambiental. No obstante, con el auge de la bioeconomía y la economía circular, se ha propuesto </w:t>
      </w:r>
      <w:r w:rsidR="00DE4657">
        <w:rPr>
          <w:rFonts w:ascii="Arial Narrow" w:hAnsi="Arial Narrow"/>
          <w:lang w:val="es-ES"/>
        </w:rPr>
        <w:t xml:space="preserve">el </w:t>
      </w:r>
      <w:r w:rsidR="00DE4657" w:rsidRPr="00DE4657">
        <w:rPr>
          <w:rFonts w:ascii="Arial Narrow" w:hAnsi="Arial Narrow"/>
          <w:lang w:val="es-ES"/>
        </w:rPr>
        <w:t xml:space="preserve">uso de </w:t>
      </w:r>
      <w:r w:rsidR="00DE4657">
        <w:rPr>
          <w:rFonts w:ascii="Arial Narrow" w:hAnsi="Arial Narrow"/>
          <w:lang w:val="es-ES"/>
        </w:rPr>
        <w:t xml:space="preserve">estos </w:t>
      </w:r>
      <w:r w:rsidR="00DE4657" w:rsidRPr="00DE4657">
        <w:rPr>
          <w:rFonts w:ascii="Arial Narrow" w:hAnsi="Arial Narrow"/>
          <w:lang w:val="es-ES"/>
        </w:rPr>
        <w:t>subproductos</w:t>
      </w:r>
      <w:r w:rsidR="00DE4657">
        <w:rPr>
          <w:rFonts w:ascii="Arial Narrow" w:hAnsi="Arial Narrow"/>
          <w:lang w:val="es-ES"/>
        </w:rPr>
        <w:t xml:space="preserve"> </w:t>
      </w:r>
      <w:r w:rsidR="00DE4657" w:rsidRPr="00DE4657">
        <w:rPr>
          <w:rFonts w:ascii="Arial Narrow" w:hAnsi="Arial Narrow"/>
          <w:lang w:val="es-ES"/>
        </w:rPr>
        <w:t xml:space="preserve">en la industria de alimentos y bebidas </w:t>
      </w:r>
      <w:r w:rsidR="00DE4657">
        <w:rPr>
          <w:rFonts w:ascii="Arial Narrow" w:hAnsi="Arial Narrow"/>
          <w:lang w:val="es-ES"/>
        </w:rPr>
        <w:t>como</w:t>
      </w:r>
      <w:r w:rsidR="00DE4657" w:rsidRPr="00DE4657">
        <w:rPr>
          <w:rFonts w:ascii="Arial Narrow" w:hAnsi="Arial Narrow"/>
          <w:lang w:val="es-ES"/>
        </w:rPr>
        <w:t xml:space="preserve"> solución sostenible</w:t>
      </w:r>
      <w:r w:rsidR="00DE4657">
        <w:rPr>
          <w:rFonts w:ascii="Arial Narrow" w:hAnsi="Arial Narrow"/>
          <w:lang w:val="es-ES"/>
        </w:rPr>
        <w:t xml:space="preserve">. </w:t>
      </w:r>
      <w:r w:rsidR="00BD3287" w:rsidRPr="00BD3287">
        <w:rPr>
          <w:rFonts w:ascii="Arial Narrow" w:hAnsi="Arial Narrow"/>
          <w:lang w:val="es-ES"/>
        </w:rPr>
        <w:t>El potencial de los subproductos agrícolas, incluyendo cáscara</w:t>
      </w:r>
      <w:r w:rsidR="00DF44C2">
        <w:rPr>
          <w:rFonts w:ascii="Arial Narrow" w:hAnsi="Arial Narrow"/>
          <w:lang w:val="es-ES"/>
        </w:rPr>
        <w:t>s y</w:t>
      </w:r>
      <w:r w:rsidR="00BD3287" w:rsidRPr="00BD3287">
        <w:rPr>
          <w:rFonts w:ascii="Arial Narrow" w:hAnsi="Arial Narrow"/>
          <w:lang w:val="es-ES"/>
        </w:rPr>
        <w:t xml:space="preserve"> semillas</w:t>
      </w:r>
      <w:r w:rsidR="00DF44C2">
        <w:rPr>
          <w:rFonts w:ascii="Arial Narrow" w:hAnsi="Arial Narrow"/>
          <w:lang w:val="es-ES"/>
        </w:rPr>
        <w:t xml:space="preserve">, se visiona en </w:t>
      </w:r>
      <w:r w:rsidR="00BD3287" w:rsidRPr="00BD3287">
        <w:rPr>
          <w:rFonts w:ascii="Arial Narrow" w:hAnsi="Arial Narrow"/>
          <w:lang w:val="es-ES"/>
        </w:rPr>
        <w:t>aditivos alimentarios</w:t>
      </w:r>
      <w:r w:rsidR="004F41F1">
        <w:rPr>
          <w:rFonts w:ascii="Arial Narrow" w:hAnsi="Arial Narrow"/>
          <w:lang w:val="es-ES"/>
        </w:rPr>
        <w:t>, funcionales y nutracéuticos</w:t>
      </w:r>
      <w:r w:rsidR="00454924">
        <w:rPr>
          <w:rFonts w:ascii="Arial Narrow" w:hAnsi="Arial Narrow"/>
          <w:lang w:val="es-ES"/>
        </w:rPr>
        <w:t xml:space="preserve">, y envases </w:t>
      </w:r>
      <w:r w:rsidR="00751423">
        <w:rPr>
          <w:rFonts w:ascii="Arial Narrow" w:hAnsi="Arial Narrow"/>
          <w:lang w:val="es-ES"/>
        </w:rPr>
        <w:t>biodegradables</w:t>
      </w:r>
      <w:r w:rsidR="00D72042">
        <w:rPr>
          <w:rFonts w:ascii="Arial Narrow" w:hAnsi="Arial Narrow"/>
          <w:lang w:val="es-ES"/>
        </w:rPr>
        <w:t>. Gr</w:t>
      </w:r>
      <w:r w:rsidR="004F41F1">
        <w:rPr>
          <w:rFonts w:ascii="Arial Narrow" w:hAnsi="Arial Narrow"/>
          <w:lang w:val="es-ES"/>
        </w:rPr>
        <w:t xml:space="preserve">acias a los </w:t>
      </w:r>
      <w:r w:rsidR="00BD3287" w:rsidRPr="00BD3287">
        <w:rPr>
          <w:rFonts w:ascii="Arial Narrow" w:hAnsi="Arial Narrow"/>
          <w:lang w:val="es-ES"/>
        </w:rPr>
        <w:t>avances en tecnologías de procesamiento, como tratamientos enzimáticos, extracción</w:t>
      </w:r>
      <w:r w:rsidR="004F41F1">
        <w:rPr>
          <w:rFonts w:ascii="Arial Narrow" w:hAnsi="Arial Narrow"/>
          <w:lang w:val="es-ES"/>
        </w:rPr>
        <w:t xml:space="preserve">, </w:t>
      </w:r>
      <w:r w:rsidR="00BD3287" w:rsidRPr="00BD3287">
        <w:rPr>
          <w:rFonts w:ascii="Arial Narrow" w:hAnsi="Arial Narrow"/>
          <w:lang w:val="es-ES"/>
        </w:rPr>
        <w:t>fermentación</w:t>
      </w:r>
      <w:r w:rsidR="004F41F1">
        <w:rPr>
          <w:rFonts w:ascii="Arial Narrow" w:hAnsi="Arial Narrow"/>
          <w:lang w:val="es-ES"/>
        </w:rPr>
        <w:t xml:space="preserve"> y encapsulación</w:t>
      </w:r>
      <w:r w:rsidR="003E4002">
        <w:rPr>
          <w:rFonts w:ascii="Arial Narrow" w:hAnsi="Arial Narrow"/>
          <w:lang w:val="es-ES"/>
        </w:rPr>
        <w:t xml:space="preserve">, se agrega valor desde distintos enfoques </w:t>
      </w:r>
      <w:r w:rsidR="000A290A">
        <w:rPr>
          <w:rFonts w:ascii="Arial Narrow" w:hAnsi="Arial Narrow"/>
          <w:lang w:val="es-ES"/>
        </w:rPr>
        <w:t>y genera nuevos nichos de mercado</w:t>
      </w:r>
      <w:r w:rsidR="008E7D31">
        <w:rPr>
          <w:rFonts w:ascii="Arial Narrow" w:hAnsi="Arial Narrow"/>
          <w:lang w:val="es-ES"/>
        </w:rPr>
        <w:t xml:space="preserve"> (</w:t>
      </w:r>
      <w:proofErr w:type="spellStart"/>
      <w:r w:rsidR="008E7D31">
        <w:rPr>
          <w:rFonts w:ascii="Arial Narrow" w:hAnsi="Arial Narrow"/>
          <w:lang w:val="es-ES"/>
        </w:rPr>
        <w:t>Areti</w:t>
      </w:r>
      <w:proofErr w:type="spellEnd"/>
      <w:r w:rsidR="008E7D31">
        <w:rPr>
          <w:rFonts w:ascii="Arial Narrow" w:hAnsi="Arial Narrow"/>
          <w:lang w:val="es-ES"/>
        </w:rPr>
        <w:t xml:space="preserve"> et al., 2024)</w:t>
      </w:r>
      <w:r w:rsidR="000A290A">
        <w:rPr>
          <w:rFonts w:ascii="Arial Narrow" w:hAnsi="Arial Narrow"/>
          <w:lang w:val="es-ES"/>
        </w:rPr>
        <w:t>.</w:t>
      </w:r>
      <w:r w:rsidR="003E4002">
        <w:rPr>
          <w:rFonts w:ascii="Arial Narrow" w:hAnsi="Arial Narrow"/>
          <w:lang w:val="es-ES"/>
        </w:rPr>
        <w:t xml:space="preserve"> </w:t>
      </w:r>
    </w:p>
    <w:p w14:paraId="7046AFA4" w14:textId="782F199A" w:rsidR="002B55BE" w:rsidRDefault="00A05728" w:rsidP="00BA6D96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Finalmente</w:t>
      </w:r>
      <w:r w:rsidR="005C22AD">
        <w:rPr>
          <w:rFonts w:ascii="Arial Narrow" w:hAnsi="Arial Narrow"/>
        </w:rPr>
        <w:t>, l</w:t>
      </w:r>
      <w:r w:rsidR="00FE5BA5">
        <w:rPr>
          <w:rFonts w:ascii="Arial Narrow" w:hAnsi="Arial Narrow"/>
        </w:rPr>
        <w:t xml:space="preserve">as tecnologías mencionadas comprenden una brecha tecnológica entre la industria, la academia y las comunidades rurales o pequeños productores. En </w:t>
      </w:r>
      <w:r w:rsidR="00FE5BA5" w:rsidRPr="00004E61">
        <w:rPr>
          <w:rFonts w:ascii="Arial Narrow" w:hAnsi="Arial Narrow"/>
        </w:rPr>
        <w:t xml:space="preserve">la academia, se realizan experimentos y pruebas a nivel de laboratorio, los cuales difícilmente son escalados a un nivel piloto o industrial, impidiendo que se analice la </w:t>
      </w:r>
      <w:r w:rsidR="00FE5BA5" w:rsidRPr="00004E61">
        <w:rPr>
          <w:rFonts w:ascii="Arial Narrow" w:hAnsi="Arial Narrow"/>
        </w:rPr>
        <w:lastRenderedPageBreak/>
        <w:t xml:space="preserve">viabilidad de </w:t>
      </w:r>
      <w:r w:rsidR="00FE5BA5">
        <w:rPr>
          <w:rFonts w:ascii="Arial Narrow" w:hAnsi="Arial Narrow"/>
        </w:rPr>
        <w:t>est</w:t>
      </w:r>
      <w:r w:rsidR="00FE5BA5" w:rsidRPr="00004E61">
        <w:rPr>
          <w:rFonts w:ascii="Arial Narrow" w:hAnsi="Arial Narrow"/>
        </w:rPr>
        <w:t xml:space="preserve">as tecnologías </w:t>
      </w:r>
      <w:r w:rsidR="00FE5BA5">
        <w:rPr>
          <w:rFonts w:ascii="Arial Narrow" w:hAnsi="Arial Narrow"/>
        </w:rPr>
        <w:t>en distintas áreas</w:t>
      </w:r>
      <w:r w:rsidR="00FE5BA5" w:rsidRPr="00004E61">
        <w:rPr>
          <w:rFonts w:ascii="Arial Narrow" w:hAnsi="Arial Narrow"/>
        </w:rPr>
        <w:t>. Algo</w:t>
      </w:r>
      <w:r w:rsidR="00FE5BA5">
        <w:rPr>
          <w:rFonts w:ascii="Arial Narrow" w:hAnsi="Arial Narrow"/>
        </w:rPr>
        <w:t xml:space="preserve"> similar sucede con las comunidades rurales o los pequeños productores, quienes se desenvuelven muy bien en los procesos de cultivo y cosecha, pero por el desconocimiento de las tecnologías o su adaptabilidad a entornos rurales, pierden rápidamente sus productos o no pueden generar un valor agregado. </w:t>
      </w:r>
      <w:r w:rsidR="0012718D">
        <w:rPr>
          <w:rFonts w:ascii="Arial Narrow" w:hAnsi="Arial Narrow"/>
        </w:rPr>
        <w:t>Dado lo anterior, e</w:t>
      </w:r>
      <w:r w:rsidR="002B55BE">
        <w:rPr>
          <w:rFonts w:ascii="Arial Narrow" w:hAnsi="Arial Narrow"/>
        </w:rPr>
        <w:t>n el presente documento se plantean propuestas para afianzar los conocimientos y el desarrollo cooperativo</w:t>
      </w:r>
      <w:r w:rsidR="00AA3790">
        <w:rPr>
          <w:rFonts w:ascii="Arial Narrow" w:hAnsi="Arial Narrow"/>
        </w:rPr>
        <w:t>, previendo la necesidad de abordar</w:t>
      </w:r>
      <w:r w:rsidR="002B55BE">
        <w:rPr>
          <w:rFonts w:ascii="Arial Narrow" w:hAnsi="Arial Narrow"/>
        </w:rPr>
        <w:t xml:space="preserve"> y dar soluciones a problemas reales, así como</w:t>
      </w:r>
      <w:r w:rsidR="00AA3790">
        <w:rPr>
          <w:rFonts w:ascii="Arial Narrow" w:hAnsi="Arial Narrow"/>
        </w:rPr>
        <w:t xml:space="preserve"> de</w:t>
      </w:r>
      <w:r w:rsidR="002B55BE">
        <w:rPr>
          <w:rFonts w:ascii="Arial Narrow" w:hAnsi="Arial Narrow"/>
        </w:rPr>
        <w:t xml:space="preserve"> dinamizar herramientas para la aplicación de las tecnologías </w:t>
      </w:r>
      <w:r w:rsidR="002F6A9C" w:rsidRPr="002F6A9C">
        <w:rPr>
          <w:rFonts w:ascii="Arial Narrow" w:hAnsi="Arial Narrow"/>
        </w:rPr>
        <w:t>para el manejo, conservación y el aprovechamiento tanto de productos como subproductos de origen agrícol</w:t>
      </w:r>
      <w:r w:rsidR="002F6A9C">
        <w:rPr>
          <w:rFonts w:ascii="Arial Narrow" w:hAnsi="Arial Narrow"/>
        </w:rPr>
        <w:t>a</w:t>
      </w:r>
      <w:r w:rsidR="002B55BE">
        <w:rPr>
          <w:rFonts w:ascii="Arial Narrow" w:hAnsi="Arial Narrow"/>
        </w:rPr>
        <w:t xml:space="preserve"> en entornos </w:t>
      </w:r>
      <w:r w:rsidR="002F6A9C">
        <w:rPr>
          <w:rFonts w:ascii="Arial Narrow" w:hAnsi="Arial Narrow"/>
        </w:rPr>
        <w:t>descentralizados</w:t>
      </w:r>
      <w:r w:rsidR="002B55BE">
        <w:rPr>
          <w:rFonts w:ascii="Arial Narrow" w:hAnsi="Arial Narrow"/>
        </w:rPr>
        <w:t>.</w:t>
      </w:r>
    </w:p>
    <w:p w14:paraId="528F35B7" w14:textId="77777777" w:rsidR="00BA6D96" w:rsidRPr="00BA6D96" w:rsidRDefault="00BA6D96" w:rsidP="00BA6D96">
      <w:pPr>
        <w:spacing w:line="276" w:lineRule="auto"/>
        <w:jc w:val="both"/>
        <w:rPr>
          <w:rFonts w:ascii="Arial Narrow" w:hAnsi="Arial Narrow"/>
        </w:rPr>
      </w:pPr>
    </w:p>
    <w:p w14:paraId="5FA82514" w14:textId="75CB68E7" w:rsidR="00BA6D96" w:rsidRPr="00BA6D96" w:rsidRDefault="00BA6D96" w:rsidP="00BA6D9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BA6D96">
        <w:rPr>
          <w:rFonts w:ascii="Arial Narrow" w:hAnsi="Arial Narrow"/>
          <w:b/>
          <w:bCs/>
        </w:rPr>
        <w:t>Objetivos</w:t>
      </w:r>
    </w:p>
    <w:p w14:paraId="50A358B7" w14:textId="77777777" w:rsidR="00BA6D96" w:rsidRPr="008D6F24" w:rsidRDefault="00BA6D96" w:rsidP="00BA6D96">
      <w:pPr>
        <w:spacing w:line="276" w:lineRule="auto"/>
        <w:jc w:val="both"/>
        <w:rPr>
          <w:rFonts w:ascii="Arial Narrow" w:hAnsi="Arial Narrow"/>
        </w:rPr>
      </w:pPr>
      <w:r w:rsidRPr="008D6F24">
        <w:rPr>
          <w:rFonts w:ascii="Arial Narrow" w:hAnsi="Arial Narrow"/>
        </w:rPr>
        <w:t>Los objetivos se plantearon considerando los componentes de docencia, investigación y extensión</w:t>
      </w:r>
      <w:r>
        <w:rPr>
          <w:rFonts w:ascii="Arial Narrow" w:hAnsi="Arial Narrow"/>
        </w:rPr>
        <w:t>, respectivamente</w:t>
      </w:r>
      <w:r w:rsidRPr="008D6F24">
        <w:rPr>
          <w:rFonts w:ascii="Arial Narrow" w:hAnsi="Arial Narrow"/>
        </w:rPr>
        <w:t>:</w:t>
      </w:r>
    </w:p>
    <w:p w14:paraId="258F4644" w14:textId="77777777" w:rsidR="00BA6D96" w:rsidRPr="00C93380" w:rsidRDefault="00BA6D96" w:rsidP="00BA6D96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/>
        </w:rPr>
      </w:pPr>
      <w:r w:rsidRPr="00C93380">
        <w:rPr>
          <w:rFonts w:ascii="Arial Narrow" w:hAnsi="Arial Narrow"/>
        </w:rPr>
        <w:t xml:space="preserve">Fomentar </w:t>
      </w:r>
      <w:r>
        <w:rPr>
          <w:rFonts w:ascii="Arial Narrow" w:hAnsi="Arial Narrow"/>
        </w:rPr>
        <w:t>estrategias para el aprendizaje significativo-constructivista.</w:t>
      </w:r>
    </w:p>
    <w:p w14:paraId="048753C2" w14:textId="77777777" w:rsidR="00BA6D96" w:rsidRPr="00C93380" w:rsidRDefault="00BA6D96" w:rsidP="00BA6D96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/>
        </w:rPr>
      </w:pPr>
      <w:r w:rsidRPr="00C93380">
        <w:rPr>
          <w:rFonts w:ascii="Arial Narrow" w:hAnsi="Arial Narrow"/>
        </w:rPr>
        <w:t>Establecer redes de investigación para el aprovechamiento agroindustrial de la biodiversidad vegetal colombiana.</w:t>
      </w:r>
    </w:p>
    <w:p w14:paraId="0DD8B8B3" w14:textId="25DD6EE2" w:rsidR="00BA6D96" w:rsidRDefault="00BA6D96" w:rsidP="00BA6D96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/>
        </w:rPr>
      </w:pPr>
      <w:r w:rsidRPr="00C93380">
        <w:rPr>
          <w:rFonts w:ascii="Arial Narrow" w:hAnsi="Arial Narrow"/>
        </w:rPr>
        <w:t>Diseñar estrategias dinamizadoras para las comunidades rurales.</w:t>
      </w:r>
    </w:p>
    <w:p w14:paraId="2E56EB67" w14:textId="77777777" w:rsidR="00BA6D96" w:rsidRPr="00BA6D96" w:rsidRDefault="00BA6D96" w:rsidP="00BA68F0">
      <w:pPr>
        <w:spacing w:line="276" w:lineRule="auto"/>
        <w:jc w:val="both"/>
        <w:rPr>
          <w:rFonts w:ascii="Arial Narrow" w:hAnsi="Arial Narrow"/>
        </w:rPr>
      </w:pPr>
    </w:p>
    <w:p w14:paraId="4E325AC2" w14:textId="7E3B58D8" w:rsidR="00BA6D96" w:rsidRPr="00BA6D96" w:rsidRDefault="00BA6D96" w:rsidP="00BA6D9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hAnsi="Arial Narrow"/>
          <w:b/>
          <w:bCs/>
        </w:rPr>
      </w:pPr>
      <w:r w:rsidRPr="00BA6D96">
        <w:rPr>
          <w:rFonts w:ascii="Arial Narrow" w:hAnsi="Arial Narrow"/>
          <w:b/>
          <w:bCs/>
        </w:rPr>
        <w:t>Propuesta en el componente de docencia</w:t>
      </w:r>
    </w:p>
    <w:p w14:paraId="7CD092FF" w14:textId="77777777" w:rsidR="00BA6D96" w:rsidRPr="00CC01F6" w:rsidRDefault="00BA6D96" w:rsidP="00BA6D96">
      <w:pPr>
        <w:spacing w:line="276" w:lineRule="auto"/>
        <w:jc w:val="both"/>
        <w:rPr>
          <w:rFonts w:ascii="Arial Narrow" w:hAnsi="Arial Narrow"/>
        </w:rPr>
      </w:pPr>
      <w:r w:rsidRPr="00CC01F6">
        <w:rPr>
          <w:rFonts w:ascii="Arial Narrow" w:hAnsi="Arial Narrow"/>
        </w:rPr>
        <w:t xml:space="preserve">La propuesta pedagógica se basa en el triángulo del saber, saber ser y saber hacer, integrando distintos tipos de aprendizaje (Figura </w:t>
      </w:r>
      <w:r>
        <w:rPr>
          <w:rFonts w:ascii="Arial Narrow" w:hAnsi="Arial Narrow"/>
        </w:rPr>
        <w:t>1</w:t>
      </w:r>
      <w:r w:rsidRPr="00CC01F6">
        <w:rPr>
          <w:rFonts w:ascii="Arial Narrow" w:hAnsi="Arial Narrow"/>
        </w:rPr>
        <w:t>).</w:t>
      </w:r>
    </w:p>
    <w:p w14:paraId="68A44EA0" w14:textId="77777777" w:rsidR="00BA6D96" w:rsidRPr="00C93380" w:rsidRDefault="00BA6D96" w:rsidP="00BA6D96">
      <w:pPr>
        <w:spacing w:line="276" w:lineRule="auto"/>
        <w:jc w:val="center"/>
        <w:rPr>
          <w:rFonts w:ascii="Arial Narrow" w:hAnsi="Arial Narrow"/>
          <w:b/>
          <w:bCs/>
        </w:rPr>
      </w:pPr>
      <w:r>
        <w:rPr>
          <w:noProof/>
        </w:rPr>
        <w:drawing>
          <wp:inline distT="0" distB="0" distL="0" distR="0" wp14:anchorId="07F4F39C" wp14:editId="17A11213">
            <wp:extent cx="4551121" cy="3229762"/>
            <wp:effectExtent l="0" t="0" r="1905" b="8890"/>
            <wp:docPr id="1281375068" name="Imagen 1" descr="Imagen de la pantalla de un celular de un mensaje en letras blancas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375068" name="Imagen 1" descr="Imagen de la pantalla de un celular de un mensaje en letras blancas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7135" cy="3248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9320F" w14:textId="77777777" w:rsidR="00BA6D96" w:rsidRPr="00C93380" w:rsidRDefault="00BA6D96" w:rsidP="00BA6D96">
      <w:pPr>
        <w:spacing w:line="276" w:lineRule="auto"/>
        <w:jc w:val="both"/>
        <w:rPr>
          <w:rFonts w:ascii="Arial Narrow" w:hAnsi="Arial Narrow"/>
          <w:b/>
          <w:bCs/>
        </w:rPr>
      </w:pPr>
      <w:r w:rsidRPr="00C93380">
        <w:rPr>
          <w:rFonts w:ascii="Arial Narrow" w:hAnsi="Arial Narrow"/>
          <w:b/>
          <w:bCs/>
        </w:rPr>
        <w:t xml:space="preserve">Figura </w:t>
      </w:r>
      <w:r>
        <w:rPr>
          <w:rFonts w:ascii="Arial Narrow" w:hAnsi="Arial Narrow"/>
          <w:b/>
          <w:bCs/>
        </w:rPr>
        <w:t>1</w:t>
      </w:r>
      <w:r w:rsidRPr="00C93380">
        <w:rPr>
          <w:rFonts w:ascii="Arial Narrow" w:hAnsi="Arial Narrow"/>
          <w:b/>
          <w:bCs/>
        </w:rPr>
        <w:t xml:space="preserve">. </w:t>
      </w:r>
      <w:r w:rsidRPr="00CC01F6">
        <w:rPr>
          <w:rFonts w:ascii="Arial Narrow" w:hAnsi="Arial Narrow"/>
        </w:rPr>
        <w:t>Representación de la propuesta pedagógica representada en el triángulo del saber, saber ser y saber hacer</w:t>
      </w:r>
    </w:p>
    <w:p w14:paraId="18B22C70" w14:textId="77777777" w:rsidR="00BA6D96" w:rsidRPr="00CC01F6" w:rsidRDefault="00BA6D96" w:rsidP="00BA6D96">
      <w:pPr>
        <w:spacing w:line="276" w:lineRule="auto"/>
        <w:jc w:val="both"/>
        <w:rPr>
          <w:rFonts w:ascii="Arial Narrow" w:hAnsi="Arial Narrow"/>
        </w:rPr>
      </w:pPr>
      <w:r w:rsidRPr="00CC01F6">
        <w:rPr>
          <w:rFonts w:ascii="Arial Narrow" w:hAnsi="Arial Narrow"/>
        </w:rPr>
        <w:lastRenderedPageBreak/>
        <w:t>Esta propuesta comprende distintos tipos de aprendizaje, los cuales se interpretan de la siguiente forma:</w:t>
      </w:r>
    </w:p>
    <w:p w14:paraId="065F8701" w14:textId="77777777" w:rsidR="00BA6D96" w:rsidRPr="00CC01F6" w:rsidRDefault="00BA6D96" w:rsidP="00BA6D96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 Narrow" w:hAnsi="Arial Narrow"/>
        </w:rPr>
      </w:pPr>
      <w:r w:rsidRPr="00CC01F6">
        <w:rPr>
          <w:rFonts w:ascii="Arial Narrow" w:hAnsi="Arial Narrow"/>
        </w:rPr>
        <w:t>Aprendizaje basado en problemas: El objetivo es que el estudiante pueda proponer soluciones de forma práctica y teórica para problemas reales, los cuales se consideren un reto para el estudiante.</w:t>
      </w:r>
    </w:p>
    <w:p w14:paraId="19CAF254" w14:textId="77777777" w:rsidR="00BA6D96" w:rsidRPr="00CC01F6" w:rsidRDefault="00BA6D96" w:rsidP="00BA6D96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 Narrow" w:hAnsi="Arial Narrow"/>
        </w:rPr>
      </w:pPr>
      <w:r w:rsidRPr="00CC01F6">
        <w:rPr>
          <w:rFonts w:ascii="Arial Narrow" w:hAnsi="Arial Narrow"/>
        </w:rPr>
        <w:t>Aprendizaje basado en proyectos: El estudiante debe desarrollar en equipos un proyecto mediante una investigación transversal a partir de una pregunta o tema inicial. Al final de la asignatura, el producto final se presentará ante la clase y se dará una retroalimentación.</w:t>
      </w:r>
    </w:p>
    <w:p w14:paraId="19BF4680" w14:textId="77777777" w:rsidR="00BA6D96" w:rsidRPr="00CC01F6" w:rsidRDefault="00BA6D96" w:rsidP="00BA6D96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 Narrow" w:hAnsi="Arial Narrow"/>
        </w:rPr>
      </w:pPr>
      <w:r w:rsidRPr="00CC01F6">
        <w:rPr>
          <w:rFonts w:ascii="Arial Narrow" w:hAnsi="Arial Narrow"/>
        </w:rPr>
        <w:t xml:space="preserve">Aprendizaje colaborativo y cooperativo: Reconocer los roles del trabajo en equipo para el desarrollo de un proyecto de la asignatura y demás actividades. De esta forma, el estudiante podrá desarrollar y fortalecer sus habilidades blandas y la comunicación asertiva. </w:t>
      </w:r>
    </w:p>
    <w:p w14:paraId="5A006900" w14:textId="77777777" w:rsidR="00BA6D96" w:rsidRPr="00CC01F6" w:rsidRDefault="00BA6D96" w:rsidP="00BA6D96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 Narrow" w:hAnsi="Arial Narrow"/>
        </w:rPr>
      </w:pPr>
      <w:r w:rsidRPr="00CC01F6">
        <w:rPr>
          <w:rFonts w:ascii="Arial Narrow" w:hAnsi="Arial Narrow"/>
        </w:rPr>
        <w:t>Aprendizaje significativo: Afianzar los conocimientos del estudiante. El estudiante posee nociones y experiencias previas con los temas de las asignaturas. Por lo tanto, se puede consolidar las capacidades tanto teóricas como prácticas para su profesión, fomentando una actitud crítica y autocrítica, y el razonamiento deductivo (UNIR, 2024).</w:t>
      </w:r>
    </w:p>
    <w:p w14:paraId="5CC9104C" w14:textId="136323B9" w:rsidR="00BA6D96" w:rsidRDefault="00BA6D96" w:rsidP="00BA6D96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 Narrow" w:hAnsi="Arial Narrow"/>
        </w:rPr>
      </w:pPr>
      <w:r w:rsidRPr="00CC01F6">
        <w:rPr>
          <w:rFonts w:ascii="Arial Narrow" w:hAnsi="Arial Narrow"/>
        </w:rPr>
        <w:t>Aprendizaje experiencial: Es importante el trabajo experimental, el cual podrá fomentarse mediante el desarrollo de prácticas de laboratorio y el desarrollo del proyecto de la asignatura. Esto permitirá que el estudiante aplique sus conocimientos previos y adquiridos durante la asignatura</w:t>
      </w:r>
      <w:r w:rsidR="004873DA">
        <w:rPr>
          <w:rFonts w:ascii="Arial Narrow" w:hAnsi="Arial Narrow"/>
        </w:rPr>
        <w:t xml:space="preserve">, </w:t>
      </w:r>
      <w:r w:rsidR="009958A6">
        <w:rPr>
          <w:rFonts w:ascii="Arial Narrow" w:hAnsi="Arial Narrow"/>
        </w:rPr>
        <w:t xml:space="preserve">y </w:t>
      </w:r>
      <w:r w:rsidR="00707303">
        <w:rPr>
          <w:rFonts w:ascii="Arial Narrow" w:hAnsi="Arial Narrow"/>
        </w:rPr>
        <w:t xml:space="preserve">mejorará su </w:t>
      </w:r>
      <w:r w:rsidRPr="00CC01F6">
        <w:rPr>
          <w:rFonts w:ascii="Arial Narrow" w:hAnsi="Arial Narrow"/>
        </w:rPr>
        <w:t>capacidad para la toma de decisiones durante el ejercicio de su profesión.</w:t>
      </w:r>
    </w:p>
    <w:p w14:paraId="288311A5" w14:textId="77777777" w:rsidR="00BA6D96" w:rsidRDefault="00BA6D96" w:rsidP="00BA6D96">
      <w:pPr>
        <w:pStyle w:val="Prrafodelista"/>
        <w:spacing w:line="276" w:lineRule="auto"/>
        <w:jc w:val="both"/>
        <w:rPr>
          <w:rFonts w:ascii="Arial Narrow" w:hAnsi="Arial Narrow"/>
        </w:rPr>
      </w:pPr>
    </w:p>
    <w:p w14:paraId="4748BF35" w14:textId="77777777" w:rsidR="00BA6D96" w:rsidRPr="001A093C" w:rsidRDefault="00BA6D96" w:rsidP="001A093C">
      <w:pPr>
        <w:spacing w:line="276" w:lineRule="auto"/>
        <w:jc w:val="both"/>
        <w:rPr>
          <w:rFonts w:ascii="Arial Narrow" w:hAnsi="Arial Narrow"/>
          <w:b/>
          <w:bCs/>
        </w:rPr>
      </w:pPr>
      <w:r w:rsidRPr="001A093C">
        <w:rPr>
          <w:rFonts w:ascii="Arial Narrow" w:hAnsi="Arial Narrow"/>
          <w:b/>
          <w:bCs/>
        </w:rPr>
        <w:t>Seguimiento y control</w:t>
      </w:r>
    </w:p>
    <w:p w14:paraId="4CDC2D0B" w14:textId="07F82390" w:rsidR="00BA6D96" w:rsidRPr="00EB5DCF" w:rsidRDefault="00BA6D96" w:rsidP="00EB5DCF">
      <w:pPr>
        <w:pStyle w:val="Prrafodelista"/>
        <w:numPr>
          <w:ilvl w:val="0"/>
          <w:numId w:val="10"/>
        </w:numPr>
        <w:spacing w:line="276" w:lineRule="auto"/>
        <w:jc w:val="both"/>
        <w:rPr>
          <w:rFonts w:ascii="Arial Narrow" w:hAnsi="Arial Narrow"/>
          <w:b/>
          <w:bCs/>
        </w:rPr>
      </w:pPr>
      <w:r w:rsidRPr="00EB5DCF">
        <w:rPr>
          <w:rFonts w:ascii="Arial Narrow" w:hAnsi="Arial Narrow"/>
          <w:b/>
          <w:bCs/>
        </w:rPr>
        <w:t xml:space="preserve">Evaluación: </w:t>
      </w:r>
    </w:p>
    <w:p w14:paraId="35B8E234" w14:textId="77777777" w:rsidR="00BA6D96" w:rsidRPr="005A4BA6" w:rsidRDefault="00BA6D96" w:rsidP="00BA6D96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 Narrow" w:hAnsi="Arial Narrow"/>
        </w:rPr>
      </w:pPr>
      <w:r w:rsidRPr="005A4BA6">
        <w:rPr>
          <w:rFonts w:ascii="Arial Narrow" w:hAnsi="Arial Narrow"/>
        </w:rPr>
        <w:t xml:space="preserve">Actividades teóricas: Talleres, parciales y </w:t>
      </w:r>
      <w:proofErr w:type="spellStart"/>
      <w:r w:rsidRPr="005A4BA6">
        <w:rPr>
          <w:rFonts w:ascii="Arial Narrow" w:hAnsi="Arial Narrow"/>
        </w:rPr>
        <w:t>quices</w:t>
      </w:r>
      <w:proofErr w:type="spellEnd"/>
      <w:r w:rsidRPr="005A4BA6">
        <w:rPr>
          <w:rFonts w:ascii="Arial Narrow" w:hAnsi="Arial Narrow"/>
        </w:rPr>
        <w:t xml:space="preserve"> o evaluaciones cortas.</w:t>
      </w:r>
    </w:p>
    <w:p w14:paraId="10CAAB40" w14:textId="12798F42" w:rsidR="00BA6D96" w:rsidRPr="005A4BA6" w:rsidRDefault="00BA6D96" w:rsidP="00BA6D96">
      <w:pPr>
        <w:pStyle w:val="Prrafodelista"/>
        <w:numPr>
          <w:ilvl w:val="0"/>
          <w:numId w:val="5"/>
        </w:numPr>
        <w:spacing w:after="0" w:line="276" w:lineRule="auto"/>
        <w:jc w:val="both"/>
        <w:rPr>
          <w:rFonts w:ascii="Arial Narrow" w:hAnsi="Arial Narrow"/>
          <w:b/>
          <w:bCs/>
        </w:rPr>
      </w:pPr>
      <w:r w:rsidRPr="005A4BA6">
        <w:rPr>
          <w:rFonts w:ascii="Arial Narrow" w:hAnsi="Arial Narrow"/>
        </w:rPr>
        <w:t xml:space="preserve">Actividades prácticas: Prácticas de laboratorio y proyecto </w:t>
      </w:r>
      <w:r w:rsidR="009958A6">
        <w:rPr>
          <w:rFonts w:ascii="Arial Narrow" w:hAnsi="Arial Narrow"/>
        </w:rPr>
        <w:t xml:space="preserve">final de la asignatura </w:t>
      </w:r>
      <w:r>
        <w:rPr>
          <w:rFonts w:ascii="Arial Narrow" w:hAnsi="Arial Narrow"/>
        </w:rPr>
        <w:t>para la resolución de problemas</w:t>
      </w:r>
      <w:r w:rsidR="009958A6">
        <w:rPr>
          <w:rFonts w:ascii="Arial Narrow" w:hAnsi="Arial Narrow"/>
        </w:rPr>
        <w:t xml:space="preserve"> y la aplicación de sus conocimientos de forma vivencial</w:t>
      </w:r>
      <w:r w:rsidRPr="005A4BA6">
        <w:rPr>
          <w:rFonts w:ascii="Arial Narrow" w:hAnsi="Arial Narrow"/>
        </w:rPr>
        <w:t>.</w:t>
      </w:r>
    </w:p>
    <w:p w14:paraId="4A187F3B" w14:textId="77777777" w:rsidR="00BA6D96" w:rsidRPr="005A4BA6" w:rsidRDefault="00BA6D96" w:rsidP="00BA6D96">
      <w:pPr>
        <w:spacing w:after="0" w:line="276" w:lineRule="auto"/>
        <w:ind w:left="1080"/>
        <w:jc w:val="both"/>
        <w:rPr>
          <w:rFonts w:ascii="Arial Narrow" w:hAnsi="Arial Narrow"/>
          <w:b/>
          <w:bCs/>
        </w:rPr>
      </w:pPr>
    </w:p>
    <w:p w14:paraId="28D5D121" w14:textId="39E4A30D" w:rsidR="00BA6D96" w:rsidRPr="00EB5DCF" w:rsidRDefault="00BA6D96" w:rsidP="00EB5DCF">
      <w:pPr>
        <w:pStyle w:val="Prrafodelista"/>
        <w:numPr>
          <w:ilvl w:val="0"/>
          <w:numId w:val="10"/>
        </w:numPr>
        <w:spacing w:after="0" w:line="276" w:lineRule="auto"/>
        <w:jc w:val="both"/>
        <w:rPr>
          <w:rFonts w:ascii="Arial Narrow" w:hAnsi="Arial Narrow"/>
          <w:b/>
          <w:bCs/>
        </w:rPr>
      </w:pPr>
      <w:r w:rsidRPr="00EB5DCF">
        <w:rPr>
          <w:rFonts w:ascii="Arial Narrow" w:hAnsi="Arial Narrow"/>
          <w:b/>
          <w:bCs/>
        </w:rPr>
        <w:t xml:space="preserve">Autoevaluación: </w:t>
      </w:r>
    </w:p>
    <w:p w14:paraId="2DC49889" w14:textId="77777777" w:rsidR="00BA6D96" w:rsidRDefault="00BA6D96" w:rsidP="001A093C">
      <w:pPr>
        <w:spacing w:after="0" w:line="276" w:lineRule="auto"/>
        <w:jc w:val="both"/>
        <w:rPr>
          <w:rFonts w:ascii="Arial Narrow" w:hAnsi="Arial Narrow"/>
        </w:rPr>
      </w:pPr>
      <w:r w:rsidRPr="005A4BA6">
        <w:rPr>
          <w:rFonts w:ascii="Arial Narrow" w:hAnsi="Arial Narrow"/>
        </w:rPr>
        <w:t xml:space="preserve">El estudiante reconocerá su avance en el contenido propuesto para </w:t>
      </w:r>
      <w:r>
        <w:rPr>
          <w:rFonts w:ascii="Arial Narrow" w:hAnsi="Arial Narrow"/>
        </w:rPr>
        <w:t>en cada</w:t>
      </w:r>
      <w:r w:rsidRPr="005A4BA6">
        <w:rPr>
          <w:rFonts w:ascii="Arial Narrow" w:hAnsi="Arial Narrow"/>
        </w:rPr>
        <w:t xml:space="preserve"> asignatura. Para ello, durante el cierre de semestre, valorará de forma autónoma su desempeño siguiendo unas preguntas orientadoras que se diseñarán de acuerdo con las rúbricas de evaluación.</w:t>
      </w:r>
    </w:p>
    <w:p w14:paraId="6A1C866D" w14:textId="77777777" w:rsidR="00BA6D96" w:rsidRPr="00AC32E9" w:rsidRDefault="00BA6D96" w:rsidP="00BA6D96">
      <w:pPr>
        <w:spacing w:after="0" w:line="276" w:lineRule="auto"/>
        <w:ind w:left="1080"/>
        <w:jc w:val="both"/>
        <w:rPr>
          <w:rFonts w:ascii="Arial Narrow" w:hAnsi="Arial Narrow"/>
        </w:rPr>
      </w:pPr>
    </w:p>
    <w:p w14:paraId="635DE873" w14:textId="4B17B4A7" w:rsidR="00BA6D96" w:rsidRPr="00EB5DCF" w:rsidRDefault="00BA6D96" w:rsidP="00EB5DCF">
      <w:pPr>
        <w:pStyle w:val="Prrafodelista"/>
        <w:numPr>
          <w:ilvl w:val="0"/>
          <w:numId w:val="10"/>
        </w:numPr>
        <w:spacing w:after="0" w:line="276" w:lineRule="auto"/>
        <w:jc w:val="both"/>
        <w:rPr>
          <w:rFonts w:ascii="Arial Narrow" w:hAnsi="Arial Narrow"/>
          <w:b/>
          <w:bCs/>
        </w:rPr>
      </w:pPr>
      <w:r w:rsidRPr="00EB5DCF">
        <w:rPr>
          <w:rFonts w:ascii="Arial Narrow" w:hAnsi="Arial Narrow"/>
          <w:b/>
          <w:bCs/>
        </w:rPr>
        <w:t xml:space="preserve">Coevaluación: </w:t>
      </w:r>
    </w:p>
    <w:p w14:paraId="24AB705A" w14:textId="77777777" w:rsidR="00BA6D96" w:rsidRDefault="00BA6D96" w:rsidP="001A093C">
      <w:pPr>
        <w:spacing w:line="276" w:lineRule="auto"/>
        <w:jc w:val="both"/>
        <w:rPr>
          <w:rFonts w:ascii="Arial Narrow" w:hAnsi="Arial Narrow"/>
        </w:rPr>
      </w:pPr>
      <w:r w:rsidRPr="007C250C">
        <w:rPr>
          <w:rFonts w:ascii="Arial Narrow" w:hAnsi="Arial Narrow"/>
        </w:rPr>
        <w:t>Tanto la retroalimentación del proyecto final como el desempeño individual y en equipo del estudiante se valorarán mediante preguntas orientadoras que se plantearán de acuerdo con las rúbricas de evaluación. Los compañeros de equipo y de clase serán los encargados de este proceso.</w:t>
      </w:r>
    </w:p>
    <w:p w14:paraId="6001E7BD" w14:textId="77777777" w:rsidR="00BA6D96" w:rsidRPr="007C250C" w:rsidRDefault="00BA6D96" w:rsidP="00BA6D96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44241C98" w14:textId="77777777" w:rsidR="00BA6D96" w:rsidRPr="00996F32" w:rsidRDefault="00BA6D96" w:rsidP="00BA6D9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hAnsi="Arial Narrow"/>
          <w:b/>
          <w:bCs/>
        </w:rPr>
      </w:pPr>
      <w:r w:rsidRPr="00996F32">
        <w:rPr>
          <w:rFonts w:ascii="Arial Narrow" w:hAnsi="Arial Narrow"/>
          <w:b/>
          <w:bCs/>
        </w:rPr>
        <w:t>Propuesta en el componente de investigación</w:t>
      </w:r>
    </w:p>
    <w:p w14:paraId="3869D261" w14:textId="77777777" w:rsidR="00BA6D96" w:rsidRDefault="00BA6D96" w:rsidP="00B11E58">
      <w:pPr>
        <w:pStyle w:val="Prrafodelista"/>
        <w:numPr>
          <w:ilvl w:val="1"/>
          <w:numId w:val="1"/>
        </w:numPr>
        <w:spacing w:before="240" w:line="276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Ejes temáticos</w:t>
      </w:r>
    </w:p>
    <w:p w14:paraId="0F733EDC" w14:textId="77777777" w:rsidR="001A093C" w:rsidRDefault="00BA6D96" w:rsidP="001A093C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 Narrow" w:hAnsi="Arial Narrow"/>
        </w:rPr>
      </w:pPr>
      <w:r w:rsidRPr="00BD4196">
        <w:rPr>
          <w:rFonts w:ascii="Arial Narrow" w:hAnsi="Arial Narrow"/>
          <w:u w:val="single"/>
        </w:rPr>
        <w:t>Conservación de frutas y hortalizas:</w:t>
      </w:r>
      <w:r w:rsidRPr="00BD4196">
        <w:rPr>
          <w:rFonts w:ascii="Arial Narrow" w:hAnsi="Arial Narrow"/>
        </w:rPr>
        <w:t xml:space="preserve"> De acuerdo con las Naciones Unidas (2023), cerca del 19% de la producción total de alimentos se pierden o desperdician entre las etapas de cosecha, postcosecha, y entre su distribución y consumo. Por consiguiente, es importante proponer metodologías y procesos óptimos para mitigar las pérdidas y la inseguridad alimentaria. Para que exista seguridad alimentaria, es necesario considerar la inocuidad como condición necesaria para brindar a los consumidores alimentos que no se </w:t>
      </w:r>
      <w:r w:rsidRPr="00C54BEF">
        <w:rPr>
          <w:rFonts w:ascii="Arial Narrow" w:hAnsi="Arial Narrow"/>
        </w:rPr>
        <w:lastRenderedPageBreak/>
        <w:t>encuentren contaminados por compuestos tóxicos o por la incidencia de patógenos, o que puedan incrementar el riesgo de enfermedades crónico-degenerativas (Organización de las Naciones Unidas para la Alimentación y la Agricultura, 2024).</w:t>
      </w:r>
    </w:p>
    <w:p w14:paraId="3ABB8333" w14:textId="745E5947" w:rsidR="001A093C" w:rsidRPr="001A093C" w:rsidRDefault="00BA6D96" w:rsidP="001A093C">
      <w:pPr>
        <w:pStyle w:val="Prrafodelista"/>
        <w:spacing w:line="276" w:lineRule="auto"/>
        <w:ind w:left="360"/>
        <w:jc w:val="both"/>
        <w:rPr>
          <w:rFonts w:ascii="Arial Narrow" w:hAnsi="Arial Narrow"/>
        </w:rPr>
      </w:pPr>
      <w:r w:rsidRPr="001A093C">
        <w:rPr>
          <w:rFonts w:ascii="Arial Narrow" w:hAnsi="Arial Narrow"/>
        </w:rPr>
        <w:t>Dado lo anterior, se nota pertinente proponer el análisis, la simulación y la aplicación de tecnologías emergentes que puedan permitir el aseguramiento de la inocuidad y la extensión de la vida útil de los alimentos. Entre estas tecnologías, se encuentran el envasado activo e inteligente, las atmósferas inteligentes, los conservantes y antimicrobianos naturales, la radiación ultravioleta, las altas presiones hidrostáticas, el ozono, el plasma, entre otros (Iturralde-García et al., 2022).</w:t>
      </w:r>
    </w:p>
    <w:p w14:paraId="53E2D799" w14:textId="77777777" w:rsidR="001A093C" w:rsidRDefault="00BA6D96" w:rsidP="001A093C">
      <w:pPr>
        <w:pStyle w:val="Prrafodelista"/>
        <w:numPr>
          <w:ilvl w:val="0"/>
          <w:numId w:val="8"/>
        </w:numPr>
        <w:spacing w:before="240" w:line="276" w:lineRule="auto"/>
        <w:jc w:val="both"/>
        <w:rPr>
          <w:rFonts w:ascii="Arial Narrow" w:hAnsi="Arial Narrow"/>
        </w:rPr>
      </w:pPr>
      <w:r w:rsidRPr="00C54BEF">
        <w:rPr>
          <w:rFonts w:ascii="Arial Narrow" w:hAnsi="Arial Narrow"/>
          <w:u w:val="single"/>
        </w:rPr>
        <w:t>Tendencias en procesamiento:</w:t>
      </w:r>
      <w:r w:rsidRPr="00C54BEF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La </w:t>
      </w:r>
      <w:r w:rsidRPr="00C54BEF">
        <w:rPr>
          <w:rFonts w:ascii="Arial Narrow" w:hAnsi="Arial Narrow"/>
        </w:rPr>
        <w:t xml:space="preserve">fermentación es uno de los métodos de procesamiento que actualmente brinda un amplio espectro de estudio y análisis. Además, de la biotransformación, permite el desarrollo de productos alimenticios </w:t>
      </w:r>
      <w:r>
        <w:rPr>
          <w:rFonts w:ascii="Arial Narrow" w:hAnsi="Arial Narrow"/>
        </w:rPr>
        <w:t>origen vegetal con</w:t>
      </w:r>
      <w:r w:rsidRPr="00C54BEF">
        <w:rPr>
          <w:rFonts w:ascii="Arial Narrow" w:hAnsi="Arial Narrow"/>
        </w:rPr>
        <w:t xml:space="preserve"> alto valor agregado, nutricional y funcional, entre estos, panes, bebidas alcohólicas y no alcohólicas, encurtidos, chucrut, etc. (</w:t>
      </w:r>
      <w:proofErr w:type="spellStart"/>
      <w:r w:rsidRPr="00C54BEF">
        <w:rPr>
          <w:rFonts w:ascii="Arial Narrow" w:hAnsi="Arial Narrow"/>
        </w:rPr>
        <w:t>Terpou</w:t>
      </w:r>
      <w:proofErr w:type="spellEnd"/>
      <w:r w:rsidRPr="00C54BEF">
        <w:rPr>
          <w:rFonts w:ascii="Arial Narrow" w:hAnsi="Arial Narrow"/>
        </w:rPr>
        <w:t xml:space="preserve"> &amp; Rai, 2022). </w:t>
      </w:r>
    </w:p>
    <w:p w14:paraId="268239DF" w14:textId="506749D6" w:rsidR="001A093C" w:rsidRPr="001A093C" w:rsidRDefault="00BA6D96" w:rsidP="001A093C">
      <w:pPr>
        <w:pStyle w:val="Prrafodelista"/>
        <w:spacing w:line="276" w:lineRule="auto"/>
        <w:ind w:left="360"/>
        <w:jc w:val="both"/>
        <w:rPr>
          <w:rFonts w:ascii="Arial Narrow" w:hAnsi="Arial Narrow"/>
        </w:rPr>
      </w:pPr>
      <w:r w:rsidRPr="001A093C">
        <w:rPr>
          <w:rFonts w:ascii="Arial Narrow" w:hAnsi="Arial Narrow"/>
        </w:rPr>
        <w:t xml:space="preserve">Adicionalmente, es pertinente resaltar el papel de la nanotecnología en la actualidad. La nanotecnología permite mejorar la liberación de nutrientes, la encapsulación, solubilización y accesibilidad biológica de nutrientes y compuestos bioactivos, conservar las características sensoriales de los alimentos, comprendiendo entre estas el color, el sabor y la textura; así como el desarrollo de nuevos materiales de envasado activo e inteligente de alimentos, con propiedades antioxidantes, antimicrobianas y sensores para la trazabilidad de la calidad en las cadenas de suministro </w:t>
      </w:r>
      <w:r w:rsidR="00BA5A3F" w:rsidRPr="001A093C">
        <w:rPr>
          <w:rFonts w:ascii="Arial Narrow" w:hAnsi="Arial Narrow"/>
        </w:rPr>
        <w:t xml:space="preserve">agrícolas </w:t>
      </w:r>
      <w:r w:rsidRPr="001A093C">
        <w:rPr>
          <w:rFonts w:ascii="Arial Narrow" w:hAnsi="Arial Narrow"/>
        </w:rPr>
        <w:t>(Neme et al., 2021).</w:t>
      </w:r>
    </w:p>
    <w:p w14:paraId="0D745E41" w14:textId="6C99F3F1" w:rsidR="00BA6D96" w:rsidRDefault="00BA6D96" w:rsidP="001A093C">
      <w:pPr>
        <w:pStyle w:val="Prrafodelista"/>
        <w:numPr>
          <w:ilvl w:val="0"/>
          <w:numId w:val="8"/>
        </w:numPr>
        <w:spacing w:before="240" w:after="0" w:line="276" w:lineRule="auto"/>
        <w:jc w:val="both"/>
        <w:rPr>
          <w:rFonts w:ascii="Arial Narrow" w:hAnsi="Arial Narrow"/>
        </w:rPr>
      </w:pPr>
      <w:r w:rsidRPr="00C54BEF">
        <w:rPr>
          <w:rFonts w:ascii="Arial Narrow" w:hAnsi="Arial Narrow"/>
          <w:u w:val="single"/>
        </w:rPr>
        <w:t>Producción sostenible:</w:t>
      </w:r>
      <w:r w:rsidRPr="00C54BEF">
        <w:rPr>
          <w:rFonts w:ascii="Arial Narrow" w:hAnsi="Arial Narrow"/>
        </w:rPr>
        <w:t xml:space="preserve"> La economía circular permite reconocer la relevancia del consumo responsable y de dar una segunda aplicación a lo que se considera como </w:t>
      </w:r>
      <w:r w:rsidR="00B86A82">
        <w:rPr>
          <w:rFonts w:ascii="Arial Narrow" w:hAnsi="Arial Narrow"/>
        </w:rPr>
        <w:t>“</w:t>
      </w:r>
      <w:r w:rsidRPr="00C54BEF">
        <w:rPr>
          <w:rFonts w:ascii="Arial Narrow" w:hAnsi="Arial Narrow"/>
        </w:rPr>
        <w:t>residuo</w:t>
      </w:r>
      <w:r w:rsidR="00B86A82">
        <w:rPr>
          <w:rFonts w:ascii="Arial Narrow" w:hAnsi="Arial Narrow"/>
        </w:rPr>
        <w:t>”</w:t>
      </w:r>
      <w:r w:rsidRPr="00C54BEF">
        <w:rPr>
          <w:rFonts w:ascii="Arial Narrow" w:hAnsi="Arial Narrow"/>
        </w:rPr>
        <w:t>. Durante toda la cadena agroindustrial, se producen subproductos o residuos de alto valor nutricional y biológico. Por lo tanto, mediante el enfoque de la bioeconomía, el uso de distintos microorganismos como bacterias ácido-lácticas</w:t>
      </w:r>
      <w:r>
        <w:rPr>
          <w:rFonts w:ascii="Arial Narrow" w:hAnsi="Arial Narrow"/>
        </w:rPr>
        <w:t>,</w:t>
      </w:r>
      <w:r w:rsidRPr="00C54BEF">
        <w:rPr>
          <w:rFonts w:ascii="Arial Narrow" w:hAnsi="Arial Narrow"/>
        </w:rPr>
        <w:t xml:space="preserve"> levaduras y enzimas se pueden obtener productos de valor agregado a partir de subproductos, entre ellos se citan los siguientes: ácidos orgánicos, alcoholes, péptidos con actividad biológica, compuestos bioactivos, antibióticos, pigmentos y otro</w:t>
      </w:r>
      <w:r w:rsidR="004518A2">
        <w:rPr>
          <w:rFonts w:ascii="Arial Narrow" w:hAnsi="Arial Narrow"/>
        </w:rPr>
        <w:t>s compuestos intermedios</w:t>
      </w:r>
      <w:r w:rsidRPr="00C54BEF">
        <w:rPr>
          <w:rFonts w:ascii="Arial Narrow" w:hAnsi="Arial Narrow"/>
        </w:rPr>
        <w:t xml:space="preserve"> (</w:t>
      </w:r>
      <w:proofErr w:type="spellStart"/>
      <w:r w:rsidRPr="00C54BEF">
        <w:rPr>
          <w:rFonts w:ascii="Arial Narrow" w:hAnsi="Arial Narrow"/>
        </w:rPr>
        <w:t>Kircher</w:t>
      </w:r>
      <w:proofErr w:type="spellEnd"/>
      <w:r w:rsidRPr="00C54BEF">
        <w:rPr>
          <w:rFonts w:ascii="Arial Narrow" w:hAnsi="Arial Narrow"/>
        </w:rPr>
        <w:t xml:space="preserve"> et al., 2020).</w:t>
      </w:r>
    </w:p>
    <w:p w14:paraId="445089AD" w14:textId="77777777" w:rsidR="00BA6D96" w:rsidRPr="003E4AD4" w:rsidRDefault="00BA6D96" w:rsidP="00BA6D96">
      <w:pPr>
        <w:pStyle w:val="Prrafodelista"/>
        <w:spacing w:after="0" w:line="276" w:lineRule="auto"/>
        <w:jc w:val="both"/>
        <w:rPr>
          <w:rFonts w:ascii="Arial Narrow" w:hAnsi="Arial Narrow"/>
        </w:rPr>
      </w:pPr>
    </w:p>
    <w:p w14:paraId="60BE962D" w14:textId="77777777" w:rsidR="00BA6D96" w:rsidRDefault="00BA6D96" w:rsidP="00BA6D96">
      <w:pPr>
        <w:pStyle w:val="Prrafodelista"/>
        <w:numPr>
          <w:ilvl w:val="1"/>
          <w:numId w:val="1"/>
        </w:numPr>
        <w:spacing w:before="240" w:line="276" w:lineRule="auto"/>
        <w:jc w:val="both"/>
        <w:rPr>
          <w:rFonts w:ascii="Arial Narrow" w:hAnsi="Arial Narrow"/>
          <w:b/>
          <w:bCs/>
        </w:rPr>
      </w:pPr>
      <w:r w:rsidRPr="003E4AD4">
        <w:rPr>
          <w:rFonts w:ascii="Arial Narrow" w:hAnsi="Arial Narrow"/>
          <w:b/>
          <w:bCs/>
        </w:rPr>
        <w:t>Seguimiento y control</w:t>
      </w:r>
    </w:p>
    <w:p w14:paraId="0A941E82" w14:textId="77777777" w:rsidR="00BA6D96" w:rsidRPr="00CD467B" w:rsidRDefault="00BA6D96" w:rsidP="00BA6D96">
      <w:pPr>
        <w:pStyle w:val="Prrafodelista"/>
        <w:numPr>
          <w:ilvl w:val="0"/>
          <w:numId w:val="8"/>
        </w:numPr>
        <w:spacing w:before="240" w:line="276" w:lineRule="auto"/>
        <w:jc w:val="both"/>
        <w:rPr>
          <w:rFonts w:ascii="Arial Narrow" w:hAnsi="Arial Narrow"/>
        </w:rPr>
      </w:pPr>
      <w:r w:rsidRPr="00CD467B">
        <w:rPr>
          <w:rFonts w:ascii="Arial Narrow" w:hAnsi="Arial Narrow"/>
        </w:rPr>
        <w:t>Generación y protección de propiedad industrial e intelectual.</w:t>
      </w:r>
    </w:p>
    <w:p w14:paraId="6F6312C0" w14:textId="77777777" w:rsidR="00BA6D96" w:rsidRPr="00CD467B" w:rsidRDefault="00BA6D96" w:rsidP="00BA6D96">
      <w:pPr>
        <w:pStyle w:val="Prrafodelista"/>
        <w:numPr>
          <w:ilvl w:val="0"/>
          <w:numId w:val="8"/>
        </w:numPr>
        <w:spacing w:before="240" w:line="276" w:lineRule="auto"/>
        <w:jc w:val="both"/>
        <w:rPr>
          <w:rFonts w:ascii="Arial Narrow" w:hAnsi="Arial Narrow"/>
        </w:rPr>
      </w:pPr>
      <w:r w:rsidRPr="00CD467B">
        <w:rPr>
          <w:rFonts w:ascii="Arial Narrow" w:hAnsi="Arial Narrow"/>
        </w:rPr>
        <w:t>Publicación de libros, capítulos de libro, artículos de investigación o revisión en colaboración con grupos de investigación o docentes de otras sedes de la Universidad Nacional de Colombia, instituciones de educación superior, laboratorios o centros de investigación de carácter nacional e internacional.</w:t>
      </w:r>
    </w:p>
    <w:p w14:paraId="46D3526D" w14:textId="77777777" w:rsidR="00BA6D96" w:rsidRPr="00CD467B" w:rsidRDefault="00BA6D96" w:rsidP="00BA6D96">
      <w:pPr>
        <w:pStyle w:val="Prrafodelista"/>
        <w:numPr>
          <w:ilvl w:val="0"/>
          <w:numId w:val="8"/>
        </w:numPr>
        <w:spacing w:before="240" w:line="276" w:lineRule="auto"/>
        <w:jc w:val="both"/>
        <w:rPr>
          <w:rFonts w:ascii="Arial Narrow" w:hAnsi="Arial Narrow"/>
        </w:rPr>
      </w:pPr>
      <w:r w:rsidRPr="00CD467B">
        <w:rPr>
          <w:rFonts w:ascii="Arial Narrow" w:hAnsi="Arial Narrow"/>
        </w:rPr>
        <w:t xml:space="preserve">Fomento de la movilidad entre sedes, nacional o internacional de estudiantes y docentes.  </w:t>
      </w:r>
    </w:p>
    <w:p w14:paraId="340DF10C" w14:textId="77777777" w:rsidR="00BA6D96" w:rsidRDefault="00BA6D96" w:rsidP="00BA6D96">
      <w:pPr>
        <w:pStyle w:val="Prrafodelista"/>
        <w:numPr>
          <w:ilvl w:val="0"/>
          <w:numId w:val="8"/>
        </w:numPr>
        <w:spacing w:before="240" w:line="276" w:lineRule="auto"/>
        <w:jc w:val="both"/>
        <w:rPr>
          <w:rFonts w:ascii="Arial Narrow" w:hAnsi="Arial Narrow"/>
        </w:rPr>
      </w:pPr>
      <w:r w:rsidRPr="00CD467B">
        <w:rPr>
          <w:rFonts w:ascii="Arial Narrow" w:hAnsi="Arial Narrow"/>
        </w:rPr>
        <w:t>Participación y organización de eventos de divulgación científica.</w:t>
      </w:r>
    </w:p>
    <w:p w14:paraId="15E51DD9" w14:textId="77777777" w:rsidR="00BA6D96" w:rsidRPr="00CD467B" w:rsidRDefault="00BA6D96" w:rsidP="00BA6D96">
      <w:pPr>
        <w:spacing w:before="240" w:line="276" w:lineRule="auto"/>
        <w:ind w:left="360"/>
        <w:jc w:val="both"/>
        <w:rPr>
          <w:rFonts w:ascii="Arial Narrow" w:hAnsi="Arial Narrow"/>
        </w:rPr>
      </w:pPr>
    </w:p>
    <w:p w14:paraId="11B6C20F" w14:textId="3E7F4A92" w:rsidR="00BA6D96" w:rsidRPr="0012015E" w:rsidRDefault="00BA6D96" w:rsidP="0012015E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hAnsi="Arial Narrow"/>
          <w:b/>
          <w:bCs/>
        </w:rPr>
      </w:pPr>
      <w:r w:rsidRPr="0012015E">
        <w:rPr>
          <w:rFonts w:ascii="Arial Narrow" w:hAnsi="Arial Narrow"/>
          <w:b/>
          <w:bCs/>
        </w:rPr>
        <w:t>Propuesta en el componente</w:t>
      </w:r>
      <w:r w:rsidR="00B11E58">
        <w:rPr>
          <w:rFonts w:ascii="Arial Narrow" w:hAnsi="Arial Narrow"/>
          <w:b/>
          <w:bCs/>
        </w:rPr>
        <w:t xml:space="preserve"> de</w:t>
      </w:r>
      <w:r w:rsidRPr="0012015E">
        <w:rPr>
          <w:rFonts w:ascii="Arial Narrow" w:hAnsi="Arial Narrow"/>
          <w:b/>
          <w:bCs/>
        </w:rPr>
        <w:t xml:space="preserve"> extensión</w:t>
      </w:r>
    </w:p>
    <w:p w14:paraId="3EBAC9CF" w14:textId="2FFD632C" w:rsidR="00BA6D96" w:rsidRDefault="00BA6D96" w:rsidP="00BA6D96">
      <w:pPr>
        <w:spacing w:after="0" w:line="276" w:lineRule="auto"/>
        <w:jc w:val="both"/>
        <w:rPr>
          <w:rFonts w:ascii="Arial Narrow" w:hAnsi="Arial Narrow"/>
        </w:rPr>
      </w:pPr>
      <w:r w:rsidRPr="00830F91">
        <w:rPr>
          <w:rFonts w:ascii="Arial Narrow" w:hAnsi="Arial Narrow"/>
        </w:rPr>
        <w:t>Se propone la creación de espacios para el trabajo de docentes y estudiantes en comunidades rurales de</w:t>
      </w:r>
      <w:r w:rsidR="004518A2">
        <w:rPr>
          <w:rFonts w:ascii="Arial Narrow" w:hAnsi="Arial Narrow"/>
        </w:rPr>
        <w:t xml:space="preserve"> la región andina </w:t>
      </w:r>
      <w:r w:rsidRPr="00830F91">
        <w:rPr>
          <w:rFonts w:ascii="Arial Narrow" w:hAnsi="Arial Narrow"/>
        </w:rPr>
        <w:t xml:space="preserve">de Colombia. Por esto, mediante el área de extensión, es necesario incentivar el diálogo de saberes para el rescate de prácticas y conocimientos </w:t>
      </w:r>
      <w:r>
        <w:rPr>
          <w:rFonts w:ascii="Arial Narrow" w:hAnsi="Arial Narrow"/>
        </w:rPr>
        <w:t>entorno</w:t>
      </w:r>
      <w:r w:rsidRPr="00830F91">
        <w:rPr>
          <w:rFonts w:ascii="Arial Narrow" w:hAnsi="Arial Narrow"/>
        </w:rPr>
        <w:t xml:space="preserve"> al aprovechamiento agroindustrial de la biodiversidad vegetal desde una mirada conservacionista. Siendo consecuentes con la construcción de nación, desde los programas de pregrado y posgrado se hace propicio generar estrategias que permitan a estas comunidades rurales su sostenibilidad y continuidad. Por ende, se concibe la creación de herramientas multimedia para la comunicación y la retroalimentación de conocimientos tanto con las comunidades rurales </w:t>
      </w:r>
      <w:r w:rsidRPr="00830F91">
        <w:rPr>
          <w:rFonts w:ascii="Arial Narrow" w:hAnsi="Arial Narrow"/>
        </w:rPr>
        <w:lastRenderedPageBreak/>
        <w:t xml:space="preserve">como con la población en general, apoyándose en la Oficina de </w:t>
      </w:r>
      <w:proofErr w:type="spellStart"/>
      <w:r w:rsidRPr="00830F91">
        <w:rPr>
          <w:rFonts w:ascii="Arial Narrow" w:hAnsi="Arial Narrow"/>
        </w:rPr>
        <w:t>Unimedios</w:t>
      </w:r>
      <w:proofErr w:type="spellEnd"/>
      <w:r w:rsidRPr="00830F91">
        <w:rPr>
          <w:rFonts w:ascii="Arial Narrow" w:hAnsi="Arial Narrow"/>
        </w:rPr>
        <w:t>. Asimismo, se ve necesario el diseño de prototipos y equipos que mejoren la calidad de vida de las comunidades rurales y soporten los procesos de investigación y formación. Lo anterior</w:t>
      </w:r>
      <w:r>
        <w:rPr>
          <w:rFonts w:ascii="Arial Narrow" w:hAnsi="Arial Narrow"/>
        </w:rPr>
        <w:t>,</w:t>
      </w:r>
      <w:r w:rsidRPr="00830F91">
        <w:rPr>
          <w:rFonts w:ascii="Arial Narrow" w:hAnsi="Arial Narrow"/>
        </w:rPr>
        <w:t xml:space="preserve"> puede conllevar a integrar la automatización de procesos agroindustriales y la simulación mediante </w:t>
      </w:r>
      <w:r w:rsidR="0053512A">
        <w:rPr>
          <w:rFonts w:ascii="Arial Narrow" w:hAnsi="Arial Narrow"/>
        </w:rPr>
        <w:t xml:space="preserve">sensores de bajo costo, </w:t>
      </w:r>
      <w:r w:rsidR="00BF0CE4">
        <w:rPr>
          <w:rFonts w:ascii="Arial Narrow" w:hAnsi="Arial Narrow"/>
        </w:rPr>
        <w:t>el internet de las cosas (</w:t>
      </w:r>
      <w:proofErr w:type="spellStart"/>
      <w:r w:rsidR="00BF0CE4" w:rsidRPr="00A23C97">
        <w:rPr>
          <w:rFonts w:ascii="Arial Narrow" w:hAnsi="Arial Narrow"/>
          <w:i/>
          <w:iCs/>
        </w:rPr>
        <w:t>IoT</w:t>
      </w:r>
      <w:proofErr w:type="spellEnd"/>
      <w:r w:rsidR="00BF0CE4">
        <w:rPr>
          <w:rFonts w:ascii="Arial Narrow" w:hAnsi="Arial Narrow"/>
        </w:rPr>
        <w:t>)</w:t>
      </w:r>
      <w:r w:rsidR="00EC300B">
        <w:rPr>
          <w:rFonts w:ascii="Arial Narrow" w:hAnsi="Arial Narrow"/>
        </w:rPr>
        <w:t xml:space="preserve">, </w:t>
      </w:r>
      <w:r w:rsidR="00A23C97">
        <w:rPr>
          <w:rFonts w:ascii="Arial Narrow" w:hAnsi="Arial Narrow"/>
        </w:rPr>
        <w:t>aprendizaje automático (</w:t>
      </w:r>
      <w:r w:rsidR="00EC300B" w:rsidRPr="00A23C97">
        <w:rPr>
          <w:rFonts w:ascii="Arial Narrow" w:hAnsi="Arial Narrow"/>
          <w:i/>
          <w:iCs/>
        </w:rPr>
        <w:t xml:space="preserve">machine </w:t>
      </w:r>
      <w:proofErr w:type="spellStart"/>
      <w:r w:rsidR="00EC300B" w:rsidRPr="00A23C97">
        <w:rPr>
          <w:rFonts w:ascii="Arial Narrow" w:hAnsi="Arial Narrow"/>
          <w:i/>
          <w:iCs/>
        </w:rPr>
        <w:t>learning</w:t>
      </w:r>
      <w:proofErr w:type="spellEnd"/>
      <w:r w:rsidR="00A23C97">
        <w:rPr>
          <w:rFonts w:ascii="Arial Narrow" w:hAnsi="Arial Narrow"/>
        </w:rPr>
        <w:t>)</w:t>
      </w:r>
      <w:r w:rsidR="00EC300B">
        <w:rPr>
          <w:rFonts w:ascii="Arial Narrow" w:hAnsi="Arial Narrow"/>
        </w:rPr>
        <w:t xml:space="preserve"> y</w:t>
      </w:r>
      <w:r w:rsidR="00EF5055">
        <w:rPr>
          <w:rFonts w:ascii="Arial Narrow" w:hAnsi="Arial Narrow"/>
        </w:rPr>
        <w:t xml:space="preserve"> </w:t>
      </w:r>
      <w:r w:rsidR="00BF0CE4">
        <w:rPr>
          <w:rFonts w:ascii="Arial Narrow" w:hAnsi="Arial Narrow"/>
        </w:rPr>
        <w:t>la nube (</w:t>
      </w:r>
      <w:proofErr w:type="spellStart"/>
      <w:r w:rsidR="00BF0CE4" w:rsidRPr="00A23C97">
        <w:rPr>
          <w:rFonts w:ascii="Arial Narrow" w:hAnsi="Arial Narrow"/>
          <w:i/>
          <w:iCs/>
        </w:rPr>
        <w:t>cloud</w:t>
      </w:r>
      <w:proofErr w:type="spellEnd"/>
      <w:r w:rsidR="00BF0CE4">
        <w:rPr>
          <w:rFonts w:ascii="Arial Narrow" w:hAnsi="Arial Narrow"/>
        </w:rPr>
        <w:t>)</w:t>
      </w:r>
      <w:r w:rsidR="00D641FC">
        <w:rPr>
          <w:rFonts w:ascii="Arial Narrow" w:hAnsi="Arial Narrow"/>
        </w:rPr>
        <w:t xml:space="preserve">. De acuerdo con </w:t>
      </w:r>
      <w:proofErr w:type="spellStart"/>
      <w:r w:rsidR="005C6F77" w:rsidRPr="005C6F77">
        <w:rPr>
          <w:rFonts w:ascii="Arial Narrow" w:hAnsi="Arial Narrow"/>
        </w:rPr>
        <w:t>Klerkx</w:t>
      </w:r>
      <w:proofErr w:type="spellEnd"/>
      <w:r w:rsidR="005C6F77" w:rsidRPr="005C6F77">
        <w:rPr>
          <w:rFonts w:ascii="Arial Narrow" w:hAnsi="Arial Narrow"/>
        </w:rPr>
        <w:t xml:space="preserve"> &amp; Rose (2020)</w:t>
      </w:r>
      <w:r w:rsidR="00F149AF">
        <w:rPr>
          <w:rFonts w:ascii="Arial Narrow" w:hAnsi="Arial Narrow"/>
        </w:rPr>
        <w:t>,</w:t>
      </w:r>
      <w:r w:rsidR="00D641FC">
        <w:rPr>
          <w:rFonts w:ascii="Arial Narrow" w:hAnsi="Arial Narrow"/>
        </w:rPr>
        <w:t xml:space="preserve"> estos c</w:t>
      </w:r>
      <w:r w:rsidR="00EF5055">
        <w:rPr>
          <w:rFonts w:ascii="Arial Narrow" w:hAnsi="Arial Narrow"/>
        </w:rPr>
        <w:t>omponentes de la Agricultura 4.0</w:t>
      </w:r>
      <w:r w:rsidR="00D641FC">
        <w:rPr>
          <w:rFonts w:ascii="Arial Narrow" w:hAnsi="Arial Narrow"/>
        </w:rPr>
        <w:t xml:space="preserve"> pretenden </w:t>
      </w:r>
      <w:r w:rsidR="00AF2431">
        <w:rPr>
          <w:rFonts w:ascii="Arial Narrow" w:hAnsi="Arial Narrow"/>
        </w:rPr>
        <w:t xml:space="preserve">impulsar sistemas </w:t>
      </w:r>
      <w:r w:rsidR="00B05363">
        <w:rPr>
          <w:rFonts w:ascii="Arial Narrow" w:hAnsi="Arial Narrow"/>
        </w:rPr>
        <w:t xml:space="preserve">agrícolas y de alimentación </w:t>
      </w:r>
      <w:r w:rsidR="005E7A0C">
        <w:rPr>
          <w:rFonts w:ascii="Arial Narrow" w:hAnsi="Arial Narrow"/>
        </w:rPr>
        <w:t xml:space="preserve">con innovación </w:t>
      </w:r>
      <w:r w:rsidR="00F149AF">
        <w:rPr>
          <w:rFonts w:ascii="Arial Narrow" w:hAnsi="Arial Narrow"/>
        </w:rPr>
        <w:t>responsable.</w:t>
      </w:r>
    </w:p>
    <w:p w14:paraId="0D548E22" w14:textId="77777777" w:rsidR="00B05363" w:rsidRDefault="00B05363" w:rsidP="00BA6D96">
      <w:pPr>
        <w:spacing w:after="0" w:line="276" w:lineRule="auto"/>
        <w:jc w:val="both"/>
        <w:rPr>
          <w:rFonts w:ascii="Arial Narrow" w:hAnsi="Arial Narrow"/>
        </w:rPr>
      </w:pPr>
    </w:p>
    <w:p w14:paraId="1EDCDC2C" w14:textId="77777777" w:rsidR="00BA6D96" w:rsidRPr="00B11E58" w:rsidRDefault="00BA6D96" w:rsidP="00B11E58">
      <w:pPr>
        <w:spacing w:line="276" w:lineRule="auto"/>
        <w:jc w:val="both"/>
        <w:rPr>
          <w:rFonts w:ascii="Arial Narrow" w:hAnsi="Arial Narrow"/>
          <w:b/>
          <w:bCs/>
        </w:rPr>
      </w:pPr>
      <w:r w:rsidRPr="00B11E58">
        <w:rPr>
          <w:rFonts w:ascii="Arial Narrow" w:hAnsi="Arial Narrow"/>
          <w:b/>
          <w:bCs/>
        </w:rPr>
        <w:t>Seguimiento y control</w:t>
      </w:r>
    </w:p>
    <w:p w14:paraId="19F752E3" w14:textId="77777777" w:rsidR="00BA6D96" w:rsidRPr="00985132" w:rsidRDefault="00BA6D96" w:rsidP="00BA6D96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 Narrow" w:hAnsi="Arial Narrow"/>
        </w:rPr>
      </w:pPr>
      <w:r w:rsidRPr="00985132">
        <w:rPr>
          <w:rFonts w:ascii="Arial Narrow" w:hAnsi="Arial Narrow"/>
        </w:rPr>
        <w:t>Diseño de prototipos o equipos que soporten que puedan mejorar la calidad de vida de comunidades rurales.</w:t>
      </w:r>
    </w:p>
    <w:p w14:paraId="520599AB" w14:textId="77777777" w:rsidR="00B11E58" w:rsidRDefault="00BA6D96" w:rsidP="00BA6D96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 Narrow" w:hAnsi="Arial Narrow"/>
        </w:rPr>
      </w:pPr>
      <w:r w:rsidRPr="00985132">
        <w:rPr>
          <w:rFonts w:ascii="Arial Narrow" w:hAnsi="Arial Narrow"/>
        </w:rPr>
        <w:t>Diseño de herramientas de comunicación para la educación popular.</w:t>
      </w:r>
    </w:p>
    <w:p w14:paraId="1E5C9D15" w14:textId="38A94D41" w:rsidR="0012015E" w:rsidRDefault="0012015E" w:rsidP="00BA6D96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br w:type="page"/>
      </w:r>
    </w:p>
    <w:p w14:paraId="6202EB3F" w14:textId="77777777" w:rsidR="00BA6D96" w:rsidRPr="00F26A8D" w:rsidRDefault="00BA6D96" w:rsidP="0012015E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hAnsi="Arial Narrow"/>
          <w:b/>
          <w:bCs/>
        </w:rPr>
      </w:pPr>
      <w:r w:rsidRPr="00F26A8D">
        <w:rPr>
          <w:rFonts w:ascii="Arial Narrow" w:hAnsi="Arial Narrow"/>
          <w:b/>
          <w:bCs/>
        </w:rPr>
        <w:lastRenderedPageBreak/>
        <w:t>Bibliografía</w:t>
      </w:r>
    </w:p>
    <w:p w14:paraId="7E6D58E8" w14:textId="6C716BA1" w:rsidR="009071DD" w:rsidRDefault="009071DD" w:rsidP="00BA6D96">
      <w:pPr>
        <w:spacing w:line="276" w:lineRule="auto"/>
        <w:jc w:val="both"/>
        <w:rPr>
          <w:rFonts w:ascii="Arial Narrow" w:hAnsi="Arial Narrow"/>
          <w:lang w:val="en-US"/>
        </w:rPr>
      </w:pPr>
      <w:proofErr w:type="spellStart"/>
      <w:r w:rsidRPr="009071DD">
        <w:rPr>
          <w:rFonts w:ascii="Arial Narrow" w:hAnsi="Arial Narrow"/>
        </w:rPr>
        <w:t>Areti</w:t>
      </w:r>
      <w:proofErr w:type="spellEnd"/>
      <w:r w:rsidRPr="009071DD">
        <w:rPr>
          <w:rFonts w:ascii="Arial Narrow" w:hAnsi="Arial Narrow"/>
        </w:rPr>
        <w:t xml:space="preserve">, H. A., Muleta, M. D., </w:t>
      </w:r>
      <w:proofErr w:type="spellStart"/>
      <w:r w:rsidRPr="009071DD">
        <w:rPr>
          <w:rFonts w:ascii="Arial Narrow" w:hAnsi="Arial Narrow"/>
        </w:rPr>
        <w:t>Abo</w:t>
      </w:r>
      <w:proofErr w:type="spellEnd"/>
      <w:r w:rsidRPr="009071DD">
        <w:rPr>
          <w:rFonts w:ascii="Arial Narrow" w:hAnsi="Arial Narrow"/>
        </w:rPr>
        <w:t xml:space="preserve">, L. D., </w:t>
      </w:r>
      <w:proofErr w:type="spellStart"/>
      <w:r w:rsidRPr="009071DD">
        <w:rPr>
          <w:rFonts w:ascii="Arial Narrow" w:hAnsi="Arial Narrow"/>
        </w:rPr>
        <w:t>Hamda</w:t>
      </w:r>
      <w:proofErr w:type="spellEnd"/>
      <w:r w:rsidRPr="009071DD">
        <w:rPr>
          <w:rFonts w:ascii="Arial Narrow" w:hAnsi="Arial Narrow"/>
        </w:rPr>
        <w:t xml:space="preserve">, A. S., </w:t>
      </w:r>
      <w:proofErr w:type="spellStart"/>
      <w:r w:rsidRPr="009071DD">
        <w:rPr>
          <w:rFonts w:ascii="Arial Narrow" w:hAnsi="Arial Narrow"/>
        </w:rPr>
        <w:t>Adugna</w:t>
      </w:r>
      <w:proofErr w:type="spellEnd"/>
      <w:r w:rsidRPr="009071DD">
        <w:rPr>
          <w:rFonts w:ascii="Arial Narrow" w:hAnsi="Arial Narrow"/>
        </w:rPr>
        <w:t xml:space="preserve">, A. A., </w:t>
      </w:r>
      <w:proofErr w:type="spellStart"/>
      <w:r w:rsidRPr="009071DD">
        <w:rPr>
          <w:rFonts w:ascii="Arial Narrow" w:hAnsi="Arial Narrow"/>
        </w:rPr>
        <w:t>Edae</w:t>
      </w:r>
      <w:proofErr w:type="spellEnd"/>
      <w:r w:rsidRPr="009071DD">
        <w:rPr>
          <w:rFonts w:ascii="Arial Narrow" w:hAnsi="Arial Narrow"/>
        </w:rPr>
        <w:t xml:space="preserve">, I. T., ... </w:t>
      </w:r>
      <w:r w:rsidRPr="009071DD">
        <w:rPr>
          <w:rFonts w:ascii="Arial Narrow" w:hAnsi="Arial Narrow"/>
          <w:lang w:val="en-US"/>
        </w:rPr>
        <w:t xml:space="preserve">&amp; </w:t>
      </w:r>
      <w:proofErr w:type="spellStart"/>
      <w:r w:rsidRPr="009071DD">
        <w:rPr>
          <w:rFonts w:ascii="Arial Narrow" w:hAnsi="Arial Narrow"/>
          <w:lang w:val="en-US"/>
        </w:rPr>
        <w:t>Gudeta</w:t>
      </w:r>
      <w:proofErr w:type="spellEnd"/>
      <w:r w:rsidRPr="009071DD">
        <w:rPr>
          <w:rFonts w:ascii="Arial Narrow" w:hAnsi="Arial Narrow"/>
          <w:lang w:val="en-US"/>
        </w:rPr>
        <w:t xml:space="preserve">, R. L. (2024). Innovative uses of agricultural by-products in the food and beverage sector: </w:t>
      </w:r>
      <w:proofErr w:type="gramStart"/>
      <w:r w:rsidRPr="009071DD">
        <w:rPr>
          <w:rFonts w:ascii="Arial Narrow" w:hAnsi="Arial Narrow"/>
          <w:lang w:val="en-US"/>
        </w:rPr>
        <w:t>a review</w:t>
      </w:r>
      <w:proofErr w:type="gramEnd"/>
      <w:r w:rsidRPr="009071DD">
        <w:rPr>
          <w:rFonts w:ascii="Arial Narrow" w:hAnsi="Arial Narrow"/>
          <w:lang w:val="en-US"/>
        </w:rPr>
        <w:t>. </w:t>
      </w:r>
      <w:r w:rsidRPr="009071DD">
        <w:rPr>
          <w:rFonts w:ascii="Arial Narrow" w:hAnsi="Arial Narrow"/>
          <w:i/>
          <w:iCs/>
          <w:lang w:val="en-US"/>
        </w:rPr>
        <w:t>Food Chemistry Advances</w:t>
      </w:r>
      <w:r w:rsidRPr="009071DD">
        <w:rPr>
          <w:rFonts w:ascii="Arial Narrow" w:hAnsi="Arial Narrow"/>
          <w:lang w:val="en-US"/>
        </w:rPr>
        <w:t>, </w:t>
      </w:r>
      <w:r w:rsidRPr="009071DD">
        <w:rPr>
          <w:rFonts w:ascii="Arial Narrow" w:hAnsi="Arial Narrow"/>
          <w:i/>
          <w:iCs/>
          <w:lang w:val="en-US"/>
        </w:rPr>
        <w:t>5</w:t>
      </w:r>
      <w:r w:rsidRPr="009071DD">
        <w:rPr>
          <w:rFonts w:ascii="Arial Narrow" w:hAnsi="Arial Narrow"/>
          <w:lang w:val="en-US"/>
        </w:rPr>
        <w:t>, 100838.</w:t>
      </w:r>
      <w:r w:rsidR="002800E6">
        <w:rPr>
          <w:rFonts w:ascii="Arial Narrow" w:hAnsi="Arial Narrow"/>
          <w:lang w:val="en-US"/>
        </w:rPr>
        <w:t xml:space="preserve"> </w:t>
      </w:r>
      <w:hyperlink r:id="rId6" w:history="1">
        <w:r w:rsidR="002800E6" w:rsidRPr="00062ECF">
          <w:rPr>
            <w:rStyle w:val="Hipervnculo"/>
            <w:rFonts w:ascii="Arial Narrow" w:hAnsi="Arial Narrow"/>
            <w:lang w:val="en-US"/>
          </w:rPr>
          <w:t>https://doi.org/10.1016/j.focha.2024.100838</w:t>
        </w:r>
      </w:hyperlink>
      <w:r w:rsidR="002800E6">
        <w:rPr>
          <w:rFonts w:ascii="Arial Narrow" w:hAnsi="Arial Narrow"/>
          <w:lang w:val="en-US"/>
        </w:rPr>
        <w:t xml:space="preserve"> </w:t>
      </w:r>
    </w:p>
    <w:p w14:paraId="7F85F678" w14:textId="3EC25712" w:rsidR="00C2346C" w:rsidRPr="00287E1C" w:rsidRDefault="00C2346C" w:rsidP="00BA6D96">
      <w:pPr>
        <w:spacing w:line="276" w:lineRule="auto"/>
        <w:jc w:val="both"/>
        <w:rPr>
          <w:rFonts w:ascii="Arial Narrow" w:hAnsi="Arial Narrow"/>
        </w:rPr>
      </w:pPr>
      <w:proofErr w:type="spellStart"/>
      <w:r w:rsidRPr="00C2346C">
        <w:rPr>
          <w:rFonts w:ascii="Arial Narrow" w:hAnsi="Arial Narrow"/>
          <w:lang w:val="en-US"/>
        </w:rPr>
        <w:t>Bahamón</w:t>
      </w:r>
      <w:proofErr w:type="spellEnd"/>
      <w:r w:rsidRPr="00C2346C">
        <w:rPr>
          <w:rFonts w:ascii="Arial Narrow" w:hAnsi="Arial Narrow"/>
          <w:lang w:val="en-US"/>
        </w:rPr>
        <w:t xml:space="preserve"> Méndez,</w:t>
      </w:r>
      <w:r w:rsidR="00366034">
        <w:rPr>
          <w:rFonts w:ascii="Arial Narrow" w:hAnsi="Arial Narrow"/>
          <w:lang w:val="en-US"/>
        </w:rPr>
        <w:t xml:space="preserve"> T.</w:t>
      </w:r>
      <w:r w:rsidRPr="00C2346C">
        <w:rPr>
          <w:rFonts w:ascii="Arial Narrow" w:hAnsi="Arial Narrow"/>
          <w:lang w:val="en-US"/>
        </w:rPr>
        <w:t xml:space="preserve"> </w:t>
      </w:r>
      <w:r w:rsidR="00366034">
        <w:rPr>
          <w:rFonts w:ascii="Arial Narrow" w:hAnsi="Arial Narrow"/>
          <w:lang w:val="en-US"/>
        </w:rPr>
        <w:t>(</w:t>
      </w:r>
      <w:r w:rsidRPr="00C2346C">
        <w:rPr>
          <w:rFonts w:ascii="Arial Narrow" w:hAnsi="Arial Narrow"/>
          <w:lang w:val="en-US"/>
        </w:rPr>
        <w:t>2024</w:t>
      </w:r>
      <w:r w:rsidR="00382FC1">
        <w:rPr>
          <w:rFonts w:ascii="Arial Narrow" w:hAnsi="Arial Narrow"/>
          <w:lang w:val="en-US"/>
        </w:rPr>
        <w:t xml:space="preserve">, </w:t>
      </w:r>
      <w:proofErr w:type="spellStart"/>
      <w:r w:rsidR="00382FC1">
        <w:rPr>
          <w:rFonts w:ascii="Arial Narrow" w:hAnsi="Arial Narrow"/>
          <w:lang w:val="en-US"/>
        </w:rPr>
        <w:t>Septiembre</w:t>
      </w:r>
      <w:proofErr w:type="spellEnd"/>
      <w:r w:rsidR="00860DE9">
        <w:rPr>
          <w:rFonts w:ascii="Arial Narrow" w:hAnsi="Arial Narrow"/>
          <w:lang w:val="en-US"/>
        </w:rPr>
        <w:t xml:space="preserve"> 16</w:t>
      </w:r>
      <w:r w:rsidR="00366034">
        <w:rPr>
          <w:rFonts w:ascii="Arial Narrow" w:hAnsi="Arial Narrow"/>
          <w:lang w:val="en-US"/>
        </w:rPr>
        <w:t xml:space="preserve">). </w:t>
      </w:r>
      <w:r w:rsidR="00287E1C" w:rsidRPr="00287E1C">
        <w:rPr>
          <w:rFonts w:ascii="Arial Narrow" w:hAnsi="Arial Narrow"/>
          <w:lang w:val="en-US"/>
        </w:rPr>
        <w:t>In Colombia, 7 out of 10 Households Face Food Insecurity</w:t>
      </w:r>
      <w:r w:rsidR="00287E1C">
        <w:rPr>
          <w:rFonts w:ascii="Arial Narrow" w:hAnsi="Arial Narrow"/>
          <w:lang w:val="en-US"/>
        </w:rPr>
        <w:t xml:space="preserve">. </w:t>
      </w:r>
      <w:r w:rsidR="00287E1C" w:rsidRPr="00287E1C">
        <w:rPr>
          <w:rFonts w:ascii="Arial Narrow" w:hAnsi="Arial Narrow"/>
          <w:i/>
          <w:iCs/>
        </w:rPr>
        <w:t>Periódico UNAL</w:t>
      </w:r>
      <w:r w:rsidR="00287E1C" w:rsidRPr="00287E1C">
        <w:rPr>
          <w:rFonts w:ascii="Arial Narrow" w:hAnsi="Arial Narrow"/>
        </w:rPr>
        <w:t>.</w:t>
      </w:r>
      <w:r w:rsidR="00287E1C">
        <w:rPr>
          <w:rFonts w:ascii="Arial Narrow" w:hAnsi="Arial Narrow"/>
        </w:rPr>
        <w:t xml:space="preserve"> </w:t>
      </w:r>
      <w:hyperlink r:id="rId7" w:history="1">
        <w:r w:rsidR="00860DE9" w:rsidRPr="00B85F94">
          <w:rPr>
            <w:rStyle w:val="Hipervnculo"/>
            <w:rFonts w:ascii="Arial Narrow" w:hAnsi="Arial Narrow"/>
          </w:rPr>
          <w:t>https://periodico.unal.edu.co/articulos/en-colombia-7-de-cada-10-hogares-enfrentan-inseguridad-alimentaria?lgn=en</w:t>
        </w:r>
      </w:hyperlink>
      <w:r w:rsidR="00860DE9">
        <w:rPr>
          <w:rFonts w:ascii="Arial Narrow" w:hAnsi="Arial Narrow"/>
        </w:rPr>
        <w:t xml:space="preserve"> </w:t>
      </w:r>
    </w:p>
    <w:p w14:paraId="57472E58" w14:textId="23A802F3" w:rsidR="006357E8" w:rsidRDefault="006357E8" w:rsidP="00BA6D96">
      <w:pPr>
        <w:spacing w:line="276" w:lineRule="auto"/>
        <w:jc w:val="both"/>
        <w:rPr>
          <w:rFonts w:ascii="Arial Narrow" w:hAnsi="Arial Narrow"/>
        </w:rPr>
      </w:pPr>
      <w:proofErr w:type="spellStart"/>
      <w:r w:rsidRPr="009071DD">
        <w:rPr>
          <w:rFonts w:ascii="Arial Narrow" w:hAnsi="Arial Narrow"/>
        </w:rPr>
        <w:t>Gori</w:t>
      </w:r>
      <w:proofErr w:type="spellEnd"/>
      <w:r w:rsidRPr="009071DD">
        <w:rPr>
          <w:rFonts w:ascii="Arial Narrow" w:hAnsi="Arial Narrow"/>
        </w:rPr>
        <w:t xml:space="preserve">, B., </w:t>
      </w:r>
      <w:proofErr w:type="spellStart"/>
      <w:r w:rsidRPr="009071DD">
        <w:rPr>
          <w:rFonts w:ascii="Arial Narrow" w:hAnsi="Arial Narrow"/>
        </w:rPr>
        <w:t>Ulian</w:t>
      </w:r>
      <w:proofErr w:type="spellEnd"/>
      <w:r w:rsidRPr="009071DD">
        <w:rPr>
          <w:rFonts w:ascii="Arial Narrow" w:hAnsi="Arial Narrow"/>
        </w:rPr>
        <w:t xml:space="preserve">, T., Bernal, H. Y., &amp; </w:t>
      </w:r>
      <w:proofErr w:type="spellStart"/>
      <w:r w:rsidRPr="009071DD">
        <w:rPr>
          <w:rFonts w:ascii="Arial Narrow" w:hAnsi="Arial Narrow"/>
        </w:rPr>
        <w:t>Diazgranados</w:t>
      </w:r>
      <w:proofErr w:type="spellEnd"/>
      <w:r w:rsidRPr="009071DD">
        <w:rPr>
          <w:rFonts w:ascii="Arial Narrow" w:hAnsi="Arial Narrow"/>
        </w:rPr>
        <w:t xml:space="preserve">, M. (2022). </w:t>
      </w:r>
      <w:r w:rsidRPr="006357E8">
        <w:rPr>
          <w:rFonts w:ascii="Arial Narrow" w:hAnsi="Arial Narrow"/>
          <w:lang w:val="en-US"/>
        </w:rPr>
        <w:t>Understanding the diversity and biogeography of Colombian edible plants. </w:t>
      </w:r>
      <w:r w:rsidRPr="00C2346C">
        <w:rPr>
          <w:rFonts w:ascii="Arial Narrow" w:hAnsi="Arial Narrow"/>
          <w:i/>
          <w:iCs/>
          <w:lang w:val="en-US"/>
        </w:rPr>
        <w:t>Scientific Reports</w:t>
      </w:r>
      <w:r w:rsidRPr="00C2346C">
        <w:rPr>
          <w:rFonts w:ascii="Arial Narrow" w:hAnsi="Arial Narrow"/>
          <w:lang w:val="en-US"/>
        </w:rPr>
        <w:t>, </w:t>
      </w:r>
      <w:r w:rsidRPr="00C2346C">
        <w:rPr>
          <w:rFonts w:ascii="Arial Narrow" w:hAnsi="Arial Narrow"/>
          <w:i/>
          <w:iCs/>
          <w:lang w:val="en-US"/>
        </w:rPr>
        <w:t>12</w:t>
      </w:r>
      <w:r w:rsidRPr="00C2346C">
        <w:rPr>
          <w:rFonts w:ascii="Arial Narrow" w:hAnsi="Arial Narrow"/>
          <w:lang w:val="en-US"/>
        </w:rPr>
        <w:t>(1), 7835.</w:t>
      </w:r>
      <w:r w:rsidR="00CC777F" w:rsidRPr="00C2346C">
        <w:rPr>
          <w:rFonts w:ascii="Arial Narrow" w:hAnsi="Arial Narrow"/>
          <w:lang w:val="en-US"/>
        </w:rPr>
        <w:t xml:space="preserve"> </w:t>
      </w:r>
      <w:hyperlink r:id="rId8" w:history="1">
        <w:r w:rsidR="00CC777F" w:rsidRPr="00062ECF">
          <w:rPr>
            <w:rStyle w:val="Hipervnculo"/>
            <w:rFonts w:ascii="Arial Narrow" w:hAnsi="Arial Narrow"/>
          </w:rPr>
          <w:t>https://doi.org/10.1038/s41598-022-11600-2</w:t>
        </w:r>
      </w:hyperlink>
      <w:r w:rsidR="00CC777F">
        <w:rPr>
          <w:rFonts w:ascii="Arial Narrow" w:hAnsi="Arial Narrow"/>
        </w:rPr>
        <w:t xml:space="preserve"> </w:t>
      </w:r>
    </w:p>
    <w:p w14:paraId="2507A7B4" w14:textId="305F68E0" w:rsidR="00BA6D96" w:rsidRPr="00500545" w:rsidRDefault="00BA6D96" w:rsidP="00BA6D96">
      <w:pPr>
        <w:spacing w:line="276" w:lineRule="auto"/>
        <w:jc w:val="both"/>
        <w:rPr>
          <w:rFonts w:ascii="Arial Narrow" w:hAnsi="Arial Narrow"/>
          <w:lang w:val="en-US"/>
        </w:rPr>
      </w:pPr>
      <w:r w:rsidRPr="00500545">
        <w:rPr>
          <w:rFonts w:ascii="Arial Narrow" w:hAnsi="Arial Narrow"/>
        </w:rPr>
        <w:t>Iturralde-García, R. D., Cinco-</w:t>
      </w:r>
      <w:proofErr w:type="spellStart"/>
      <w:r w:rsidRPr="00500545">
        <w:rPr>
          <w:rFonts w:ascii="Arial Narrow" w:hAnsi="Arial Narrow"/>
        </w:rPr>
        <w:t>Moroyoqui</w:t>
      </w:r>
      <w:proofErr w:type="spellEnd"/>
      <w:r w:rsidRPr="00500545">
        <w:rPr>
          <w:rFonts w:ascii="Arial Narrow" w:hAnsi="Arial Narrow"/>
        </w:rPr>
        <w:t xml:space="preserve">, F. J., Martínez-Cruz, O., Ruiz-Cruz, S., Wong-Corral, F. J., Borboa-Flores, J., ... </w:t>
      </w:r>
      <w:r w:rsidRPr="00500545">
        <w:rPr>
          <w:rFonts w:ascii="Arial Narrow" w:hAnsi="Arial Narrow"/>
          <w:lang w:val="en-US"/>
        </w:rPr>
        <w:t xml:space="preserve">&amp; Del-Toro-Sánchez, C. L. (2022). Emerging technologies for prolonging fresh-cut fruits’ quality and safety during storage. </w:t>
      </w:r>
      <w:proofErr w:type="spellStart"/>
      <w:r w:rsidRPr="00500545">
        <w:rPr>
          <w:rFonts w:ascii="Arial Narrow" w:hAnsi="Arial Narrow"/>
          <w:i/>
          <w:iCs/>
          <w:lang w:val="en-US"/>
        </w:rPr>
        <w:t>Horticulturae</w:t>
      </w:r>
      <w:proofErr w:type="spellEnd"/>
      <w:r w:rsidRPr="00500545">
        <w:rPr>
          <w:rFonts w:ascii="Arial Narrow" w:hAnsi="Arial Narrow"/>
          <w:i/>
          <w:iCs/>
          <w:lang w:val="en-US"/>
        </w:rPr>
        <w:t>, 8</w:t>
      </w:r>
      <w:r w:rsidRPr="00500545">
        <w:rPr>
          <w:rFonts w:ascii="Arial Narrow" w:hAnsi="Arial Narrow"/>
          <w:lang w:val="en-US"/>
        </w:rPr>
        <w:t xml:space="preserve">(8), 731. </w:t>
      </w:r>
      <w:hyperlink r:id="rId9" w:history="1">
        <w:r w:rsidRPr="00785F6F">
          <w:rPr>
            <w:rStyle w:val="Hipervnculo"/>
            <w:rFonts w:ascii="Arial Narrow" w:hAnsi="Arial Narrow"/>
            <w:lang w:val="en-US"/>
          </w:rPr>
          <w:t>https://doi.org/10.3390/horticulturae8080731</w:t>
        </w:r>
      </w:hyperlink>
      <w:r>
        <w:rPr>
          <w:rFonts w:ascii="Arial Narrow" w:hAnsi="Arial Narrow"/>
          <w:lang w:val="en-US"/>
        </w:rPr>
        <w:t xml:space="preserve"> </w:t>
      </w:r>
    </w:p>
    <w:p w14:paraId="31B979BC" w14:textId="4604965D" w:rsidR="00BA6D96" w:rsidRDefault="00BA6D96" w:rsidP="00BA6D96">
      <w:pPr>
        <w:spacing w:line="276" w:lineRule="auto"/>
        <w:jc w:val="both"/>
        <w:rPr>
          <w:rFonts w:ascii="Arial Narrow" w:hAnsi="Arial Narrow"/>
        </w:rPr>
      </w:pPr>
      <w:r w:rsidRPr="00500545">
        <w:rPr>
          <w:rFonts w:ascii="Arial Narrow" w:hAnsi="Arial Narrow"/>
          <w:lang w:val="en-US"/>
        </w:rPr>
        <w:t xml:space="preserve">Kircher, M., Bott, M., </w:t>
      </w:r>
      <w:proofErr w:type="spellStart"/>
      <w:r w:rsidRPr="00500545">
        <w:rPr>
          <w:rFonts w:ascii="Arial Narrow" w:hAnsi="Arial Narrow"/>
          <w:lang w:val="en-US"/>
        </w:rPr>
        <w:t>Marienhagen</w:t>
      </w:r>
      <w:proofErr w:type="spellEnd"/>
      <w:r w:rsidRPr="00500545">
        <w:rPr>
          <w:rFonts w:ascii="Arial Narrow" w:hAnsi="Arial Narrow"/>
          <w:lang w:val="en-US"/>
        </w:rPr>
        <w:t xml:space="preserve">, J., Kircher, M., Bott, M., &amp; </w:t>
      </w:r>
      <w:proofErr w:type="spellStart"/>
      <w:r w:rsidRPr="00500545">
        <w:rPr>
          <w:rFonts w:ascii="Arial Narrow" w:hAnsi="Arial Narrow"/>
          <w:lang w:val="en-US"/>
        </w:rPr>
        <w:t>Marienhagen</w:t>
      </w:r>
      <w:proofErr w:type="spellEnd"/>
      <w:r w:rsidRPr="00500545">
        <w:rPr>
          <w:rFonts w:ascii="Arial Narrow" w:hAnsi="Arial Narrow"/>
          <w:lang w:val="en-US"/>
        </w:rPr>
        <w:t xml:space="preserve">, J. (2020). The importance of biotechnology for the bioeconomy. In </w:t>
      </w:r>
      <w:r w:rsidRPr="00500545">
        <w:rPr>
          <w:rFonts w:ascii="Arial Narrow" w:hAnsi="Arial Narrow"/>
          <w:i/>
          <w:iCs/>
          <w:lang w:val="en-US"/>
        </w:rPr>
        <w:t>Bioeconomy for beginners</w:t>
      </w:r>
      <w:r w:rsidRPr="00500545">
        <w:rPr>
          <w:rFonts w:ascii="Arial Narrow" w:hAnsi="Arial Narrow"/>
          <w:lang w:val="en-US"/>
        </w:rPr>
        <w:t xml:space="preserve"> (pp. 105-128). </w:t>
      </w:r>
      <w:r w:rsidRPr="00500545">
        <w:rPr>
          <w:rFonts w:ascii="Arial Narrow" w:hAnsi="Arial Narrow"/>
        </w:rPr>
        <w:t>Springer.</w:t>
      </w:r>
      <w:r w:rsidR="00684BA1">
        <w:rPr>
          <w:rFonts w:ascii="Arial Narrow" w:hAnsi="Arial Narrow"/>
        </w:rPr>
        <w:t xml:space="preserve"> </w:t>
      </w:r>
      <w:hyperlink r:id="rId10" w:history="1">
        <w:r w:rsidR="00684BA1" w:rsidRPr="00062ECF">
          <w:rPr>
            <w:rStyle w:val="Hipervnculo"/>
            <w:rFonts w:ascii="Arial Narrow" w:hAnsi="Arial Narrow"/>
          </w:rPr>
          <w:t>https://doi.org/10.1007/978-3-662-60390-1_5</w:t>
        </w:r>
      </w:hyperlink>
      <w:r w:rsidR="00684BA1">
        <w:rPr>
          <w:rFonts w:ascii="Arial Narrow" w:hAnsi="Arial Narrow"/>
        </w:rPr>
        <w:t xml:space="preserve"> </w:t>
      </w:r>
    </w:p>
    <w:p w14:paraId="433D0E6A" w14:textId="54554FDE" w:rsidR="004B2842" w:rsidRPr="00C2346C" w:rsidRDefault="004B2842" w:rsidP="00BA6D96">
      <w:pPr>
        <w:spacing w:line="276" w:lineRule="auto"/>
        <w:jc w:val="both"/>
        <w:rPr>
          <w:rFonts w:ascii="Arial Narrow" w:hAnsi="Arial Narrow"/>
          <w:lang w:val="en-US"/>
        </w:rPr>
      </w:pPr>
      <w:r w:rsidRPr="004B2842">
        <w:rPr>
          <w:rFonts w:ascii="Arial Narrow" w:hAnsi="Arial Narrow"/>
          <w:lang w:val="en-US"/>
        </w:rPr>
        <w:t xml:space="preserve">Klerkx, L., &amp; Rose, D. (2020). Dealing with the game-changing technologies of Agriculture 4.0: How do we manage diversity and responsibility in food system transition </w:t>
      </w:r>
      <w:proofErr w:type="gramStart"/>
      <w:r w:rsidRPr="004B2842">
        <w:rPr>
          <w:rFonts w:ascii="Arial Narrow" w:hAnsi="Arial Narrow"/>
          <w:lang w:val="en-US"/>
        </w:rPr>
        <w:t>pathways?.</w:t>
      </w:r>
      <w:proofErr w:type="gramEnd"/>
      <w:r>
        <w:rPr>
          <w:rFonts w:ascii="Arial Narrow" w:hAnsi="Arial Narrow"/>
          <w:lang w:val="en-US"/>
        </w:rPr>
        <w:t xml:space="preserve"> </w:t>
      </w:r>
      <w:r w:rsidRPr="00C2346C">
        <w:rPr>
          <w:rFonts w:ascii="Arial Narrow" w:hAnsi="Arial Narrow"/>
          <w:i/>
          <w:iCs/>
          <w:lang w:val="en-US"/>
        </w:rPr>
        <w:t>Global Food Security</w:t>
      </w:r>
      <w:r w:rsidRPr="00C2346C">
        <w:rPr>
          <w:rFonts w:ascii="Arial Narrow" w:hAnsi="Arial Narrow"/>
          <w:lang w:val="en-US"/>
        </w:rPr>
        <w:t xml:space="preserve">, </w:t>
      </w:r>
      <w:r w:rsidRPr="00C2346C">
        <w:rPr>
          <w:rFonts w:ascii="Arial Narrow" w:hAnsi="Arial Narrow"/>
          <w:i/>
          <w:iCs/>
          <w:lang w:val="en-US"/>
        </w:rPr>
        <w:t>24</w:t>
      </w:r>
      <w:r w:rsidRPr="00C2346C">
        <w:rPr>
          <w:rFonts w:ascii="Arial Narrow" w:hAnsi="Arial Narrow"/>
          <w:lang w:val="en-US"/>
        </w:rPr>
        <w:t>, 100347.</w:t>
      </w:r>
      <w:r w:rsidR="00E9347F" w:rsidRPr="00C2346C">
        <w:rPr>
          <w:rFonts w:ascii="Arial Narrow" w:hAnsi="Arial Narrow"/>
          <w:lang w:val="en-US"/>
        </w:rPr>
        <w:t xml:space="preserve"> </w:t>
      </w:r>
      <w:hyperlink r:id="rId11" w:history="1">
        <w:r w:rsidR="00E9347F" w:rsidRPr="00C2346C">
          <w:rPr>
            <w:rStyle w:val="Hipervnculo"/>
            <w:rFonts w:ascii="Arial Narrow" w:hAnsi="Arial Narrow"/>
            <w:lang w:val="en-US"/>
          </w:rPr>
          <w:t>https://doi.org/10.1016/j.gfs.2019.100347</w:t>
        </w:r>
      </w:hyperlink>
    </w:p>
    <w:p w14:paraId="0582C8FF" w14:textId="198610F3" w:rsidR="00507E41" w:rsidRDefault="00507E41" w:rsidP="00BA6D96">
      <w:pPr>
        <w:spacing w:line="276" w:lineRule="auto"/>
        <w:jc w:val="both"/>
        <w:rPr>
          <w:rFonts w:ascii="Arial Narrow" w:hAnsi="Arial Narrow"/>
        </w:rPr>
      </w:pPr>
      <w:r w:rsidRPr="00C2346C">
        <w:rPr>
          <w:rFonts w:ascii="Arial Narrow" w:hAnsi="Arial Narrow"/>
          <w:lang w:val="en-US"/>
        </w:rPr>
        <w:t xml:space="preserve">López Diago, D., &amp; García Castro, N. J. (2021). </w:t>
      </w:r>
      <w:r w:rsidRPr="00507E41">
        <w:rPr>
          <w:rFonts w:ascii="Arial Narrow" w:hAnsi="Arial Narrow"/>
        </w:rPr>
        <w:t>Frutos silvestres comestibles de Colombia: diversidad y perspectivas de uso. </w:t>
      </w:r>
      <w:r w:rsidRPr="00507E41">
        <w:rPr>
          <w:rFonts w:ascii="Arial Narrow" w:hAnsi="Arial Narrow"/>
          <w:i/>
          <w:iCs/>
        </w:rPr>
        <w:t>Biota Colombiana</w:t>
      </w:r>
      <w:r w:rsidRPr="00507E41">
        <w:rPr>
          <w:rFonts w:ascii="Arial Narrow" w:hAnsi="Arial Narrow"/>
        </w:rPr>
        <w:t>, </w:t>
      </w:r>
      <w:r w:rsidRPr="00507E41">
        <w:rPr>
          <w:rFonts w:ascii="Arial Narrow" w:hAnsi="Arial Narrow"/>
          <w:i/>
          <w:iCs/>
        </w:rPr>
        <w:t>22</w:t>
      </w:r>
      <w:r w:rsidRPr="00507E41">
        <w:rPr>
          <w:rFonts w:ascii="Arial Narrow" w:hAnsi="Arial Narrow"/>
        </w:rPr>
        <w:t xml:space="preserve">(2), 16–55. </w:t>
      </w:r>
      <w:hyperlink r:id="rId12" w:history="1">
        <w:r w:rsidRPr="00062ECF">
          <w:rPr>
            <w:rStyle w:val="Hipervnculo"/>
            <w:rFonts w:ascii="Arial Narrow" w:hAnsi="Arial Narrow"/>
          </w:rPr>
          <w:t>https://doi.org/10.21068/c2021.v22n02a02</w:t>
        </w:r>
      </w:hyperlink>
    </w:p>
    <w:p w14:paraId="4F2E66C2" w14:textId="5899208E" w:rsidR="00BA6D96" w:rsidRPr="00E857BB" w:rsidRDefault="00BA6D96" w:rsidP="00BA6D96">
      <w:pPr>
        <w:spacing w:line="276" w:lineRule="auto"/>
        <w:jc w:val="both"/>
        <w:rPr>
          <w:rFonts w:ascii="Arial Narrow" w:hAnsi="Arial Narrow"/>
          <w:lang w:val="en-US"/>
        </w:rPr>
      </w:pPr>
      <w:r w:rsidRPr="00E86A57">
        <w:rPr>
          <w:rFonts w:ascii="Arial Narrow" w:hAnsi="Arial Narrow"/>
        </w:rPr>
        <w:t xml:space="preserve">Naciones Unidas. (2023, </w:t>
      </w:r>
      <w:proofErr w:type="gramStart"/>
      <w:r w:rsidRPr="00E86A57">
        <w:rPr>
          <w:rFonts w:ascii="Arial Narrow" w:hAnsi="Arial Narrow"/>
        </w:rPr>
        <w:t>Septiembre</w:t>
      </w:r>
      <w:proofErr w:type="gramEnd"/>
      <w:r w:rsidRPr="00E86A57">
        <w:rPr>
          <w:rFonts w:ascii="Arial Narrow" w:hAnsi="Arial Narrow"/>
        </w:rPr>
        <w:t xml:space="preserve"> 29). </w:t>
      </w:r>
      <w:r w:rsidRPr="007D2C81">
        <w:rPr>
          <w:rFonts w:ascii="Arial Narrow" w:hAnsi="Arial Narrow"/>
          <w:i/>
          <w:iCs/>
        </w:rPr>
        <w:t>Día Internacional de Concienciación sobre la Pérdida y el Desperdicio de Alimentos 29 de septiembre</w:t>
      </w:r>
      <w:r w:rsidRPr="00E86A57">
        <w:rPr>
          <w:rFonts w:ascii="Arial Narrow" w:hAnsi="Arial Narrow"/>
        </w:rPr>
        <w:t xml:space="preserve">. </w:t>
      </w:r>
      <w:hyperlink r:id="rId13" w:history="1">
        <w:r w:rsidRPr="00E857BB">
          <w:rPr>
            <w:rStyle w:val="Hipervnculo"/>
            <w:rFonts w:ascii="Arial Narrow" w:hAnsi="Arial Narrow"/>
            <w:lang w:val="en-US"/>
          </w:rPr>
          <w:t>https://www.un.org/es/observances/end-food-waste-day</w:t>
        </w:r>
      </w:hyperlink>
      <w:r w:rsidRPr="00E857BB">
        <w:rPr>
          <w:rFonts w:ascii="Arial Narrow" w:hAnsi="Arial Narrow"/>
          <w:lang w:val="en-US"/>
        </w:rPr>
        <w:t xml:space="preserve"> </w:t>
      </w:r>
    </w:p>
    <w:p w14:paraId="4228FE96" w14:textId="77777777" w:rsidR="00BA6D96" w:rsidRPr="00E86A57" w:rsidRDefault="00BA6D96" w:rsidP="00BA6D96">
      <w:pPr>
        <w:spacing w:line="276" w:lineRule="auto"/>
        <w:jc w:val="both"/>
        <w:rPr>
          <w:rFonts w:ascii="Arial Narrow" w:hAnsi="Arial Narrow"/>
        </w:rPr>
      </w:pPr>
      <w:r w:rsidRPr="00E86A57">
        <w:rPr>
          <w:rFonts w:ascii="Arial Narrow" w:hAnsi="Arial Narrow"/>
          <w:lang w:val="en-US"/>
        </w:rPr>
        <w:t xml:space="preserve">Neme, K., </w:t>
      </w:r>
      <w:proofErr w:type="spellStart"/>
      <w:r w:rsidRPr="00E86A57">
        <w:rPr>
          <w:rFonts w:ascii="Arial Narrow" w:hAnsi="Arial Narrow"/>
          <w:lang w:val="en-US"/>
        </w:rPr>
        <w:t>Nafady</w:t>
      </w:r>
      <w:proofErr w:type="spellEnd"/>
      <w:r w:rsidRPr="00E86A57">
        <w:rPr>
          <w:rFonts w:ascii="Arial Narrow" w:hAnsi="Arial Narrow"/>
          <w:lang w:val="en-US"/>
        </w:rPr>
        <w:t xml:space="preserve">, A., Uddin, S., &amp; Tola, Y. B. (2021). Application of nanotechnology in agriculture, postharvest loss reduction and food processing: food security implication and challenges. </w:t>
      </w:r>
      <w:proofErr w:type="spellStart"/>
      <w:r w:rsidRPr="007D2C81">
        <w:rPr>
          <w:rFonts w:ascii="Arial Narrow" w:hAnsi="Arial Narrow"/>
          <w:i/>
          <w:iCs/>
        </w:rPr>
        <w:t>Heliyon</w:t>
      </w:r>
      <w:proofErr w:type="spellEnd"/>
      <w:r w:rsidRPr="007D2C81">
        <w:rPr>
          <w:rFonts w:ascii="Arial Narrow" w:hAnsi="Arial Narrow"/>
          <w:i/>
          <w:iCs/>
        </w:rPr>
        <w:t>, 7</w:t>
      </w:r>
      <w:r w:rsidRPr="00E86A57">
        <w:rPr>
          <w:rFonts w:ascii="Arial Narrow" w:hAnsi="Arial Narrow"/>
        </w:rPr>
        <w:t xml:space="preserve">(12), E08539. </w:t>
      </w:r>
      <w:hyperlink r:id="rId14" w:history="1">
        <w:r w:rsidRPr="00785F6F">
          <w:rPr>
            <w:rStyle w:val="Hipervnculo"/>
            <w:rFonts w:ascii="Arial Narrow" w:hAnsi="Arial Narrow"/>
          </w:rPr>
          <w:t>https://doi.org/10.1016/j.heliyon.2021.e08539</w:t>
        </w:r>
      </w:hyperlink>
      <w:r>
        <w:rPr>
          <w:rFonts w:ascii="Arial Narrow" w:hAnsi="Arial Narrow"/>
        </w:rPr>
        <w:t xml:space="preserve"> </w:t>
      </w:r>
    </w:p>
    <w:p w14:paraId="39BB9FBA" w14:textId="77777777" w:rsidR="00BA6D96" w:rsidRPr="00E86A57" w:rsidRDefault="00BA6D96" w:rsidP="00BA6D96">
      <w:pPr>
        <w:spacing w:line="276" w:lineRule="auto"/>
        <w:jc w:val="both"/>
        <w:rPr>
          <w:rFonts w:ascii="Arial Narrow" w:hAnsi="Arial Narrow"/>
        </w:rPr>
      </w:pPr>
      <w:r w:rsidRPr="00E86A57">
        <w:rPr>
          <w:rFonts w:ascii="Arial Narrow" w:hAnsi="Arial Narrow"/>
        </w:rPr>
        <w:t xml:space="preserve">Organización de las Naciones Unidas para la Alimentación y la Agricultura. (2024). </w:t>
      </w:r>
      <w:r w:rsidRPr="007D2C81">
        <w:rPr>
          <w:rFonts w:ascii="Arial Narrow" w:hAnsi="Arial Narrow"/>
          <w:i/>
          <w:iCs/>
        </w:rPr>
        <w:t>Conceptos Básicos</w:t>
      </w:r>
      <w:r w:rsidRPr="00E86A57">
        <w:rPr>
          <w:rFonts w:ascii="Arial Narrow" w:hAnsi="Arial Narrow"/>
        </w:rPr>
        <w:t xml:space="preserve">. </w:t>
      </w:r>
      <w:hyperlink r:id="rId15" w:history="1">
        <w:r w:rsidRPr="00785F6F">
          <w:rPr>
            <w:rStyle w:val="Hipervnculo"/>
            <w:rFonts w:ascii="Arial Narrow" w:hAnsi="Arial Narrow"/>
          </w:rPr>
          <w:t>https://www.fao.org/in-action/pesa-centroamerica/temas/conceptos-basicos/es</w:t>
        </w:r>
      </w:hyperlink>
      <w:r>
        <w:rPr>
          <w:rFonts w:ascii="Arial Narrow" w:hAnsi="Arial Narrow"/>
        </w:rPr>
        <w:t xml:space="preserve"> </w:t>
      </w:r>
      <w:r w:rsidRPr="00E86A57">
        <w:rPr>
          <w:rFonts w:ascii="Arial Narrow" w:hAnsi="Arial Narrow"/>
        </w:rPr>
        <w:t>/</w:t>
      </w:r>
    </w:p>
    <w:p w14:paraId="4B900D10" w14:textId="0EB0B36A" w:rsidR="00507E41" w:rsidRPr="007958EE" w:rsidRDefault="00507E41" w:rsidP="00BA6D96">
      <w:pPr>
        <w:spacing w:line="276" w:lineRule="auto"/>
        <w:jc w:val="both"/>
        <w:rPr>
          <w:rFonts w:ascii="Arial Narrow" w:hAnsi="Arial Narrow"/>
          <w:lang w:val="en-US"/>
        </w:rPr>
      </w:pPr>
      <w:proofErr w:type="spellStart"/>
      <w:r w:rsidRPr="00507E41">
        <w:rPr>
          <w:rFonts w:ascii="Arial Narrow" w:hAnsi="Arial Narrow"/>
        </w:rPr>
        <w:t>Palumbo</w:t>
      </w:r>
      <w:proofErr w:type="spellEnd"/>
      <w:r w:rsidRPr="00507E41">
        <w:rPr>
          <w:rFonts w:ascii="Arial Narrow" w:hAnsi="Arial Narrow"/>
        </w:rPr>
        <w:t xml:space="preserve">, M., </w:t>
      </w:r>
      <w:proofErr w:type="spellStart"/>
      <w:r w:rsidRPr="00507E41">
        <w:rPr>
          <w:rFonts w:ascii="Arial Narrow" w:hAnsi="Arial Narrow"/>
        </w:rPr>
        <w:t>Attolico</w:t>
      </w:r>
      <w:proofErr w:type="spellEnd"/>
      <w:r w:rsidRPr="00507E41">
        <w:rPr>
          <w:rFonts w:ascii="Arial Narrow" w:hAnsi="Arial Narrow"/>
        </w:rPr>
        <w:t xml:space="preserve">, G., Capozzi, V., </w:t>
      </w:r>
      <w:proofErr w:type="spellStart"/>
      <w:r w:rsidRPr="00507E41">
        <w:rPr>
          <w:rFonts w:ascii="Arial Narrow" w:hAnsi="Arial Narrow"/>
        </w:rPr>
        <w:t>Cozzolino</w:t>
      </w:r>
      <w:proofErr w:type="spellEnd"/>
      <w:r w:rsidRPr="00507E41">
        <w:rPr>
          <w:rFonts w:ascii="Arial Narrow" w:hAnsi="Arial Narrow"/>
        </w:rPr>
        <w:t xml:space="preserve">, R., Corvino, A., de Chiara, M. L. V., ... </w:t>
      </w:r>
      <w:r w:rsidRPr="00507E41">
        <w:rPr>
          <w:rFonts w:ascii="Arial Narrow" w:hAnsi="Arial Narrow"/>
          <w:lang w:val="en-US"/>
        </w:rPr>
        <w:t>&amp; Cefola, M. (2022). Emerging postharvest technologies to enhance the shelf-life of fruit and vegetables: an overview. </w:t>
      </w:r>
      <w:r w:rsidRPr="007958EE">
        <w:rPr>
          <w:rFonts w:ascii="Arial Narrow" w:hAnsi="Arial Narrow"/>
          <w:i/>
          <w:iCs/>
          <w:lang w:val="en-US"/>
        </w:rPr>
        <w:t>Foods</w:t>
      </w:r>
      <w:r w:rsidRPr="007958EE">
        <w:rPr>
          <w:rFonts w:ascii="Arial Narrow" w:hAnsi="Arial Narrow"/>
          <w:lang w:val="en-US"/>
        </w:rPr>
        <w:t>, </w:t>
      </w:r>
      <w:r w:rsidRPr="007958EE">
        <w:rPr>
          <w:rFonts w:ascii="Arial Narrow" w:hAnsi="Arial Narrow"/>
          <w:i/>
          <w:iCs/>
          <w:lang w:val="en-US"/>
        </w:rPr>
        <w:t>11</w:t>
      </w:r>
      <w:r w:rsidRPr="007958EE">
        <w:rPr>
          <w:rFonts w:ascii="Arial Narrow" w:hAnsi="Arial Narrow"/>
          <w:lang w:val="en-US"/>
        </w:rPr>
        <w:t>(23), 3925.</w:t>
      </w:r>
      <w:r w:rsidR="007958EE" w:rsidRPr="007958EE">
        <w:rPr>
          <w:rFonts w:ascii="Arial Narrow" w:hAnsi="Arial Narrow"/>
          <w:lang w:val="en-US"/>
        </w:rPr>
        <w:t xml:space="preserve"> </w:t>
      </w:r>
      <w:hyperlink r:id="rId16" w:history="1">
        <w:r w:rsidR="007958EE" w:rsidRPr="00062ECF">
          <w:rPr>
            <w:rStyle w:val="Hipervnculo"/>
            <w:rFonts w:ascii="Arial Narrow" w:hAnsi="Arial Narrow"/>
            <w:lang w:val="en-US"/>
          </w:rPr>
          <w:t>https://doi.org/10.3390/foods11233925</w:t>
        </w:r>
      </w:hyperlink>
      <w:r w:rsidR="007958EE">
        <w:rPr>
          <w:rFonts w:ascii="Arial Narrow" w:hAnsi="Arial Narrow"/>
          <w:lang w:val="en-US"/>
        </w:rPr>
        <w:t xml:space="preserve"> </w:t>
      </w:r>
    </w:p>
    <w:p w14:paraId="4083C794" w14:textId="79496AC6" w:rsidR="007958EE" w:rsidRPr="009071DD" w:rsidRDefault="007958EE" w:rsidP="00BA6D96">
      <w:pPr>
        <w:spacing w:line="276" w:lineRule="auto"/>
        <w:jc w:val="both"/>
        <w:rPr>
          <w:rFonts w:ascii="Arial Narrow" w:hAnsi="Arial Narrow"/>
          <w:lang w:val="en-US"/>
        </w:rPr>
      </w:pPr>
      <w:r w:rsidRPr="007958EE">
        <w:rPr>
          <w:rFonts w:ascii="Arial Narrow" w:hAnsi="Arial Narrow"/>
          <w:lang w:val="en-US"/>
        </w:rPr>
        <w:t xml:space="preserve">Sadiq, F. K., </w:t>
      </w:r>
      <w:proofErr w:type="spellStart"/>
      <w:r w:rsidRPr="007958EE">
        <w:rPr>
          <w:rFonts w:ascii="Arial Narrow" w:hAnsi="Arial Narrow"/>
          <w:lang w:val="en-US"/>
        </w:rPr>
        <w:t>Anyebe</w:t>
      </w:r>
      <w:proofErr w:type="spellEnd"/>
      <w:r w:rsidRPr="007958EE">
        <w:rPr>
          <w:rFonts w:ascii="Arial Narrow" w:hAnsi="Arial Narrow"/>
          <w:lang w:val="en-US"/>
        </w:rPr>
        <w:t>, O., Tanko, F., Abdulkadir, A., Manono, B. O., Matsika, T. A., ... &amp; Bello, S. K. (2025). Conservation agriculture for sustainable soil health management: A review of impacts, benefits and future directions. </w:t>
      </w:r>
      <w:r w:rsidRPr="009071DD">
        <w:rPr>
          <w:rFonts w:ascii="Arial Narrow" w:hAnsi="Arial Narrow"/>
          <w:i/>
          <w:iCs/>
          <w:lang w:val="en-US"/>
        </w:rPr>
        <w:t>Soil Systems</w:t>
      </w:r>
      <w:r w:rsidRPr="009071DD">
        <w:rPr>
          <w:rFonts w:ascii="Arial Narrow" w:hAnsi="Arial Narrow"/>
          <w:lang w:val="en-US"/>
        </w:rPr>
        <w:t>, </w:t>
      </w:r>
      <w:r w:rsidRPr="009071DD">
        <w:rPr>
          <w:rFonts w:ascii="Arial Narrow" w:hAnsi="Arial Narrow"/>
          <w:i/>
          <w:iCs/>
          <w:lang w:val="en-US"/>
        </w:rPr>
        <w:t>9</w:t>
      </w:r>
      <w:r w:rsidRPr="009071DD">
        <w:rPr>
          <w:rFonts w:ascii="Arial Narrow" w:hAnsi="Arial Narrow"/>
          <w:lang w:val="en-US"/>
        </w:rPr>
        <w:t>(3), 103.</w:t>
      </w:r>
      <w:r w:rsidR="009071DD" w:rsidRPr="009071DD">
        <w:rPr>
          <w:rFonts w:ascii="Arial Narrow" w:hAnsi="Arial Narrow"/>
          <w:lang w:val="en-US"/>
        </w:rPr>
        <w:t xml:space="preserve"> </w:t>
      </w:r>
      <w:hyperlink r:id="rId17" w:history="1">
        <w:r w:rsidR="009071DD" w:rsidRPr="00062ECF">
          <w:rPr>
            <w:rStyle w:val="Hipervnculo"/>
            <w:rFonts w:ascii="Arial Narrow" w:hAnsi="Arial Narrow"/>
            <w:lang w:val="en-US"/>
          </w:rPr>
          <w:t>https://doi.org/10.3390/soilsystems9030103</w:t>
        </w:r>
      </w:hyperlink>
      <w:r w:rsidR="009071DD">
        <w:rPr>
          <w:rFonts w:ascii="Arial Narrow" w:hAnsi="Arial Narrow"/>
          <w:lang w:val="en-US"/>
        </w:rPr>
        <w:t xml:space="preserve"> </w:t>
      </w:r>
    </w:p>
    <w:p w14:paraId="6DEB773D" w14:textId="6F14FFE3" w:rsidR="00BA6D96" w:rsidRDefault="00BA6D96" w:rsidP="00BA6D96">
      <w:pPr>
        <w:spacing w:line="276" w:lineRule="auto"/>
        <w:jc w:val="both"/>
        <w:rPr>
          <w:rFonts w:ascii="Arial Narrow" w:hAnsi="Arial Narrow"/>
          <w:lang w:val="en-US"/>
        </w:rPr>
      </w:pPr>
      <w:proofErr w:type="spellStart"/>
      <w:r w:rsidRPr="00E86A57">
        <w:rPr>
          <w:rFonts w:ascii="Arial Narrow" w:hAnsi="Arial Narrow"/>
          <w:lang w:val="en-US"/>
        </w:rPr>
        <w:t>Terpou</w:t>
      </w:r>
      <w:proofErr w:type="spellEnd"/>
      <w:r w:rsidRPr="00E86A57">
        <w:rPr>
          <w:rFonts w:ascii="Arial Narrow" w:hAnsi="Arial Narrow"/>
          <w:lang w:val="en-US"/>
        </w:rPr>
        <w:t xml:space="preserve">, A., &amp; Rai, A. K. (2022). Microbial transformation for improving food functionality. In </w:t>
      </w:r>
      <w:r w:rsidRPr="007D2C81">
        <w:rPr>
          <w:rFonts w:ascii="Arial Narrow" w:hAnsi="Arial Narrow"/>
          <w:i/>
          <w:iCs/>
          <w:lang w:val="en-US"/>
        </w:rPr>
        <w:t>Current Developments in Biotechnology and Bioengineering</w:t>
      </w:r>
      <w:r w:rsidRPr="00E86A57">
        <w:rPr>
          <w:rFonts w:ascii="Arial Narrow" w:hAnsi="Arial Narrow"/>
          <w:lang w:val="en-US"/>
        </w:rPr>
        <w:t xml:space="preserve"> (pp. 31-45). Elsevier.</w:t>
      </w:r>
      <w:r w:rsidR="00EF558F">
        <w:rPr>
          <w:rFonts w:ascii="Arial Narrow" w:hAnsi="Arial Narrow"/>
          <w:lang w:val="en-US"/>
        </w:rPr>
        <w:t xml:space="preserve"> </w:t>
      </w:r>
      <w:hyperlink r:id="rId18" w:history="1">
        <w:r w:rsidR="00EF558F" w:rsidRPr="00062ECF">
          <w:rPr>
            <w:rStyle w:val="Hipervnculo"/>
            <w:rFonts w:ascii="Arial Narrow" w:hAnsi="Arial Narrow"/>
            <w:lang w:val="en-US"/>
          </w:rPr>
          <w:t>https://doi.org/10.1016/B978-0-12-823506-5.00017-5</w:t>
        </w:r>
      </w:hyperlink>
      <w:r w:rsidR="00EF558F">
        <w:rPr>
          <w:rFonts w:ascii="Arial Narrow" w:hAnsi="Arial Narrow"/>
          <w:lang w:val="en-US"/>
        </w:rPr>
        <w:t xml:space="preserve"> </w:t>
      </w:r>
    </w:p>
    <w:p w14:paraId="31D971EE" w14:textId="24EF35F0" w:rsidR="009500F8" w:rsidRPr="00BA6D96" w:rsidRDefault="00BA6D96" w:rsidP="00BA6D96">
      <w:pPr>
        <w:spacing w:line="276" w:lineRule="auto"/>
        <w:jc w:val="both"/>
        <w:rPr>
          <w:rFonts w:ascii="Arial Narrow" w:hAnsi="Arial Narrow"/>
        </w:rPr>
      </w:pPr>
      <w:r w:rsidRPr="000D76AA">
        <w:rPr>
          <w:rFonts w:ascii="Arial Narrow" w:hAnsi="Arial Narrow"/>
        </w:rPr>
        <w:lastRenderedPageBreak/>
        <w:t xml:space="preserve">UNIR. (2024, </w:t>
      </w:r>
      <w:proofErr w:type="gramStart"/>
      <w:r w:rsidRPr="000D76AA">
        <w:rPr>
          <w:rFonts w:ascii="Arial Narrow" w:hAnsi="Arial Narrow"/>
        </w:rPr>
        <w:t>Abril</w:t>
      </w:r>
      <w:proofErr w:type="gramEnd"/>
      <w:r w:rsidRPr="000D76AA">
        <w:rPr>
          <w:rFonts w:ascii="Arial Narrow" w:hAnsi="Arial Narrow"/>
        </w:rPr>
        <w:t xml:space="preserve"> 18). </w:t>
      </w:r>
      <w:r w:rsidRPr="007D2C81">
        <w:rPr>
          <w:rFonts w:ascii="Arial Narrow" w:hAnsi="Arial Narrow"/>
          <w:i/>
          <w:iCs/>
        </w:rPr>
        <w:t>Qué es el aprendizaje significativo: cómo inculcarlo en el aula para asimilar conocimientos y estudiar mejor</w:t>
      </w:r>
      <w:r w:rsidRPr="000D76AA">
        <w:rPr>
          <w:rFonts w:ascii="Arial Narrow" w:hAnsi="Arial Narrow"/>
        </w:rPr>
        <w:t xml:space="preserve">. </w:t>
      </w:r>
      <w:hyperlink r:id="rId19" w:history="1">
        <w:r w:rsidRPr="00785F6F">
          <w:rPr>
            <w:rStyle w:val="Hipervnculo"/>
            <w:rFonts w:ascii="Arial Narrow" w:hAnsi="Arial Narrow"/>
          </w:rPr>
          <w:t>https://mexico.unir.net/noticias/educacion/aprendizaje-significativo/</w:t>
        </w:r>
      </w:hyperlink>
    </w:p>
    <w:sectPr w:rsidR="009500F8" w:rsidRPr="00BA6D9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37A6C"/>
    <w:multiLevelType w:val="hybridMultilevel"/>
    <w:tmpl w:val="7518A6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C054574"/>
    <w:multiLevelType w:val="multilevel"/>
    <w:tmpl w:val="3DA8CE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4A432927"/>
    <w:multiLevelType w:val="hybridMultilevel"/>
    <w:tmpl w:val="FE34A2D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9B25B9A"/>
    <w:multiLevelType w:val="multilevel"/>
    <w:tmpl w:val="DD2C5A72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1440"/>
      </w:pPr>
      <w:rPr>
        <w:rFonts w:hint="default"/>
      </w:rPr>
    </w:lvl>
  </w:abstractNum>
  <w:abstractNum w:abstractNumId="4" w15:restartNumberingAfterBreak="0">
    <w:nsid w:val="5A023EF1"/>
    <w:multiLevelType w:val="hybridMultilevel"/>
    <w:tmpl w:val="E4B224F4"/>
    <w:lvl w:ilvl="0" w:tplc="3952658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C35401"/>
    <w:multiLevelType w:val="hybridMultilevel"/>
    <w:tmpl w:val="EB8638BE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240A000F">
      <w:start w:val="1"/>
      <w:numFmt w:val="decimal"/>
      <w:lvlText w:val="%2."/>
      <w:lvlJc w:val="left"/>
      <w:pPr>
        <w:ind w:left="360" w:hanging="360"/>
      </w:pPr>
    </w:lvl>
    <w:lvl w:ilvl="2" w:tplc="240A001B">
      <w:start w:val="1"/>
      <w:numFmt w:val="lowerRoman"/>
      <w:lvlText w:val="%3."/>
      <w:lvlJc w:val="right"/>
      <w:pPr>
        <w:ind w:left="18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B003C31"/>
    <w:multiLevelType w:val="hybridMultilevel"/>
    <w:tmpl w:val="A1D26E6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CFA7043"/>
    <w:multiLevelType w:val="hybridMultilevel"/>
    <w:tmpl w:val="0D9EADE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1910AA3"/>
    <w:multiLevelType w:val="hybridMultilevel"/>
    <w:tmpl w:val="6BD64A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D76FE5"/>
    <w:multiLevelType w:val="hybridMultilevel"/>
    <w:tmpl w:val="DE0046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9429800">
    <w:abstractNumId w:val="5"/>
  </w:num>
  <w:num w:numId="2" w16cid:durableId="111629046">
    <w:abstractNumId w:val="8"/>
  </w:num>
  <w:num w:numId="3" w16cid:durableId="1219367476">
    <w:abstractNumId w:val="1"/>
  </w:num>
  <w:num w:numId="4" w16cid:durableId="882402376">
    <w:abstractNumId w:val="9"/>
  </w:num>
  <w:num w:numId="5" w16cid:durableId="1431198711">
    <w:abstractNumId w:val="7"/>
  </w:num>
  <w:num w:numId="6" w16cid:durableId="2027898239">
    <w:abstractNumId w:val="6"/>
  </w:num>
  <w:num w:numId="7" w16cid:durableId="826554314">
    <w:abstractNumId w:val="3"/>
  </w:num>
  <w:num w:numId="8" w16cid:durableId="759452407">
    <w:abstractNumId w:val="0"/>
  </w:num>
  <w:num w:numId="9" w16cid:durableId="1989480559">
    <w:abstractNumId w:val="4"/>
  </w:num>
  <w:num w:numId="10" w16cid:durableId="6182672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B39"/>
    <w:rsid w:val="00020DCA"/>
    <w:rsid w:val="00056A49"/>
    <w:rsid w:val="00092B26"/>
    <w:rsid w:val="000A290A"/>
    <w:rsid w:val="000D4034"/>
    <w:rsid w:val="00116BC3"/>
    <w:rsid w:val="0012015E"/>
    <w:rsid w:val="0012718D"/>
    <w:rsid w:val="00134700"/>
    <w:rsid w:val="0017798B"/>
    <w:rsid w:val="00187D1D"/>
    <w:rsid w:val="001A093C"/>
    <w:rsid w:val="001A6F09"/>
    <w:rsid w:val="001B798C"/>
    <w:rsid w:val="001D09C9"/>
    <w:rsid w:val="001F015A"/>
    <w:rsid w:val="001F51C7"/>
    <w:rsid w:val="0022187B"/>
    <w:rsid w:val="0025488E"/>
    <w:rsid w:val="002800E6"/>
    <w:rsid w:val="00287E1C"/>
    <w:rsid w:val="002B55BE"/>
    <w:rsid w:val="002E4285"/>
    <w:rsid w:val="002F6A9C"/>
    <w:rsid w:val="003103D9"/>
    <w:rsid w:val="00364F59"/>
    <w:rsid w:val="00366034"/>
    <w:rsid w:val="0038262A"/>
    <w:rsid w:val="00382FC1"/>
    <w:rsid w:val="003A4AEF"/>
    <w:rsid w:val="003E4002"/>
    <w:rsid w:val="004518A2"/>
    <w:rsid w:val="00454924"/>
    <w:rsid w:val="004873DA"/>
    <w:rsid w:val="004953EE"/>
    <w:rsid w:val="004A0C69"/>
    <w:rsid w:val="004A4A46"/>
    <w:rsid w:val="004B2842"/>
    <w:rsid w:val="004C28C8"/>
    <w:rsid w:val="004F41F1"/>
    <w:rsid w:val="00506A5E"/>
    <w:rsid w:val="00507E41"/>
    <w:rsid w:val="0052185E"/>
    <w:rsid w:val="00527136"/>
    <w:rsid w:val="0053512A"/>
    <w:rsid w:val="00536D18"/>
    <w:rsid w:val="00541F87"/>
    <w:rsid w:val="00571167"/>
    <w:rsid w:val="00582E34"/>
    <w:rsid w:val="005A1431"/>
    <w:rsid w:val="005A66B9"/>
    <w:rsid w:val="005A7619"/>
    <w:rsid w:val="005C22AD"/>
    <w:rsid w:val="005C6F77"/>
    <w:rsid w:val="005D0CCE"/>
    <w:rsid w:val="005E7A0C"/>
    <w:rsid w:val="00607241"/>
    <w:rsid w:val="00611A7F"/>
    <w:rsid w:val="0063053F"/>
    <w:rsid w:val="006357E8"/>
    <w:rsid w:val="00643CFC"/>
    <w:rsid w:val="00684BA1"/>
    <w:rsid w:val="006A0222"/>
    <w:rsid w:val="007034CA"/>
    <w:rsid w:val="00707303"/>
    <w:rsid w:val="00751423"/>
    <w:rsid w:val="007958EE"/>
    <w:rsid w:val="00797170"/>
    <w:rsid w:val="007A4B39"/>
    <w:rsid w:val="008130C7"/>
    <w:rsid w:val="008173BF"/>
    <w:rsid w:val="00860DE9"/>
    <w:rsid w:val="008E0DD4"/>
    <w:rsid w:val="008E5FFE"/>
    <w:rsid w:val="008E7D31"/>
    <w:rsid w:val="008F6658"/>
    <w:rsid w:val="00901AC9"/>
    <w:rsid w:val="009071DD"/>
    <w:rsid w:val="00914158"/>
    <w:rsid w:val="0093170D"/>
    <w:rsid w:val="009500F8"/>
    <w:rsid w:val="009505E7"/>
    <w:rsid w:val="00954A9A"/>
    <w:rsid w:val="00971E1F"/>
    <w:rsid w:val="009958A6"/>
    <w:rsid w:val="00995B91"/>
    <w:rsid w:val="009C5C05"/>
    <w:rsid w:val="009E2A56"/>
    <w:rsid w:val="009E7F06"/>
    <w:rsid w:val="00A05728"/>
    <w:rsid w:val="00A23C97"/>
    <w:rsid w:val="00AA3790"/>
    <w:rsid w:val="00AC31F7"/>
    <w:rsid w:val="00AF2431"/>
    <w:rsid w:val="00AF4B4D"/>
    <w:rsid w:val="00B05363"/>
    <w:rsid w:val="00B11E58"/>
    <w:rsid w:val="00B7084A"/>
    <w:rsid w:val="00B72EEB"/>
    <w:rsid w:val="00B86A82"/>
    <w:rsid w:val="00BA3C57"/>
    <w:rsid w:val="00BA5A3F"/>
    <w:rsid w:val="00BA68F0"/>
    <w:rsid w:val="00BA6D96"/>
    <w:rsid w:val="00BD3287"/>
    <w:rsid w:val="00BE7CD8"/>
    <w:rsid w:val="00BF0CE4"/>
    <w:rsid w:val="00C2346C"/>
    <w:rsid w:val="00CA10AD"/>
    <w:rsid w:val="00CC777F"/>
    <w:rsid w:val="00CC7CA3"/>
    <w:rsid w:val="00CE5FCD"/>
    <w:rsid w:val="00CF052F"/>
    <w:rsid w:val="00D10B26"/>
    <w:rsid w:val="00D10D78"/>
    <w:rsid w:val="00D36A27"/>
    <w:rsid w:val="00D4175D"/>
    <w:rsid w:val="00D641FC"/>
    <w:rsid w:val="00D72042"/>
    <w:rsid w:val="00D96372"/>
    <w:rsid w:val="00DD120F"/>
    <w:rsid w:val="00DE4657"/>
    <w:rsid w:val="00DF44C2"/>
    <w:rsid w:val="00E5763E"/>
    <w:rsid w:val="00E639B0"/>
    <w:rsid w:val="00E76C4A"/>
    <w:rsid w:val="00E827FD"/>
    <w:rsid w:val="00E9347F"/>
    <w:rsid w:val="00EB5DCF"/>
    <w:rsid w:val="00EC300B"/>
    <w:rsid w:val="00EE4DF6"/>
    <w:rsid w:val="00EF5055"/>
    <w:rsid w:val="00EF558F"/>
    <w:rsid w:val="00F00A69"/>
    <w:rsid w:val="00F149AF"/>
    <w:rsid w:val="00F36922"/>
    <w:rsid w:val="00FA07D0"/>
    <w:rsid w:val="00FE5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341A4"/>
  <w15:chartTrackingRefBased/>
  <w15:docId w15:val="{7E4438F3-D747-4AE4-9BFA-6A216D6FD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A4B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A4B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A4B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A4B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A4B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A4B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A4B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A4B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A4B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A4B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A4B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A4B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A4B3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A4B3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A4B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A4B3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A4B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A4B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A4B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A4B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A4B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A4B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A4B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A4B3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A4B3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A4B3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A4B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A4B3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A4B39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BA6D96"/>
    <w:rPr>
      <w:color w:val="467886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EF5055"/>
    <w:rPr>
      <w:color w:val="96607D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9347F"/>
    <w:rPr>
      <w:color w:val="605E5C"/>
      <w:shd w:val="clear" w:color="auto" w:fill="E1DFDD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8130C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8130C7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38/s41598-022-11600-2" TargetMode="External"/><Relationship Id="rId13" Type="http://schemas.openxmlformats.org/officeDocument/2006/relationships/hyperlink" Target="https://www.un.org/es/observances/end-food-waste-day" TargetMode="External"/><Relationship Id="rId18" Type="http://schemas.openxmlformats.org/officeDocument/2006/relationships/hyperlink" Target="https://doi.org/10.1016/B978-0-12-823506-5.00017-5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periodico.unal.edu.co/articulos/en-colombia-7-de-cada-10-hogares-enfrentan-inseguridad-alimentaria?lgn=en" TargetMode="External"/><Relationship Id="rId12" Type="http://schemas.openxmlformats.org/officeDocument/2006/relationships/hyperlink" Target="https://doi.org/10.21068/c2021.v22n02a02" TargetMode="External"/><Relationship Id="rId17" Type="http://schemas.openxmlformats.org/officeDocument/2006/relationships/hyperlink" Target="https://doi.org/10.3390/soilsystems9030103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3390/foods11233925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doi.org/10.1016/j.focha.2024.100838" TargetMode="External"/><Relationship Id="rId11" Type="http://schemas.openxmlformats.org/officeDocument/2006/relationships/hyperlink" Target="https://doi.org/10.1016/j.gfs.2019.100347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fao.org/in-action/pesa-centroamerica/temas/conceptos-basicos/es" TargetMode="External"/><Relationship Id="rId10" Type="http://schemas.openxmlformats.org/officeDocument/2006/relationships/hyperlink" Target="https://doi.org/10.1007/978-3-662-60390-1_5" TargetMode="External"/><Relationship Id="rId19" Type="http://schemas.openxmlformats.org/officeDocument/2006/relationships/hyperlink" Target="https://mexico.unir.net/noticias/educacion/aprendizaje-significativ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3390/horticulturae8080731" TargetMode="External"/><Relationship Id="rId14" Type="http://schemas.openxmlformats.org/officeDocument/2006/relationships/hyperlink" Target="https://doi.org/10.1016/j.heliyon.2021.e08539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7</Pages>
  <Words>2566</Words>
  <Characters>14113</Characters>
  <Application>Microsoft Office Word</Application>
  <DocSecurity>0</DocSecurity>
  <Lines>117</Lines>
  <Paragraphs>33</Paragraphs>
  <ScaleCrop>false</ScaleCrop>
  <Company/>
  <LinksUpToDate>false</LinksUpToDate>
  <CharactersWithSpaces>16646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Alba Mery Garzón García</dc:creator>
  <cp:keywords/>
  <dc:description/>
  <cp:lastModifiedBy>Alba Mery Garzón García</cp:lastModifiedBy>
  <cp:revision>137</cp:revision>
  <dcterms:created xsi:type="dcterms:W3CDTF">2025-12-29T02:08:00Z</dcterms:created>
  <dcterms:modified xsi:type="dcterms:W3CDTF">2025-12-29T06:25:00Z</dcterms:modified>
</cp:coreProperties>
</file>