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Default Extension="png" ContentType="image/png"/>
  <Default Extension="jpeg" ContentType="image/jpeg"/>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170"/>
        <w:ind w:left="0" w:right="14" w:firstLine="0"/>
        <w:jc w:val="right"/>
        <w:rPr>
          <w:rFonts w:ascii="Trebuchet MS" w:hAnsi="Trebuchet MS"/>
          <w:sz w:val="16"/>
        </w:rPr>
      </w:pPr>
      <w:r>
        <w:rPr>
          <w:rFonts w:ascii="Trebuchet MS" w:hAnsi="Trebuchet MS"/>
          <w:sz w:val="16"/>
        </w:rPr>
        <mc:AlternateContent>
          <mc:Choice Requires="wps">
            <w:drawing>
              <wp:anchor distT="0" distB="0" distL="0" distR="0" allowOverlap="1" layoutInCell="1" locked="0" behindDoc="0" simplePos="0" relativeHeight="15729664">
                <wp:simplePos x="0" y="0"/>
                <wp:positionH relativeFrom="page">
                  <wp:posOffset>741847</wp:posOffset>
                </wp:positionH>
                <wp:positionV relativeFrom="paragraph">
                  <wp:posOffset>5562</wp:posOffset>
                </wp:positionV>
                <wp:extent cx="1363345" cy="319405"/>
                <wp:effectExtent l="0" t="0" r="0" b="0"/>
                <wp:wrapNone/>
                <wp:docPr id="3" name="Group 3"/>
                <wp:cNvGraphicFramePr>
                  <a:graphicFrameLocks/>
                </wp:cNvGraphicFramePr>
                <a:graphic>
                  <a:graphicData uri="http://schemas.microsoft.com/office/word/2010/wordprocessingGroup">
                    <wpg:wgp>
                      <wpg:cNvPr id="3" name="Group 3"/>
                      <wpg:cNvGrpSpPr/>
                      <wpg:grpSpPr>
                        <a:xfrm>
                          <a:off x="0" y="0"/>
                          <a:ext cx="1363345" cy="319405"/>
                          <a:chExt cx="1363345" cy="319405"/>
                        </a:xfrm>
                      </wpg:grpSpPr>
                      <pic:pic>
                        <pic:nvPicPr>
                          <pic:cNvPr id="4" name="Image 4"/>
                          <pic:cNvPicPr/>
                        </pic:nvPicPr>
                        <pic:blipFill>
                          <a:blip r:embed="rId7" cstate="print"/>
                          <a:stretch>
                            <a:fillRect/>
                          </a:stretch>
                        </pic:blipFill>
                        <pic:spPr>
                          <a:xfrm>
                            <a:off x="908193" y="95186"/>
                            <a:ext cx="454844" cy="173680"/>
                          </a:xfrm>
                          <a:prstGeom prst="rect">
                            <a:avLst/>
                          </a:prstGeom>
                        </pic:spPr>
                      </pic:pic>
                      <pic:pic>
                        <pic:nvPicPr>
                          <pic:cNvPr id="5" name="Image 5"/>
                          <pic:cNvPicPr/>
                        </pic:nvPicPr>
                        <pic:blipFill>
                          <a:blip r:embed="rId8" cstate="print"/>
                          <a:stretch>
                            <a:fillRect/>
                          </a:stretch>
                        </pic:blipFill>
                        <pic:spPr>
                          <a:xfrm>
                            <a:off x="624225" y="5640"/>
                            <a:ext cx="244843" cy="313689"/>
                          </a:xfrm>
                          <a:prstGeom prst="rect">
                            <a:avLst/>
                          </a:prstGeom>
                        </pic:spPr>
                      </pic:pic>
                      <pic:pic>
                        <pic:nvPicPr>
                          <pic:cNvPr id="6" name="Image 6"/>
                          <pic:cNvPicPr/>
                        </pic:nvPicPr>
                        <pic:blipFill>
                          <a:blip r:embed="rId9" cstate="print"/>
                          <a:stretch>
                            <a:fillRect/>
                          </a:stretch>
                        </pic:blipFill>
                        <pic:spPr>
                          <a:xfrm>
                            <a:off x="0" y="148582"/>
                            <a:ext cx="531850" cy="131608"/>
                          </a:xfrm>
                          <a:prstGeom prst="rect">
                            <a:avLst/>
                          </a:prstGeom>
                        </pic:spPr>
                      </pic:pic>
                      <wps:wsp>
                        <wps:cNvPr id="7" name="Graphic 7"/>
                        <wps:cNvSpPr/>
                        <wps:spPr>
                          <a:xfrm>
                            <a:off x="575226" y="0"/>
                            <a:ext cx="5080" cy="317500"/>
                          </a:xfrm>
                          <a:custGeom>
                            <a:avLst/>
                            <a:gdLst/>
                            <a:ahLst/>
                            <a:cxnLst/>
                            <a:rect l="l" t="t" r="r" b="b"/>
                            <a:pathLst>
                              <a:path w="5080" h="317500">
                                <a:moveTo>
                                  <a:pt x="4914" y="0"/>
                                </a:moveTo>
                                <a:lnTo>
                                  <a:pt x="0" y="0"/>
                                </a:lnTo>
                                <a:lnTo>
                                  <a:pt x="0" y="317436"/>
                                </a:lnTo>
                                <a:lnTo>
                                  <a:pt x="4914" y="317436"/>
                                </a:lnTo>
                                <a:lnTo>
                                  <a:pt x="4914" y="0"/>
                                </a:lnTo>
                                <a:close/>
                              </a:path>
                            </a:pathLst>
                          </a:custGeom>
                          <a:solidFill>
                            <a:srgbClr val="58595B"/>
                          </a:solidFill>
                        </wps:spPr>
                        <wps:bodyPr wrap="square" lIns="0" tIns="0" rIns="0" bIns="0" rtlCol="0">
                          <a:prstTxWarp prst="textNoShape">
                            <a:avLst/>
                          </a:prstTxWarp>
                          <a:noAutofit/>
                        </wps:bodyPr>
                      </wps:wsp>
                    </wpg:wgp>
                  </a:graphicData>
                </a:graphic>
              </wp:anchor>
            </w:drawing>
          </mc:Choice>
          <mc:Fallback>
            <w:pict>
              <v:group style="position:absolute;margin-left:58.4132pt;margin-top:.438pt;width:107.35pt;height:25.15pt;mso-position-horizontal-relative:page;mso-position-vertical-relative:paragraph;z-index:15729664" id="docshapegroup3" coordorigin="1168,9" coordsize="2147,503">
                <v:shape style="position:absolute;left:2598;top:158;width:717;height:274" type="#_x0000_t75" id="docshape4" stroked="false">
                  <v:imagedata r:id="rId7" o:title=""/>
                </v:shape>
                <v:shape style="position:absolute;left:2151;top:17;width:386;height:494" type="#_x0000_t75" id="docshape5" stroked="false">
                  <v:imagedata r:id="rId8" o:title=""/>
                </v:shape>
                <v:shape style="position:absolute;left:1168;top:242;width:838;height:208" type="#_x0000_t75" id="docshape6" stroked="false">
                  <v:imagedata r:id="rId9" o:title=""/>
                </v:shape>
                <v:rect style="position:absolute;left:2074;top:8;width:8;height:500" id="docshape7" filled="true" fillcolor="#58595b" stroked="false">
                  <v:fill type="solid"/>
                </v:rect>
                <w10:wrap type="none"/>
              </v:group>
            </w:pict>
          </mc:Fallback>
        </mc:AlternateContent>
      </w:r>
      <w:r>
        <w:rPr>
          <w:rFonts w:ascii="Trebuchet MS" w:hAnsi="Trebuchet MS"/>
          <w:color w:val="231F20"/>
          <w:w w:val="90"/>
          <w:sz w:val="16"/>
        </w:rPr>
        <w:t>Geología</w:t>
      </w:r>
      <w:r>
        <w:rPr>
          <w:rFonts w:ascii="Trebuchet MS" w:hAnsi="Trebuchet MS"/>
          <w:color w:val="231F20"/>
          <w:spacing w:val="1"/>
          <w:sz w:val="16"/>
        </w:rPr>
        <w:t> </w:t>
      </w:r>
      <w:r>
        <w:rPr>
          <w:rFonts w:ascii="Trebuchet MS" w:hAnsi="Trebuchet MS"/>
          <w:color w:val="231F20"/>
          <w:w w:val="90"/>
          <w:sz w:val="16"/>
        </w:rPr>
        <w:t>Colombiana,</w:t>
      </w:r>
      <w:r>
        <w:rPr>
          <w:rFonts w:ascii="Trebuchet MS" w:hAnsi="Trebuchet MS"/>
          <w:color w:val="231F20"/>
          <w:spacing w:val="1"/>
          <w:sz w:val="16"/>
        </w:rPr>
        <w:t> </w:t>
      </w:r>
      <w:r>
        <w:rPr>
          <w:rFonts w:ascii="Trebuchet MS" w:hAnsi="Trebuchet MS"/>
          <w:color w:val="231F20"/>
          <w:w w:val="90"/>
          <w:sz w:val="16"/>
        </w:rPr>
        <w:t>2020</w:t>
      </w:r>
      <w:r>
        <w:rPr>
          <w:rFonts w:ascii="Trebuchet MS" w:hAnsi="Trebuchet MS"/>
          <w:color w:val="231F20"/>
          <w:spacing w:val="1"/>
          <w:sz w:val="16"/>
        </w:rPr>
        <w:t> </w:t>
      </w:r>
      <w:r>
        <w:rPr>
          <w:rFonts w:ascii="Trebuchet MS" w:hAnsi="Trebuchet MS"/>
          <w:color w:val="231F20"/>
          <w:w w:val="90"/>
          <w:sz w:val="16"/>
        </w:rPr>
        <w:t>-</w:t>
      </w:r>
      <w:r>
        <w:rPr>
          <w:rFonts w:ascii="Trebuchet MS" w:hAnsi="Trebuchet MS"/>
          <w:color w:val="231F20"/>
          <w:spacing w:val="2"/>
          <w:sz w:val="16"/>
        </w:rPr>
        <w:t> </w:t>
      </w:r>
      <w:r>
        <w:rPr>
          <w:rFonts w:ascii="Trebuchet MS" w:hAnsi="Trebuchet MS"/>
          <w:color w:val="231F20"/>
          <w:w w:val="90"/>
          <w:sz w:val="16"/>
        </w:rPr>
        <w:t>Vol.</w:t>
      </w:r>
      <w:r>
        <w:rPr>
          <w:rFonts w:ascii="Trebuchet MS" w:hAnsi="Trebuchet MS"/>
          <w:color w:val="231F20"/>
          <w:spacing w:val="1"/>
          <w:sz w:val="16"/>
        </w:rPr>
        <w:t> </w:t>
      </w:r>
      <w:r>
        <w:rPr>
          <w:rFonts w:ascii="Trebuchet MS" w:hAnsi="Trebuchet MS"/>
          <w:color w:val="231F20"/>
          <w:spacing w:val="-5"/>
          <w:w w:val="90"/>
          <w:sz w:val="16"/>
        </w:rPr>
        <w:t>42</w:t>
      </w:r>
    </w:p>
    <w:p>
      <w:pPr>
        <w:pStyle w:val="BodyText"/>
        <w:spacing w:before="215"/>
        <w:rPr>
          <w:rFonts w:ascii="Trebuchet MS"/>
          <w:sz w:val="30"/>
        </w:rPr>
      </w:pPr>
    </w:p>
    <w:p>
      <w:pPr>
        <w:spacing w:line="249" w:lineRule="auto" w:before="0"/>
        <w:ind w:left="178" w:right="652" w:firstLine="0"/>
        <w:jc w:val="center"/>
        <w:rPr>
          <w:b/>
          <w:sz w:val="30"/>
        </w:rPr>
      </w:pPr>
      <w:r>
        <w:rPr>
          <w:b/>
          <w:color w:val="231F20"/>
          <w:sz w:val="30"/>
        </w:rPr>
        <w:t>NUEVO REGISTRO FÓSIL DE NAUTILOIDEOS PARA EL TRIÁSICO SUPERIOR COLOMBIANO EN EL ÁREA DE</w:t>
      </w:r>
      <w:r>
        <w:rPr>
          <w:b/>
          <w:color w:val="231F20"/>
          <w:spacing w:val="40"/>
          <w:sz w:val="30"/>
        </w:rPr>
        <w:t> </w:t>
      </w:r>
      <w:r>
        <w:rPr>
          <w:b/>
          <w:color w:val="231F20"/>
          <w:sz w:val="30"/>
        </w:rPr>
        <w:t>CHAPARRAL, TOLIMA</w:t>
      </w:r>
    </w:p>
    <w:p>
      <w:pPr>
        <w:spacing w:line="249" w:lineRule="auto" w:before="288"/>
        <w:ind w:left="178" w:right="653" w:firstLine="0"/>
        <w:jc w:val="center"/>
        <w:rPr>
          <w:b/>
          <w:sz w:val="30"/>
        </w:rPr>
      </w:pPr>
      <w:r>
        <w:rPr>
          <w:b/>
          <w:color w:val="231F20"/>
          <w:sz w:val="30"/>
        </w:rPr>
        <w:t>NEW FOSSIL REGISTRY OF NAUTILLOIDS FOR THE COLOMBIAN UPPER TRIASSIC IN THE AREA</w:t>
      </w:r>
    </w:p>
    <w:p>
      <w:pPr>
        <w:spacing w:before="2"/>
        <w:ind w:left="178" w:right="652" w:firstLine="0"/>
        <w:jc w:val="center"/>
        <w:rPr>
          <w:b/>
          <w:sz w:val="30"/>
        </w:rPr>
      </w:pPr>
      <w:r>
        <w:rPr>
          <w:b/>
          <w:color w:val="231F20"/>
          <w:sz w:val="30"/>
        </w:rPr>
        <w:t>OF</w:t>
      </w:r>
      <w:r>
        <w:rPr>
          <w:b/>
          <w:color w:val="231F20"/>
          <w:spacing w:val="41"/>
          <w:sz w:val="30"/>
        </w:rPr>
        <w:t> </w:t>
      </w:r>
      <w:r>
        <w:rPr>
          <w:b/>
          <w:color w:val="231F20"/>
          <w:sz w:val="30"/>
        </w:rPr>
        <w:t>CHAPARRAL,</w:t>
      </w:r>
      <w:r>
        <w:rPr>
          <w:b/>
          <w:color w:val="231F20"/>
          <w:spacing w:val="34"/>
          <w:sz w:val="30"/>
        </w:rPr>
        <w:t> </w:t>
      </w:r>
      <w:r>
        <w:rPr>
          <w:b/>
          <w:color w:val="231F20"/>
          <w:spacing w:val="-2"/>
          <w:sz w:val="30"/>
        </w:rPr>
        <w:t>TOLIMA</w:t>
      </w:r>
    </w:p>
    <w:p>
      <w:pPr>
        <w:pStyle w:val="BodyText"/>
        <w:spacing w:before="210"/>
        <w:rPr>
          <w:b/>
          <w:sz w:val="30"/>
        </w:rPr>
      </w:pPr>
    </w:p>
    <w:p>
      <w:pPr>
        <w:pStyle w:val="Heading2"/>
        <w:ind w:left="0" w:right="694"/>
        <w:jc w:val="right"/>
      </w:pPr>
      <w:r>
        <w:rPr>
          <w:color w:val="231F20"/>
        </w:rPr>
        <w:t>A.</w:t>
      </w:r>
      <w:r>
        <w:rPr>
          <w:color w:val="231F20"/>
          <w:spacing w:val="6"/>
        </w:rPr>
        <w:t> </w:t>
      </w:r>
      <w:r>
        <w:rPr>
          <w:color w:val="231F20"/>
        </w:rPr>
        <w:t>M.</w:t>
      </w:r>
      <w:r>
        <w:rPr>
          <w:color w:val="231F20"/>
          <w:spacing w:val="6"/>
        </w:rPr>
        <w:t> </w:t>
      </w:r>
      <w:r>
        <w:rPr>
          <w:color w:val="231F20"/>
        </w:rPr>
        <w:t>Perilla</w:t>
      </w:r>
      <w:r>
        <w:rPr>
          <w:color w:val="231F20"/>
          <w:spacing w:val="7"/>
        </w:rPr>
        <w:t> </w:t>
      </w:r>
      <w:r>
        <w:rPr>
          <w:color w:val="231F20"/>
          <w:spacing w:val="-2"/>
        </w:rPr>
        <w:t>Vargas</w:t>
      </w:r>
    </w:p>
    <w:p>
      <w:pPr>
        <w:spacing w:line="249" w:lineRule="auto" w:before="67"/>
        <w:ind w:left="1135" w:right="694" w:firstLine="4738"/>
        <w:jc w:val="right"/>
        <w:rPr>
          <w:i/>
          <w:sz w:val="20"/>
        </w:rPr>
      </w:pPr>
      <w:r>
        <w:rPr>
          <w:i/>
          <w:color w:val="231F20"/>
          <w:sz w:val="20"/>
        </w:rPr>
        <w:t>Estudiante de Maestría en Ciencias Geología Departamento</w:t>
      </w:r>
      <w:r>
        <w:rPr>
          <w:i/>
          <w:color w:val="231F20"/>
          <w:spacing w:val="3"/>
          <w:sz w:val="20"/>
        </w:rPr>
        <w:t> </w:t>
      </w:r>
      <w:r>
        <w:rPr>
          <w:i/>
          <w:color w:val="231F20"/>
          <w:sz w:val="20"/>
        </w:rPr>
        <w:t>de</w:t>
      </w:r>
      <w:r>
        <w:rPr>
          <w:i/>
          <w:color w:val="231F20"/>
          <w:spacing w:val="5"/>
          <w:sz w:val="20"/>
        </w:rPr>
        <w:t> </w:t>
      </w:r>
      <w:r>
        <w:rPr>
          <w:i/>
          <w:color w:val="231F20"/>
          <w:sz w:val="20"/>
        </w:rPr>
        <w:t>Geociencias,</w:t>
      </w:r>
      <w:r>
        <w:rPr>
          <w:i/>
          <w:color w:val="231F20"/>
          <w:spacing w:val="6"/>
          <w:sz w:val="20"/>
        </w:rPr>
        <w:t> </w:t>
      </w:r>
      <w:r>
        <w:rPr>
          <w:i/>
          <w:color w:val="231F20"/>
          <w:sz w:val="20"/>
        </w:rPr>
        <w:t>Facultad</w:t>
      </w:r>
      <w:r>
        <w:rPr>
          <w:i/>
          <w:color w:val="231F20"/>
          <w:spacing w:val="5"/>
          <w:sz w:val="20"/>
        </w:rPr>
        <w:t> </w:t>
      </w:r>
      <w:r>
        <w:rPr>
          <w:i/>
          <w:color w:val="231F20"/>
          <w:sz w:val="20"/>
        </w:rPr>
        <w:t>de</w:t>
      </w:r>
      <w:r>
        <w:rPr>
          <w:i/>
          <w:color w:val="231F20"/>
          <w:spacing w:val="6"/>
          <w:sz w:val="20"/>
        </w:rPr>
        <w:t> </w:t>
      </w:r>
      <w:r>
        <w:rPr>
          <w:i/>
          <w:color w:val="231F20"/>
          <w:sz w:val="20"/>
        </w:rPr>
        <w:t>Ciencias,</w:t>
      </w:r>
      <w:r>
        <w:rPr>
          <w:i/>
          <w:color w:val="231F20"/>
          <w:spacing w:val="5"/>
          <w:sz w:val="20"/>
        </w:rPr>
        <w:t> </w:t>
      </w:r>
      <w:r>
        <w:rPr>
          <w:i/>
          <w:color w:val="231F20"/>
          <w:sz w:val="20"/>
        </w:rPr>
        <w:t>Universidad</w:t>
      </w:r>
      <w:r>
        <w:rPr>
          <w:i/>
          <w:color w:val="231F20"/>
          <w:spacing w:val="6"/>
          <w:sz w:val="20"/>
        </w:rPr>
        <w:t> </w:t>
      </w:r>
      <w:r>
        <w:rPr>
          <w:i/>
          <w:color w:val="231F20"/>
          <w:sz w:val="20"/>
        </w:rPr>
        <w:t>Nacional</w:t>
      </w:r>
      <w:r>
        <w:rPr>
          <w:i/>
          <w:color w:val="231F20"/>
          <w:spacing w:val="5"/>
          <w:sz w:val="20"/>
        </w:rPr>
        <w:t> </w:t>
      </w:r>
      <w:r>
        <w:rPr>
          <w:i/>
          <w:color w:val="231F20"/>
          <w:sz w:val="20"/>
        </w:rPr>
        <w:t>de</w:t>
      </w:r>
      <w:r>
        <w:rPr>
          <w:i/>
          <w:color w:val="231F20"/>
          <w:spacing w:val="6"/>
          <w:sz w:val="20"/>
        </w:rPr>
        <w:t> </w:t>
      </w:r>
      <w:r>
        <w:rPr>
          <w:i/>
          <w:color w:val="231F20"/>
          <w:sz w:val="20"/>
        </w:rPr>
        <w:t>Colombia.</w:t>
      </w:r>
      <w:r>
        <w:rPr>
          <w:i/>
          <w:color w:val="231F20"/>
          <w:spacing w:val="5"/>
          <w:sz w:val="20"/>
        </w:rPr>
        <w:t> </w:t>
      </w:r>
      <w:r>
        <w:rPr>
          <w:i/>
          <w:color w:val="231F20"/>
          <w:sz w:val="20"/>
        </w:rPr>
        <w:t>Sede</w:t>
      </w:r>
      <w:r>
        <w:rPr>
          <w:i/>
          <w:color w:val="231F20"/>
          <w:spacing w:val="6"/>
          <w:sz w:val="20"/>
        </w:rPr>
        <w:t> </w:t>
      </w:r>
      <w:r>
        <w:rPr>
          <w:i/>
          <w:color w:val="231F20"/>
          <w:spacing w:val="-2"/>
          <w:sz w:val="20"/>
        </w:rPr>
        <w:t>Bogotá.</w:t>
      </w:r>
    </w:p>
    <w:p>
      <w:pPr>
        <w:spacing w:before="2"/>
        <w:ind w:left="0" w:right="694" w:firstLine="0"/>
        <w:jc w:val="right"/>
        <w:rPr>
          <w:i/>
          <w:sz w:val="20"/>
        </w:rPr>
      </w:pPr>
      <w:hyperlink r:id="rId10">
        <w:r>
          <w:rPr>
            <w:i/>
            <w:color w:val="231F20"/>
            <w:spacing w:val="-2"/>
            <w:sz w:val="20"/>
          </w:rPr>
          <w:t>amperillav@unal.edu.co</w:t>
        </w:r>
      </w:hyperlink>
    </w:p>
    <w:p>
      <w:pPr>
        <w:pStyle w:val="BodyText"/>
        <w:spacing w:before="123"/>
        <w:rPr>
          <w:i/>
        </w:rPr>
      </w:pPr>
      <w:r>
        <w:rPr>
          <w:i/>
        </w:rPr>
        <mc:AlternateContent>
          <mc:Choice Requires="wps">
            <w:drawing>
              <wp:anchor distT="0" distB="0" distL="0" distR="0" allowOverlap="1" layoutInCell="1" locked="0" behindDoc="1" simplePos="0" relativeHeight="487587840">
                <wp:simplePos x="0" y="0"/>
                <wp:positionH relativeFrom="page">
                  <wp:posOffset>1266849</wp:posOffset>
                </wp:positionH>
                <wp:positionV relativeFrom="paragraph">
                  <wp:posOffset>239554</wp:posOffset>
                </wp:positionV>
                <wp:extent cx="5352415"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5352415" cy="1270"/>
                        </a:xfrm>
                        <a:custGeom>
                          <a:avLst/>
                          <a:gdLst/>
                          <a:ahLst/>
                          <a:cxnLst/>
                          <a:rect l="l" t="t" r="r" b="b"/>
                          <a:pathLst>
                            <a:path w="5352415" h="0">
                              <a:moveTo>
                                <a:pt x="0" y="0"/>
                              </a:moveTo>
                              <a:lnTo>
                                <a:pt x="5351995" y="0"/>
                              </a:lnTo>
                            </a:path>
                          </a:pathLst>
                        </a:custGeom>
                        <a:ln w="6350">
                          <a:solidFill>
                            <a:srgbClr val="231F20"/>
                          </a:solidFill>
                          <a:prstDash val="solid"/>
                        </a:ln>
                      </wps:spPr>
                      <wps:bodyPr wrap="square" lIns="0" tIns="0" rIns="0" bIns="0" rtlCol="0">
                        <a:prstTxWarp prst="textNoShape">
                          <a:avLst/>
                        </a:prstTxWarp>
                        <a:noAutofit/>
                      </wps:bodyPr>
                    </wps:wsp>
                  </a:graphicData>
                </a:graphic>
              </wp:anchor>
            </w:drawing>
          </mc:Choice>
          <mc:Fallback>
            <w:pict>
              <v:shape style="position:absolute;margin-left:99.751892pt;margin-top:18.862576pt;width:421.45pt;height:.1pt;mso-position-horizontal-relative:page;mso-position-vertical-relative:paragraph;z-index:-15728640;mso-wrap-distance-left:0;mso-wrap-distance-right:0" id="docshape8" coordorigin="1995,377" coordsize="8429,0" path="m1995,377l10423,377e" filled="false" stroked="true" strokeweight=".5pt" strokecolor="#231f20">
                <v:path arrowok="t"/>
                <v:stroke dashstyle="solid"/>
                <w10:wrap type="topAndBottom"/>
              </v:shape>
            </w:pict>
          </mc:Fallback>
        </mc:AlternateContent>
      </w:r>
    </w:p>
    <w:p>
      <w:pPr>
        <w:spacing w:line="249" w:lineRule="auto" w:before="50"/>
        <w:ind w:left="1193" w:right="867" w:firstLine="0"/>
        <w:jc w:val="left"/>
        <w:rPr>
          <w:sz w:val="18"/>
        </w:rPr>
      </w:pPr>
      <w:r>
        <w:rPr>
          <w:color w:val="231F20"/>
          <w:spacing w:val="-2"/>
          <w:sz w:val="18"/>
        </w:rPr>
        <w:t>Perilla,</w:t>
      </w:r>
      <w:r>
        <w:rPr>
          <w:color w:val="231F20"/>
          <w:spacing w:val="-11"/>
          <w:sz w:val="18"/>
        </w:rPr>
        <w:t> </w:t>
      </w:r>
      <w:r>
        <w:rPr>
          <w:color w:val="231F20"/>
          <w:spacing w:val="-2"/>
          <w:sz w:val="18"/>
        </w:rPr>
        <w:t>A.</w:t>
      </w:r>
      <w:r>
        <w:rPr>
          <w:color w:val="231F20"/>
          <w:spacing w:val="-11"/>
          <w:sz w:val="18"/>
        </w:rPr>
        <w:t> </w:t>
      </w:r>
      <w:r>
        <w:rPr>
          <w:color w:val="231F20"/>
          <w:spacing w:val="-2"/>
          <w:sz w:val="18"/>
        </w:rPr>
        <w:t>.,</w:t>
      </w:r>
      <w:r>
        <w:rPr>
          <w:color w:val="231F20"/>
          <w:spacing w:val="-11"/>
          <w:sz w:val="18"/>
        </w:rPr>
        <w:t> </w:t>
      </w:r>
      <w:r>
        <w:rPr>
          <w:color w:val="231F20"/>
          <w:spacing w:val="-2"/>
          <w:sz w:val="18"/>
        </w:rPr>
        <w:t>(2020):</w:t>
      </w:r>
      <w:r>
        <w:rPr>
          <w:color w:val="231F20"/>
          <w:spacing w:val="-11"/>
          <w:sz w:val="18"/>
        </w:rPr>
        <w:t> </w:t>
      </w:r>
      <w:r>
        <w:rPr>
          <w:i/>
          <w:color w:val="231F20"/>
          <w:spacing w:val="-2"/>
          <w:sz w:val="18"/>
        </w:rPr>
        <w:t>Nuevo</w:t>
      </w:r>
      <w:r>
        <w:rPr>
          <w:i/>
          <w:color w:val="231F20"/>
          <w:spacing w:val="-11"/>
          <w:sz w:val="18"/>
        </w:rPr>
        <w:t> </w:t>
      </w:r>
      <w:r>
        <w:rPr>
          <w:i/>
          <w:color w:val="231F20"/>
          <w:spacing w:val="-2"/>
          <w:sz w:val="18"/>
        </w:rPr>
        <w:t>registro</w:t>
      </w:r>
      <w:r>
        <w:rPr>
          <w:i/>
          <w:color w:val="231F20"/>
          <w:spacing w:val="-11"/>
          <w:sz w:val="18"/>
        </w:rPr>
        <w:t> </w:t>
      </w:r>
      <w:r>
        <w:rPr>
          <w:i/>
          <w:color w:val="231F20"/>
          <w:spacing w:val="-2"/>
          <w:sz w:val="18"/>
        </w:rPr>
        <w:t>fósil</w:t>
      </w:r>
      <w:r>
        <w:rPr>
          <w:i/>
          <w:color w:val="231F20"/>
          <w:spacing w:val="-11"/>
          <w:sz w:val="18"/>
        </w:rPr>
        <w:t> </w:t>
      </w:r>
      <w:r>
        <w:rPr>
          <w:i/>
          <w:color w:val="231F20"/>
          <w:spacing w:val="-2"/>
          <w:sz w:val="18"/>
        </w:rPr>
        <w:t>de</w:t>
      </w:r>
      <w:r>
        <w:rPr>
          <w:i/>
          <w:color w:val="231F20"/>
          <w:spacing w:val="-11"/>
          <w:sz w:val="18"/>
        </w:rPr>
        <w:t> </w:t>
      </w:r>
      <w:r>
        <w:rPr>
          <w:i/>
          <w:color w:val="231F20"/>
          <w:spacing w:val="-2"/>
          <w:sz w:val="18"/>
        </w:rPr>
        <w:t>nautiloideos</w:t>
      </w:r>
      <w:r>
        <w:rPr>
          <w:i/>
          <w:color w:val="231F20"/>
          <w:spacing w:val="-11"/>
          <w:sz w:val="18"/>
        </w:rPr>
        <w:t> </w:t>
      </w:r>
      <w:r>
        <w:rPr>
          <w:i/>
          <w:color w:val="231F20"/>
          <w:spacing w:val="-2"/>
          <w:sz w:val="18"/>
        </w:rPr>
        <w:t>para</w:t>
      </w:r>
      <w:r>
        <w:rPr>
          <w:i/>
          <w:color w:val="231F20"/>
          <w:spacing w:val="-11"/>
          <w:sz w:val="18"/>
        </w:rPr>
        <w:t> </w:t>
      </w:r>
      <w:r>
        <w:rPr>
          <w:i/>
          <w:color w:val="231F20"/>
          <w:spacing w:val="-2"/>
          <w:sz w:val="18"/>
        </w:rPr>
        <w:t>el</w:t>
      </w:r>
      <w:r>
        <w:rPr>
          <w:i/>
          <w:color w:val="231F20"/>
          <w:spacing w:val="-11"/>
          <w:sz w:val="18"/>
        </w:rPr>
        <w:t> </w:t>
      </w:r>
      <w:r>
        <w:rPr>
          <w:i/>
          <w:color w:val="231F20"/>
          <w:spacing w:val="-2"/>
          <w:sz w:val="18"/>
        </w:rPr>
        <w:t>Triásico</w:t>
      </w:r>
      <w:r>
        <w:rPr>
          <w:i/>
          <w:color w:val="231F20"/>
          <w:spacing w:val="-11"/>
          <w:sz w:val="18"/>
        </w:rPr>
        <w:t> </w:t>
      </w:r>
      <w:r>
        <w:rPr>
          <w:i/>
          <w:color w:val="231F20"/>
          <w:spacing w:val="-2"/>
          <w:sz w:val="18"/>
        </w:rPr>
        <w:t>superior</w:t>
      </w:r>
      <w:r>
        <w:rPr>
          <w:i/>
          <w:color w:val="231F20"/>
          <w:spacing w:val="-11"/>
          <w:sz w:val="18"/>
        </w:rPr>
        <w:t> </w:t>
      </w:r>
      <w:r>
        <w:rPr>
          <w:i/>
          <w:color w:val="231F20"/>
          <w:spacing w:val="-2"/>
          <w:sz w:val="18"/>
        </w:rPr>
        <w:t>colombiano</w:t>
      </w:r>
      <w:r>
        <w:rPr>
          <w:i/>
          <w:color w:val="231F20"/>
          <w:spacing w:val="-11"/>
          <w:sz w:val="18"/>
        </w:rPr>
        <w:t> </w:t>
      </w:r>
      <w:r>
        <w:rPr>
          <w:i/>
          <w:color w:val="231F20"/>
          <w:spacing w:val="-2"/>
          <w:sz w:val="18"/>
        </w:rPr>
        <w:t>en</w:t>
      </w:r>
      <w:r>
        <w:rPr>
          <w:i/>
          <w:color w:val="231F20"/>
          <w:spacing w:val="-11"/>
          <w:sz w:val="18"/>
        </w:rPr>
        <w:t> </w:t>
      </w:r>
      <w:r>
        <w:rPr>
          <w:i/>
          <w:color w:val="231F20"/>
          <w:spacing w:val="-2"/>
          <w:sz w:val="18"/>
        </w:rPr>
        <w:t>el</w:t>
      </w:r>
      <w:r>
        <w:rPr>
          <w:i/>
          <w:color w:val="231F20"/>
          <w:spacing w:val="-11"/>
          <w:sz w:val="18"/>
        </w:rPr>
        <w:t> </w:t>
      </w:r>
      <w:r>
        <w:rPr>
          <w:i/>
          <w:color w:val="231F20"/>
          <w:spacing w:val="-2"/>
          <w:sz w:val="18"/>
        </w:rPr>
        <w:t>área</w:t>
      </w:r>
      <w:r>
        <w:rPr>
          <w:i/>
          <w:color w:val="231F20"/>
          <w:spacing w:val="-11"/>
          <w:sz w:val="18"/>
        </w:rPr>
        <w:t> </w:t>
      </w:r>
      <w:r>
        <w:rPr>
          <w:i/>
          <w:color w:val="231F20"/>
          <w:spacing w:val="-2"/>
          <w:sz w:val="18"/>
        </w:rPr>
        <w:t>de </w:t>
      </w:r>
      <w:r>
        <w:rPr>
          <w:i/>
          <w:color w:val="231F20"/>
          <w:sz w:val="18"/>
        </w:rPr>
        <w:t>Chaparral,</w:t>
      </w:r>
      <w:r>
        <w:rPr>
          <w:i/>
          <w:color w:val="231F20"/>
          <w:spacing w:val="-9"/>
          <w:sz w:val="18"/>
        </w:rPr>
        <w:t> </w:t>
      </w:r>
      <w:r>
        <w:rPr>
          <w:i/>
          <w:color w:val="231F20"/>
          <w:sz w:val="18"/>
        </w:rPr>
        <w:t>Tolima</w:t>
      </w:r>
      <w:r>
        <w:rPr>
          <w:color w:val="231F20"/>
          <w:sz w:val="18"/>
        </w:rPr>
        <w:t>,</w:t>
      </w:r>
      <w:r>
        <w:rPr>
          <w:color w:val="231F20"/>
          <w:spacing w:val="-9"/>
          <w:sz w:val="18"/>
        </w:rPr>
        <w:t> </w:t>
      </w:r>
      <w:r>
        <w:rPr>
          <w:color w:val="231F20"/>
          <w:sz w:val="18"/>
        </w:rPr>
        <w:t>Vol.</w:t>
      </w:r>
      <w:r>
        <w:rPr>
          <w:color w:val="231F20"/>
          <w:spacing w:val="-9"/>
          <w:sz w:val="18"/>
        </w:rPr>
        <w:t> </w:t>
      </w:r>
      <w:r>
        <w:rPr>
          <w:color w:val="231F20"/>
          <w:sz w:val="18"/>
        </w:rPr>
        <w:t>42.</w:t>
      </w:r>
      <w:r>
        <w:rPr>
          <w:color w:val="231F20"/>
          <w:spacing w:val="-9"/>
          <w:sz w:val="18"/>
        </w:rPr>
        <w:t> </w:t>
      </w:r>
      <w:r>
        <w:rPr>
          <w:color w:val="231F20"/>
          <w:sz w:val="18"/>
        </w:rPr>
        <w:t>Bogotá,</w:t>
      </w:r>
      <w:r>
        <w:rPr>
          <w:color w:val="231F20"/>
          <w:spacing w:val="-9"/>
          <w:sz w:val="18"/>
        </w:rPr>
        <w:t> </w:t>
      </w:r>
      <w:r>
        <w:rPr>
          <w:color w:val="231F20"/>
          <w:sz w:val="18"/>
        </w:rPr>
        <w:t>Colombia.</w:t>
      </w:r>
      <w:r>
        <w:rPr>
          <w:color w:val="231F20"/>
          <w:spacing w:val="-9"/>
          <w:sz w:val="18"/>
        </w:rPr>
        <w:t> </w:t>
      </w:r>
      <w:r>
        <w:rPr>
          <w:color w:val="231F20"/>
          <w:sz w:val="18"/>
        </w:rPr>
        <w:t>pp.</w:t>
      </w:r>
      <w:r>
        <w:rPr>
          <w:color w:val="231F20"/>
          <w:spacing w:val="-9"/>
          <w:sz w:val="18"/>
        </w:rPr>
        <w:t> </w:t>
      </w:r>
      <w:r>
        <w:rPr>
          <w:color w:val="231F20"/>
          <w:sz w:val="18"/>
        </w:rPr>
        <w:t>42-50</w:t>
      </w:r>
    </w:p>
    <w:p>
      <w:pPr>
        <w:spacing w:before="115"/>
        <w:ind w:left="1193" w:right="0" w:firstLine="0"/>
        <w:jc w:val="left"/>
        <w:rPr>
          <w:sz w:val="18"/>
        </w:rPr>
      </w:pPr>
      <w:r>
        <w:rPr>
          <w:color w:val="231F20"/>
          <w:sz w:val="18"/>
        </w:rPr>
        <w:t>Manuscrito</w:t>
      </w:r>
      <w:r>
        <w:rPr>
          <w:color w:val="231F20"/>
          <w:spacing w:val="-1"/>
          <w:sz w:val="18"/>
        </w:rPr>
        <w:t> </w:t>
      </w:r>
      <w:r>
        <w:rPr>
          <w:color w:val="231F20"/>
          <w:sz w:val="18"/>
        </w:rPr>
        <w:t>recibido: 28</w:t>
      </w:r>
      <w:r>
        <w:rPr>
          <w:color w:val="231F20"/>
          <w:spacing w:val="-1"/>
          <w:sz w:val="18"/>
        </w:rPr>
        <w:t> </w:t>
      </w:r>
      <w:r>
        <w:rPr>
          <w:color w:val="231F20"/>
          <w:sz w:val="18"/>
        </w:rPr>
        <w:t>de Febrero 2019;</w:t>
      </w:r>
      <w:r>
        <w:rPr>
          <w:color w:val="231F20"/>
          <w:spacing w:val="-1"/>
          <w:sz w:val="18"/>
        </w:rPr>
        <w:t> </w:t>
      </w:r>
      <w:r>
        <w:rPr>
          <w:color w:val="231F20"/>
          <w:sz w:val="18"/>
        </w:rPr>
        <w:t>aceptado: 10 de</w:t>
      </w:r>
      <w:r>
        <w:rPr>
          <w:color w:val="231F20"/>
          <w:spacing w:val="-1"/>
          <w:sz w:val="18"/>
        </w:rPr>
        <w:t> </w:t>
      </w:r>
      <w:r>
        <w:rPr>
          <w:color w:val="231F20"/>
          <w:sz w:val="18"/>
        </w:rPr>
        <w:t>Diciembre de </w:t>
      </w:r>
      <w:r>
        <w:rPr>
          <w:color w:val="231F20"/>
          <w:spacing w:val="-4"/>
          <w:sz w:val="18"/>
        </w:rPr>
        <w:t>2019</w:t>
      </w:r>
    </w:p>
    <w:p>
      <w:pPr>
        <w:pStyle w:val="BodyText"/>
        <w:spacing w:before="8"/>
        <w:rPr>
          <w:sz w:val="6"/>
        </w:rPr>
      </w:pPr>
      <w:r>
        <w:rPr>
          <w:sz w:val="6"/>
        </w:rPr>
        <mc:AlternateContent>
          <mc:Choice Requires="wps">
            <w:drawing>
              <wp:anchor distT="0" distB="0" distL="0" distR="0" allowOverlap="1" layoutInCell="1" locked="0" behindDoc="1" simplePos="0" relativeHeight="487588352">
                <wp:simplePos x="0" y="0"/>
                <wp:positionH relativeFrom="page">
                  <wp:posOffset>1254847</wp:posOffset>
                </wp:positionH>
                <wp:positionV relativeFrom="paragraph">
                  <wp:posOffset>64588</wp:posOffset>
                </wp:positionV>
                <wp:extent cx="5352415"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5352415" cy="1270"/>
                        </a:xfrm>
                        <a:custGeom>
                          <a:avLst/>
                          <a:gdLst/>
                          <a:ahLst/>
                          <a:cxnLst/>
                          <a:rect l="l" t="t" r="r" b="b"/>
                          <a:pathLst>
                            <a:path w="5352415" h="0">
                              <a:moveTo>
                                <a:pt x="0" y="0"/>
                              </a:moveTo>
                              <a:lnTo>
                                <a:pt x="5351995" y="0"/>
                              </a:lnTo>
                            </a:path>
                          </a:pathLst>
                        </a:custGeom>
                        <a:ln w="6350">
                          <a:solidFill>
                            <a:srgbClr val="231F20"/>
                          </a:solidFill>
                          <a:prstDash val="solid"/>
                        </a:ln>
                      </wps:spPr>
                      <wps:bodyPr wrap="square" lIns="0" tIns="0" rIns="0" bIns="0" rtlCol="0">
                        <a:prstTxWarp prst="textNoShape">
                          <a:avLst/>
                        </a:prstTxWarp>
                        <a:noAutofit/>
                      </wps:bodyPr>
                    </wps:wsp>
                  </a:graphicData>
                </a:graphic>
              </wp:anchor>
            </w:drawing>
          </mc:Choice>
          <mc:Fallback>
            <w:pict>
              <v:shape style="position:absolute;margin-left:98.806892pt;margin-top:5.085707pt;width:421.45pt;height:.1pt;mso-position-horizontal-relative:page;mso-position-vertical-relative:paragraph;z-index:-15728128;mso-wrap-distance-left:0;mso-wrap-distance-right:0" id="docshape9" coordorigin="1976,102" coordsize="8429,0" path="m1976,102l10404,102e" filled="false" stroked="true" strokeweight=".5pt" strokecolor="#231f20">
                <v:path arrowok="t"/>
                <v:stroke dashstyle="solid"/>
                <w10:wrap type="topAndBottom"/>
              </v:shape>
            </w:pict>
          </mc:Fallback>
        </mc:AlternateContent>
      </w:r>
    </w:p>
    <w:p>
      <w:pPr>
        <w:pStyle w:val="BodyText"/>
        <w:spacing w:before="37"/>
        <w:rPr>
          <w:sz w:val="19"/>
        </w:rPr>
      </w:pPr>
    </w:p>
    <w:p>
      <w:pPr>
        <w:spacing w:before="0"/>
        <w:ind w:left="257" w:right="0" w:firstLine="0"/>
        <w:jc w:val="left"/>
        <w:rPr>
          <w:b/>
          <w:sz w:val="19"/>
        </w:rPr>
      </w:pPr>
      <w:r>
        <w:rPr>
          <w:b/>
          <w:color w:val="231F20"/>
          <w:spacing w:val="-2"/>
          <w:sz w:val="19"/>
        </w:rPr>
        <w:t>Resumen</w:t>
      </w:r>
    </w:p>
    <w:p>
      <w:pPr>
        <w:spacing w:line="249" w:lineRule="auto" w:before="169"/>
        <w:ind w:left="739" w:right="1158" w:firstLine="0"/>
        <w:jc w:val="both"/>
        <w:rPr>
          <w:sz w:val="19"/>
        </w:rPr>
      </w:pPr>
      <w:r>
        <w:rPr>
          <w:color w:val="231F20"/>
          <w:sz w:val="19"/>
        </w:rPr>
        <w:t>Los nautiloideos conforman una subclase de los cefalópodos, la cuál ha sido muy poco estudiada en Sur América, y su conocimiento es escaso a lo largo del registro geológico, en particular para el Triásico. En Colombia, únicamente por</w:t>
      </w:r>
      <w:r>
        <w:rPr>
          <w:color w:val="231F20"/>
          <w:spacing w:val="40"/>
          <w:sz w:val="19"/>
        </w:rPr>
        <w:t> </w:t>
      </w:r>
      <w:r>
        <w:rPr>
          <w:color w:val="231F20"/>
          <w:sz w:val="19"/>
        </w:rPr>
        <w:t>Geyer (1973) se ha reportado la aparición de nautiloideos triásicos, ¿quién identificó remanentes de </w:t>
      </w:r>
      <w:r>
        <w:rPr>
          <w:i/>
          <w:color w:val="231F20"/>
          <w:sz w:val="19"/>
        </w:rPr>
        <w:t>Oxynautilus? </w:t>
      </w:r>
      <w:r>
        <w:rPr>
          <w:color w:val="231F20"/>
          <w:sz w:val="19"/>
        </w:rPr>
        <w:t>sp. en las “calizas </w:t>
      </w:r>
      <w:r>
        <w:rPr>
          <w:i/>
          <w:color w:val="231F20"/>
          <w:sz w:val="19"/>
        </w:rPr>
        <w:t>Monotis</w:t>
      </w:r>
      <w:r>
        <w:rPr>
          <w:color w:val="231F20"/>
          <w:sz w:val="19"/>
        </w:rPr>
        <w:t>” de Tuluní para el área de Chaparral (Tolima), los cuáles comparó con ejemplares del Noriano de Europa y América del Norte. Asimismo, los resultados</w:t>
      </w:r>
      <w:r>
        <w:rPr>
          <w:color w:val="231F20"/>
          <w:spacing w:val="32"/>
          <w:sz w:val="19"/>
        </w:rPr>
        <w:t> </w:t>
      </w:r>
      <w:r>
        <w:rPr>
          <w:color w:val="231F20"/>
          <w:sz w:val="19"/>
        </w:rPr>
        <w:t>presentados</w:t>
      </w:r>
      <w:r>
        <w:rPr>
          <w:color w:val="231F20"/>
          <w:spacing w:val="32"/>
          <w:sz w:val="19"/>
        </w:rPr>
        <w:t> </w:t>
      </w:r>
      <w:r>
        <w:rPr>
          <w:color w:val="231F20"/>
          <w:sz w:val="19"/>
        </w:rPr>
        <w:t>en</w:t>
      </w:r>
      <w:r>
        <w:rPr>
          <w:color w:val="231F20"/>
          <w:spacing w:val="32"/>
          <w:sz w:val="19"/>
        </w:rPr>
        <w:t> </w:t>
      </w:r>
      <w:r>
        <w:rPr>
          <w:color w:val="231F20"/>
          <w:sz w:val="19"/>
        </w:rPr>
        <w:t>este</w:t>
      </w:r>
      <w:r>
        <w:rPr>
          <w:color w:val="231F20"/>
          <w:spacing w:val="32"/>
          <w:sz w:val="19"/>
        </w:rPr>
        <w:t> </w:t>
      </w:r>
      <w:r>
        <w:rPr>
          <w:color w:val="231F20"/>
          <w:sz w:val="19"/>
        </w:rPr>
        <w:t>artículo</w:t>
      </w:r>
      <w:r>
        <w:rPr>
          <w:color w:val="231F20"/>
          <w:spacing w:val="32"/>
          <w:sz w:val="19"/>
        </w:rPr>
        <w:t> </w:t>
      </w:r>
      <w:r>
        <w:rPr>
          <w:color w:val="231F20"/>
          <w:sz w:val="19"/>
        </w:rPr>
        <w:t>incluye</w:t>
      </w:r>
      <w:r>
        <w:rPr>
          <w:color w:val="231F20"/>
          <w:spacing w:val="32"/>
          <w:sz w:val="19"/>
        </w:rPr>
        <w:t> </w:t>
      </w:r>
      <w:r>
        <w:rPr>
          <w:color w:val="231F20"/>
          <w:sz w:val="19"/>
        </w:rPr>
        <w:t>para</w:t>
      </w:r>
      <w:r>
        <w:rPr>
          <w:color w:val="231F20"/>
          <w:spacing w:val="32"/>
          <w:sz w:val="19"/>
        </w:rPr>
        <w:t> </w:t>
      </w:r>
      <w:r>
        <w:rPr>
          <w:color w:val="231F20"/>
          <w:sz w:val="19"/>
        </w:rPr>
        <w:t>la</w:t>
      </w:r>
      <w:r>
        <w:rPr>
          <w:color w:val="231F20"/>
          <w:spacing w:val="32"/>
          <w:sz w:val="19"/>
        </w:rPr>
        <w:t> </w:t>
      </w:r>
      <w:r>
        <w:rPr>
          <w:color w:val="231F20"/>
          <w:sz w:val="19"/>
        </w:rPr>
        <w:t>sección</w:t>
      </w:r>
      <w:r>
        <w:rPr>
          <w:color w:val="231F20"/>
          <w:spacing w:val="32"/>
          <w:sz w:val="19"/>
        </w:rPr>
        <w:t> </w:t>
      </w:r>
      <w:r>
        <w:rPr>
          <w:color w:val="231F20"/>
          <w:sz w:val="19"/>
        </w:rPr>
        <w:t>Tuluní,</w:t>
      </w:r>
      <w:r>
        <w:rPr>
          <w:color w:val="231F20"/>
          <w:spacing w:val="32"/>
          <w:sz w:val="19"/>
        </w:rPr>
        <w:t> </w:t>
      </w:r>
      <w:r>
        <w:rPr>
          <w:color w:val="231F20"/>
          <w:sz w:val="19"/>
        </w:rPr>
        <w:t>el</w:t>
      </w:r>
      <w:r>
        <w:rPr>
          <w:color w:val="231F20"/>
          <w:spacing w:val="32"/>
          <w:sz w:val="19"/>
        </w:rPr>
        <w:t> </w:t>
      </w:r>
      <w:r>
        <w:rPr>
          <w:color w:val="231F20"/>
          <w:sz w:val="19"/>
        </w:rPr>
        <w:t>reporte</w:t>
      </w:r>
      <w:r>
        <w:rPr>
          <w:color w:val="231F20"/>
          <w:spacing w:val="32"/>
          <w:sz w:val="19"/>
        </w:rPr>
        <w:t> </w:t>
      </w:r>
      <w:r>
        <w:rPr>
          <w:color w:val="231F20"/>
          <w:sz w:val="19"/>
        </w:rPr>
        <w:t>de</w:t>
      </w:r>
      <w:r>
        <w:rPr>
          <w:color w:val="231F20"/>
          <w:spacing w:val="32"/>
          <w:sz w:val="19"/>
        </w:rPr>
        <w:t> </w:t>
      </w:r>
      <w:r>
        <w:rPr>
          <w:color w:val="231F20"/>
          <w:sz w:val="19"/>
        </w:rPr>
        <w:t>nuevos</w:t>
      </w:r>
      <w:r>
        <w:rPr>
          <w:color w:val="231F20"/>
          <w:spacing w:val="32"/>
          <w:sz w:val="19"/>
        </w:rPr>
        <w:t> </w:t>
      </w:r>
      <w:r>
        <w:rPr>
          <w:color w:val="231F20"/>
          <w:sz w:val="19"/>
        </w:rPr>
        <w:t>especímenes del grupo </w:t>
      </w:r>
      <w:r>
        <w:rPr>
          <w:i/>
          <w:color w:val="231F20"/>
          <w:sz w:val="19"/>
        </w:rPr>
        <w:t>Nautiloidea</w:t>
      </w:r>
      <w:r>
        <w:rPr>
          <w:color w:val="231F20"/>
          <w:sz w:val="19"/>
        </w:rPr>
        <w:t>, del género </w:t>
      </w:r>
      <w:r>
        <w:rPr>
          <w:i/>
          <w:color w:val="231F20"/>
          <w:sz w:val="19"/>
        </w:rPr>
        <w:t>Cenoceras sp</w:t>
      </w:r>
      <w:r>
        <w:rPr>
          <w:color w:val="231F20"/>
          <w:sz w:val="19"/>
        </w:rPr>
        <w:t>.. Este nuevo hallazgo es muy importante para la geología colombiana ya que estos ejemplares son unas excelentes piezas bioestratigráficas que, junto con la fauna de moluscos</w:t>
      </w:r>
      <w:r>
        <w:rPr>
          <w:color w:val="231F20"/>
          <w:spacing w:val="-2"/>
          <w:sz w:val="19"/>
        </w:rPr>
        <w:t> </w:t>
      </w:r>
      <w:r>
        <w:rPr>
          <w:color w:val="231F20"/>
          <w:sz w:val="19"/>
        </w:rPr>
        <w:t>asociada,</w:t>
      </w:r>
      <w:r>
        <w:rPr>
          <w:color w:val="231F20"/>
          <w:spacing w:val="-2"/>
          <w:sz w:val="19"/>
        </w:rPr>
        <w:t> </w:t>
      </w:r>
      <w:r>
        <w:rPr>
          <w:color w:val="231F20"/>
          <w:sz w:val="19"/>
        </w:rPr>
        <w:t>amonitas</w:t>
      </w:r>
      <w:r>
        <w:rPr>
          <w:color w:val="231F20"/>
          <w:spacing w:val="-2"/>
          <w:sz w:val="19"/>
        </w:rPr>
        <w:t> </w:t>
      </w:r>
      <w:r>
        <w:rPr>
          <w:color w:val="231F20"/>
          <w:sz w:val="19"/>
        </w:rPr>
        <w:t>y</w:t>
      </w:r>
      <w:r>
        <w:rPr>
          <w:color w:val="231F20"/>
          <w:spacing w:val="-2"/>
          <w:sz w:val="19"/>
        </w:rPr>
        <w:t> </w:t>
      </w:r>
      <w:r>
        <w:rPr>
          <w:i/>
          <w:color w:val="231F20"/>
          <w:sz w:val="19"/>
        </w:rPr>
        <w:t>Monotis</w:t>
      </w:r>
      <w:r>
        <w:rPr>
          <w:i/>
          <w:color w:val="231F20"/>
          <w:spacing w:val="-1"/>
          <w:sz w:val="19"/>
        </w:rPr>
        <w:t> </w:t>
      </w:r>
      <w:r>
        <w:rPr>
          <w:color w:val="231F20"/>
          <w:sz w:val="19"/>
        </w:rPr>
        <w:t>(</w:t>
      </w:r>
      <w:r>
        <w:rPr>
          <w:i/>
          <w:color w:val="231F20"/>
          <w:sz w:val="19"/>
        </w:rPr>
        <w:t>Pacimonotis</w:t>
      </w:r>
      <w:r>
        <w:rPr>
          <w:color w:val="231F20"/>
          <w:sz w:val="19"/>
        </w:rPr>
        <w:t>)</w:t>
      </w:r>
      <w:r>
        <w:rPr>
          <w:color w:val="231F20"/>
          <w:spacing w:val="-2"/>
          <w:sz w:val="19"/>
        </w:rPr>
        <w:t> </w:t>
      </w:r>
      <w:r>
        <w:rPr>
          <w:i/>
          <w:color w:val="231F20"/>
          <w:sz w:val="19"/>
        </w:rPr>
        <w:t>subcircularis</w:t>
      </w:r>
      <w:r>
        <w:rPr>
          <w:color w:val="231F20"/>
          <w:sz w:val="19"/>
        </w:rPr>
        <w:t>,</w:t>
      </w:r>
      <w:r>
        <w:rPr>
          <w:color w:val="231F20"/>
          <w:spacing w:val="-2"/>
          <w:sz w:val="19"/>
        </w:rPr>
        <w:t> </w:t>
      </w:r>
      <w:r>
        <w:rPr>
          <w:color w:val="231F20"/>
          <w:sz w:val="19"/>
        </w:rPr>
        <w:t>enmarcan</w:t>
      </w:r>
      <w:r>
        <w:rPr>
          <w:color w:val="231F20"/>
          <w:spacing w:val="-2"/>
          <w:sz w:val="19"/>
        </w:rPr>
        <w:t> </w:t>
      </w:r>
      <w:r>
        <w:rPr>
          <w:color w:val="231F20"/>
          <w:sz w:val="19"/>
        </w:rPr>
        <w:t>el</w:t>
      </w:r>
      <w:r>
        <w:rPr>
          <w:color w:val="231F20"/>
          <w:spacing w:val="-2"/>
          <w:sz w:val="19"/>
        </w:rPr>
        <w:t> </w:t>
      </w:r>
      <w:r>
        <w:rPr>
          <w:color w:val="231F20"/>
          <w:sz w:val="19"/>
        </w:rPr>
        <w:t>rango</w:t>
      </w:r>
      <w:r>
        <w:rPr>
          <w:color w:val="231F20"/>
          <w:spacing w:val="-2"/>
          <w:sz w:val="19"/>
        </w:rPr>
        <w:t> </w:t>
      </w:r>
      <w:r>
        <w:rPr>
          <w:color w:val="231F20"/>
          <w:sz w:val="19"/>
        </w:rPr>
        <w:t>temporal</w:t>
      </w:r>
      <w:r>
        <w:rPr>
          <w:color w:val="231F20"/>
          <w:spacing w:val="-2"/>
          <w:sz w:val="19"/>
        </w:rPr>
        <w:t> </w:t>
      </w:r>
      <w:r>
        <w:rPr>
          <w:color w:val="231F20"/>
          <w:sz w:val="19"/>
        </w:rPr>
        <w:t>del</w:t>
      </w:r>
      <w:r>
        <w:rPr>
          <w:color w:val="231F20"/>
          <w:spacing w:val="-2"/>
          <w:sz w:val="19"/>
        </w:rPr>
        <w:t> </w:t>
      </w:r>
      <w:r>
        <w:rPr>
          <w:color w:val="231F20"/>
          <w:sz w:val="19"/>
        </w:rPr>
        <w:t>Triásico Superior de la Formación Payandé. Esta unidad litoestratigráfica mayormente calcárea, es producto de una ingresión marina somera, relacionada a un ambiente tectónico de procesos extensionales de rift, en el que se dieron condiciones favorables para el hábitat de los cenoceratidos, género cosmopolita.</w:t>
      </w:r>
    </w:p>
    <w:p>
      <w:pPr>
        <w:spacing w:before="169"/>
        <w:ind w:left="739" w:right="0" w:firstLine="0"/>
        <w:jc w:val="left"/>
        <w:rPr>
          <w:sz w:val="19"/>
        </w:rPr>
      </w:pPr>
      <w:r>
        <w:rPr>
          <w:b/>
          <w:color w:val="231F20"/>
          <w:spacing w:val="-4"/>
          <w:sz w:val="19"/>
        </w:rPr>
        <w:t>Palabras</w:t>
      </w:r>
      <w:r>
        <w:rPr>
          <w:b/>
          <w:color w:val="231F20"/>
          <w:spacing w:val="4"/>
          <w:sz w:val="19"/>
        </w:rPr>
        <w:t> </w:t>
      </w:r>
      <w:r>
        <w:rPr>
          <w:b/>
          <w:color w:val="231F20"/>
          <w:spacing w:val="-4"/>
          <w:sz w:val="19"/>
        </w:rPr>
        <w:t>claves:</w:t>
      </w:r>
      <w:r>
        <w:rPr>
          <w:b/>
          <w:color w:val="231F20"/>
          <w:spacing w:val="5"/>
          <w:sz w:val="19"/>
        </w:rPr>
        <w:t> </w:t>
      </w:r>
      <w:r>
        <w:rPr>
          <w:color w:val="231F20"/>
          <w:spacing w:val="-4"/>
          <w:sz w:val="19"/>
        </w:rPr>
        <w:t>Cefálopodos,</w:t>
      </w:r>
      <w:r>
        <w:rPr>
          <w:color w:val="231F20"/>
          <w:spacing w:val="5"/>
          <w:sz w:val="19"/>
        </w:rPr>
        <w:t> </w:t>
      </w:r>
      <w:r>
        <w:rPr>
          <w:color w:val="231F20"/>
          <w:spacing w:val="-4"/>
          <w:sz w:val="19"/>
        </w:rPr>
        <w:t>Nautiloideos,</w:t>
      </w:r>
      <w:r>
        <w:rPr>
          <w:color w:val="231F20"/>
          <w:spacing w:val="4"/>
          <w:sz w:val="19"/>
        </w:rPr>
        <w:t> </w:t>
      </w:r>
      <w:r>
        <w:rPr>
          <w:color w:val="231F20"/>
          <w:spacing w:val="-4"/>
          <w:sz w:val="19"/>
        </w:rPr>
        <w:t>Triásico</w:t>
      </w:r>
      <w:r>
        <w:rPr>
          <w:color w:val="231F20"/>
          <w:spacing w:val="5"/>
          <w:sz w:val="19"/>
        </w:rPr>
        <w:t> </w:t>
      </w:r>
      <w:r>
        <w:rPr>
          <w:color w:val="231F20"/>
          <w:spacing w:val="-4"/>
          <w:sz w:val="19"/>
        </w:rPr>
        <w:t>Superior,</w:t>
      </w:r>
      <w:r>
        <w:rPr>
          <w:color w:val="231F20"/>
          <w:spacing w:val="5"/>
          <w:sz w:val="19"/>
        </w:rPr>
        <w:t> </w:t>
      </w:r>
      <w:r>
        <w:rPr>
          <w:color w:val="231F20"/>
          <w:spacing w:val="-4"/>
          <w:sz w:val="19"/>
        </w:rPr>
        <w:t>Formación</w:t>
      </w:r>
      <w:r>
        <w:rPr>
          <w:color w:val="231F20"/>
          <w:spacing w:val="5"/>
          <w:sz w:val="19"/>
        </w:rPr>
        <w:t> </w:t>
      </w:r>
      <w:r>
        <w:rPr>
          <w:color w:val="231F20"/>
          <w:spacing w:val="-4"/>
          <w:sz w:val="19"/>
        </w:rPr>
        <w:t>Payandé,</w:t>
      </w:r>
      <w:r>
        <w:rPr>
          <w:color w:val="231F20"/>
          <w:spacing w:val="4"/>
          <w:sz w:val="19"/>
        </w:rPr>
        <w:t> </w:t>
      </w:r>
      <w:r>
        <w:rPr>
          <w:color w:val="231F20"/>
          <w:spacing w:val="-4"/>
          <w:sz w:val="19"/>
        </w:rPr>
        <w:t>Calizas,</w:t>
      </w:r>
      <w:r>
        <w:rPr>
          <w:color w:val="231F20"/>
          <w:spacing w:val="5"/>
          <w:sz w:val="19"/>
        </w:rPr>
        <w:t> </w:t>
      </w:r>
      <w:r>
        <w:rPr>
          <w:color w:val="231F20"/>
          <w:spacing w:val="-4"/>
          <w:sz w:val="19"/>
        </w:rPr>
        <w:t>Mar</w:t>
      </w:r>
      <w:r>
        <w:rPr>
          <w:color w:val="231F20"/>
          <w:spacing w:val="5"/>
          <w:sz w:val="19"/>
        </w:rPr>
        <w:t> </w:t>
      </w:r>
      <w:r>
        <w:rPr>
          <w:color w:val="231F20"/>
          <w:spacing w:val="-4"/>
          <w:sz w:val="19"/>
        </w:rPr>
        <w:t>epicontinental,</w:t>
      </w:r>
    </w:p>
    <w:p>
      <w:pPr>
        <w:spacing w:before="10"/>
        <w:ind w:left="739" w:right="0" w:firstLine="0"/>
        <w:jc w:val="left"/>
        <w:rPr>
          <w:sz w:val="19"/>
        </w:rPr>
      </w:pPr>
      <w:r>
        <w:rPr>
          <w:color w:val="231F20"/>
          <w:spacing w:val="-5"/>
          <w:sz w:val="19"/>
        </w:rPr>
        <w:t>Sección</w:t>
      </w:r>
      <w:r>
        <w:rPr>
          <w:color w:val="231F20"/>
          <w:spacing w:val="-1"/>
          <w:sz w:val="19"/>
        </w:rPr>
        <w:t> </w:t>
      </w:r>
      <w:r>
        <w:rPr>
          <w:color w:val="231F20"/>
          <w:spacing w:val="-2"/>
          <w:sz w:val="19"/>
        </w:rPr>
        <w:t>Tuluní.</w:t>
      </w:r>
    </w:p>
    <w:p>
      <w:pPr>
        <w:spacing w:before="169"/>
        <w:ind w:left="257" w:right="0" w:firstLine="0"/>
        <w:jc w:val="left"/>
        <w:rPr>
          <w:b/>
          <w:sz w:val="19"/>
        </w:rPr>
      </w:pPr>
      <w:r>
        <w:rPr>
          <w:b/>
          <w:color w:val="231F20"/>
          <w:spacing w:val="-2"/>
          <w:sz w:val="19"/>
        </w:rPr>
        <w:t>Abstract</w:t>
      </w:r>
    </w:p>
    <w:p>
      <w:pPr>
        <w:spacing w:line="249" w:lineRule="auto" w:before="170"/>
        <w:ind w:left="739" w:right="1157" w:firstLine="0"/>
        <w:jc w:val="both"/>
        <w:rPr>
          <w:sz w:val="19"/>
        </w:rPr>
      </w:pPr>
      <w:r>
        <w:rPr>
          <w:color w:val="231F20"/>
          <w:sz w:val="19"/>
        </w:rPr>
        <w:t>The nautiloids are a sub-class of cephalopods, which has been little studied in South America, and their knowledge is scarce throughout the geological record, particularly for the Triassic. In Colombia, only Geyer (1973) has reported the appearance of triassic nautiloids, who identified remnants of </w:t>
      </w:r>
      <w:r>
        <w:rPr>
          <w:i/>
          <w:color w:val="231F20"/>
          <w:sz w:val="19"/>
        </w:rPr>
        <w:t>Oxynautilus</w:t>
      </w:r>
      <w:r>
        <w:rPr>
          <w:color w:val="231F20"/>
          <w:sz w:val="19"/>
        </w:rPr>
        <w:t>? sp. in the “</w:t>
      </w:r>
      <w:r>
        <w:rPr>
          <w:i/>
          <w:color w:val="231F20"/>
          <w:sz w:val="19"/>
        </w:rPr>
        <w:t>Monotis limestones</w:t>
      </w:r>
      <w:r>
        <w:rPr>
          <w:color w:val="231F20"/>
          <w:sz w:val="19"/>
        </w:rPr>
        <w:t>” of Tuluní for the Chaparral area (Tolima), which he compared with Noriano specimens from Europe and North America. Likewise, the results presented in this article include for the Tuluní section, the report of new specimens of the </w:t>
      </w:r>
      <w:r>
        <w:rPr>
          <w:i/>
          <w:color w:val="231F20"/>
          <w:sz w:val="19"/>
        </w:rPr>
        <w:t>Nautiloidea group</w:t>
      </w:r>
      <w:r>
        <w:rPr>
          <w:color w:val="231F20"/>
          <w:sz w:val="19"/>
        </w:rPr>
        <w:t>, of the genus </w:t>
      </w:r>
      <w:r>
        <w:rPr>
          <w:i/>
          <w:color w:val="231F20"/>
          <w:sz w:val="19"/>
        </w:rPr>
        <w:t>Cenoceras </w:t>
      </w:r>
      <w:r>
        <w:rPr>
          <w:color w:val="231F20"/>
          <w:sz w:val="19"/>
        </w:rPr>
        <w:t>sp.</w:t>
      </w:r>
    </w:p>
    <w:p>
      <w:pPr>
        <w:spacing w:line="249" w:lineRule="auto" w:before="118"/>
        <w:ind w:left="739" w:right="1157" w:firstLine="0"/>
        <w:jc w:val="both"/>
        <w:rPr>
          <w:sz w:val="19"/>
        </w:rPr>
      </w:pPr>
      <w:r>
        <w:rPr>
          <w:color w:val="231F20"/>
          <w:spacing w:val="-2"/>
          <w:sz w:val="19"/>
        </w:rPr>
        <w:t>This</w:t>
      </w:r>
      <w:r>
        <w:rPr>
          <w:color w:val="231F20"/>
          <w:spacing w:val="-7"/>
          <w:sz w:val="19"/>
        </w:rPr>
        <w:t> </w:t>
      </w:r>
      <w:r>
        <w:rPr>
          <w:color w:val="231F20"/>
          <w:spacing w:val="-2"/>
          <w:sz w:val="19"/>
        </w:rPr>
        <w:t>new</w:t>
      </w:r>
      <w:r>
        <w:rPr>
          <w:color w:val="231F20"/>
          <w:spacing w:val="-7"/>
          <w:sz w:val="19"/>
        </w:rPr>
        <w:t> </w:t>
      </w:r>
      <w:r>
        <w:rPr>
          <w:color w:val="231F20"/>
          <w:spacing w:val="-2"/>
          <w:sz w:val="19"/>
        </w:rPr>
        <w:t>discovery</w:t>
      </w:r>
      <w:r>
        <w:rPr>
          <w:color w:val="231F20"/>
          <w:spacing w:val="-7"/>
          <w:sz w:val="19"/>
        </w:rPr>
        <w:t> </w:t>
      </w:r>
      <w:r>
        <w:rPr>
          <w:color w:val="231F20"/>
          <w:spacing w:val="-2"/>
          <w:sz w:val="19"/>
        </w:rPr>
        <w:t>is</w:t>
      </w:r>
      <w:r>
        <w:rPr>
          <w:color w:val="231F20"/>
          <w:spacing w:val="-7"/>
          <w:sz w:val="19"/>
        </w:rPr>
        <w:t> </w:t>
      </w:r>
      <w:r>
        <w:rPr>
          <w:color w:val="231F20"/>
          <w:spacing w:val="-2"/>
          <w:sz w:val="19"/>
        </w:rPr>
        <w:t>very</w:t>
      </w:r>
      <w:r>
        <w:rPr>
          <w:color w:val="231F20"/>
          <w:spacing w:val="-7"/>
          <w:sz w:val="19"/>
        </w:rPr>
        <w:t> </w:t>
      </w:r>
      <w:r>
        <w:rPr>
          <w:color w:val="231F20"/>
          <w:spacing w:val="-2"/>
          <w:sz w:val="19"/>
        </w:rPr>
        <w:t>important</w:t>
      </w:r>
      <w:r>
        <w:rPr>
          <w:color w:val="231F20"/>
          <w:spacing w:val="-7"/>
          <w:sz w:val="19"/>
        </w:rPr>
        <w:t> </w:t>
      </w:r>
      <w:r>
        <w:rPr>
          <w:color w:val="231F20"/>
          <w:spacing w:val="-2"/>
          <w:sz w:val="19"/>
        </w:rPr>
        <w:t>for</w:t>
      </w:r>
      <w:r>
        <w:rPr>
          <w:color w:val="231F20"/>
          <w:spacing w:val="-7"/>
          <w:sz w:val="19"/>
        </w:rPr>
        <w:t> </w:t>
      </w:r>
      <w:r>
        <w:rPr>
          <w:color w:val="231F20"/>
          <w:spacing w:val="-2"/>
          <w:sz w:val="19"/>
        </w:rPr>
        <w:t>Colombian</w:t>
      </w:r>
      <w:r>
        <w:rPr>
          <w:color w:val="231F20"/>
          <w:spacing w:val="-7"/>
          <w:sz w:val="19"/>
        </w:rPr>
        <w:t> </w:t>
      </w:r>
      <w:r>
        <w:rPr>
          <w:color w:val="231F20"/>
          <w:spacing w:val="-2"/>
          <w:sz w:val="19"/>
        </w:rPr>
        <w:t>geology</w:t>
      </w:r>
      <w:r>
        <w:rPr>
          <w:color w:val="231F20"/>
          <w:spacing w:val="-7"/>
          <w:sz w:val="19"/>
        </w:rPr>
        <w:t> </w:t>
      </w:r>
      <w:r>
        <w:rPr>
          <w:color w:val="231F20"/>
          <w:spacing w:val="-2"/>
          <w:sz w:val="19"/>
        </w:rPr>
        <w:t>since</w:t>
      </w:r>
      <w:r>
        <w:rPr>
          <w:color w:val="231F20"/>
          <w:spacing w:val="-7"/>
          <w:sz w:val="19"/>
        </w:rPr>
        <w:t> </w:t>
      </w:r>
      <w:r>
        <w:rPr>
          <w:color w:val="231F20"/>
          <w:spacing w:val="-2"/>
          <w:sz w:val="19"/>
        </w:rPr>
        <w:t>these</w:t>
      </w:r>
      <w:r>
        <w:rPr>
          <w:color w:val="231F20"/>
          <w:spacing w:val="-7"/>
          <w:sz w:val="19"/>
        </w:rPr>
        <w:t> </w:t>
      </w:r>
      <w:r>
        <w:rPr>
          <w:color w:val="231F20"/>
          <w:spacing w:val="-2"/>
          <w:sz w:val="19"/>
        </w:rPr>
        <w:t>specimens</w:t>
      </w:r>
      <w:r>
        <w:rPr>
          <w:color w:val="231F20"/>
          <w:spacing w:val="-7"/>
          <w:sz w:val="19"/>
        </w:rPr>
        <w:t> </w:t>
      </w:r>
      <w:r>
        <w:rPr>
          <w:color w:val="231F20"/>
          <w:spacing w:val="-2"/>
          <w:sz w:val="19"/>
        </w:rPr>
        <w:t>are</w:t>
      </w:r>
      <w:r>
        <w:rPr>
          <w:color w:val="231F20"/>
          <w:spacing w:val="-7"/>
          <w:sz w:val="19"/>
        </w:rPr>
        <w:t> </w:t>
      </w:r>
      <w:r>
        <w:rPr>
          <w:color w:val="231F20"/>
          <w:spacing w:val="-2"/>
          <w:sz w:val="19"/>
        </w:rPr>
        <w:t>excellent</w:t>
      </w:r>
      <w:r>
        <w:rPr>
          <w:color w:val="231F20"/>
          <w:spacing w:val="-7"/>
          <w:sz w:val="19"/>
        </w:rPr>
        <w:t> </w:t>
      </w:r>
      <w:r>
        <w:rPr>
          <w:color w:val="231F20"/>
          <w:spacing w:val="-2"/>
          <w:sz w:val="19"/>
        </w:rPr>
        <w:t>biostratigraphic </w:t>
      </w:r>
      <w:r>
        <w:rPr>
          <w:color w:val="231F20"/>
          <w:sz w:val="19"/>
        </w:rPr>
        <w:t>pieces that, together with the associated mollusk fauna, ammonites and </w:t>
      </w:r>
      <w:r>
        <w:rPr>
          <w:i/>
          <w:color w:val="231F20"/>
          <w:sz w:val="19"/>
        </w:rPr>
        <w:t>Monotis </w:t>
      </w:r>
      <w:r>
        <w:rPr>
          <w:color w:val="231F20"/>
          <w:sz w:val="19"/>
        </w:rPr>
        <w:t>(</w:t>
      </w:r>
      <w:r>
        <w:rPr>
          <w:i/>
          <w:color w:val="231F20"/>
          <w:sz w:val="19"/>
        </w:rPr>
        <w:t>Pacimonotis</w:t>
      </w:r>
      <w:r>
        <w:rPr>
          <w:color w:val="231F20"/>
          <w:sz w:val="19"/>
        </w:rPr>
        <w:t>) </w:t>
      </w:r>
      <w:r>
        <w:rPr>
          <w:i/>
          <w:color w:val="231F20"/>
          <w:sz w:val="19"/>
        </w:rPr>
        <w:t>subcircularis</w:t>
      </w:r>
      <w:r>
        <w:rPr>
          <w:color w:val="231F20"/>
          <w:sz w:val="19"/>
        </w:rPr>
        <w:t>, frame</w:t>
      </w:r>
      <w:r>
        <w:rPr>
          <w:color w:val="231F20"/>
          <w:spacing w:val="-4"/>
          <w:sz w:val="19"/>
        </w:rPr>
        <w:t> </w:t>
      </w:r>
      <w:r>
        <w:rPr>
          <w:color w:val="231F20"/>
          <w:sz w:val="19"/>
        </w:rPr>
        <w:t>the</w:t>
      </w:r>
      <w:r>
        <w:rPr>
          <w:color w:val="231F20"/>
          <w:spacing w:val="-4"/>
          <w:sz w:val="19"/>
        </w:rPr>
        <w:t> </w:t>
      </w:r>
      <w:r>
        <w:rPr>
          <w:color w:val="231F20"/>
          <w:sz w:val="19"/>
        </w:rPr>
        <w:t>Upper</w:t>
      </w:r>
      <w:r>
        <w:rPr>
          <w:color w:val="231F20"/>
          <w:spacing w:val="-4"/>
          <w:sz w:val="19"/>
        </w:rPr>
        <w:t> </w:t>
      </w:r>
      <w:r>
        <w:rPr>
          <w:color w:val="231F20"/>
          <w:sz w:val="19"/>
        </w:rPr>
        <w:t>Triassic</w:t>
      </w:r>
      <w:r>
        <w:rPr>
          <w:color w:val="231F20"/>
          <w:spacing w:val="-4"/>
          <w:sz w:val="19"/>
        </w:rPr>
        <w:t> </w:t>
      </w:r>
      <w:r>
        <w:rPr>
          <w:color w:val="231F20"/>
          <w:sz w:val="19"/>
        </w:rPr>
        <w:t>time</w:t>
      </w:r>
      <w:r>
        <w:rPr>
          <w:color w:val="231F20"/>
          <w:spacing w:val="-4"/>
          <w:sz w:val="19"/>
        </w:rPr>
        <w:t> </w:t>
      </w:r>
      <w:r>
        <w:rPr>
          <w:color w:val="231F20"/>
          <w:sz w:val="19"/>
        </w:rPr>
        <w:t>range</w:t>
      </w:r>
      <w:r>
        <w:rPr>
          <w:color w:val="231F20"/>
          <w:spacing w:val="-4"/>
          <w:sz w:val="19"/>
        </w:rPr>
        <w:t> </w:t>
      </w:r>
      <w:r>
        <w:rPr>
          <w:color w:val="231F20"/>
          <w:sz w:val="19"/>
        </w:rPr>
        <w:t>of</w:t>
      </w:r>
      <w:r>
        <w:rPr>
          <w:color w:val="231F20"/>
          <w:spacing w:val="-4"/>
          <w:sz w:val="19"/>
        </w:rPr>
        <w:t> </w:t>
      </w:r>
      <w:r>
        <w:rPr>
          <w:color w:val="231F20"/>
          <w:sz w:val="19"/>
        </w:rPr>
        <w:t>the</w:t>
      </w:r>
      <w:r>
        <w:rPr>
          <w:color w:val="231F20"/>
          <w:spacing w:val="-4"/>
          <w:sz w:val="19"/>
        </w:rPr>
        <w:t> </w:t>
      </w:r>
      <w:r>
        <w:rPr>
          <w:color w:val="231F20"/>
          <w:sz w:val="19"/>
        </w:rPr>
        <w:t>Payandé</w:t>
      </w:r>
      <w:r>
        <w:rPr>
          <w:color w:val="231F20"/>
          <w:spacing w:val="-4"/>
          <w:sz w:val="19"/>
        </w:rPr>
        <w:t> </w:t>
      </w:r>
      <w:r>
        <w:rPr>
          <w:color w:val="231F20"/>
          <w:sz w:val="19"/>
        </w:rPr>
        <w:t>Formation.</w:t>
      </w:r>
      <w:r>
        <w:rPr>
          <w:color w:val="231F20"/>
          <w:spacing w:val="-4"/>
          <w:sz w:val="19"/>
        </w:rPr>
        <w:t> </w:t>
      </w:r>
      <w:r>
        <w:rPr>
          <w:color w:val="231F20"/>
          <w:sz w:val="19"/>
        </w:rPr>
        <w:t>This</w:t>
      </w:r>
      <w:r>
        <w:rPr>
          <w:color w:val="231F20"/>
          <w:spacing w:val="-4"/>
          <w:sz w:val="19"/>
        </w:rPr>
        <w:t> </w:t>
      </w:r>
      <w:r>
        <w:rPr>
          <w:color w:val="231F20"/>
          <w:sz w:val="19"/>
        </w:rPr>
        <w:t>lithostratigraphic</w:t>
      </w:r>
      <w:r>
        <w:rPr>
          <w:color w:val="231F20"/>
          <w:spacing w:val="-4"/>
          <w:sz w:val="19"/>
        </w:rPr>
        <w:t> </w:t>
      </w:r>
      <w:r>
        <w:rPr>
          <w:color w:val="231F20"/>
          <w:sz w:val="19"/>
        </w:rPr>
        <w:t>unit,</w:t>
      </w:r>
      <w:r>
        <w:rPr>
          <w:color w:val="231F20"/>
          <w:spacing w:val="-4"/>
          <w:sz w:val="19"/>
        </w:rPr>
        <w:t> </w:t>
      </w:r>
      <w:r>
        <w:rPr>
          <w:color w:val="231F20"/>
          <w:sz w:val="19"/>
        </w:rPr>
        <w:t>mostly</w:t>
      </w:r>
      <w:r>
        <w:rPr>
          <w:color w:val="231F20"/>
          <w:spacing w:val="-4"/>
          <w:sz w:val="19"/>
        </w:rPr>
        <w:t> </w:t>
      </w:r>
      <w:r>
        <w:rPr>
          <w:color w:val="231F20"/>
          <w:sz w:val="19"/>
        </w:rPr>
        <w:t>calcareous, is the product of a shallow marine ingression, related to a tectonic environment of extensional rift processes, in which favorable conditions were given to the habitat of the cenoceratids, a cosmopolitan genus.</w:t>
      </w:r>
    </w:p>
    <w:p>
      <w:pPr>
        <w:spacing w:before="117"/>
        <w:ind w:left="739" w:right="0" w:firstLine="0"/>
        <w:jc w:val="left"/>
        <w:rPr>
          <w:sz w:val="19"/>
        </w:rPr>
      </w:pPr>
      <w:r>
        <w:rPr>
          <w:b/>
          <w:color w:val="231F20"/>
          <w:sz w:val="19"/>
        </w:rPr>
        <w:t>Keywords:</w:t>
      </w:r>
      <w:r>
        <w:rPr>
          <w:b/>
          <w:color w:val="231F20"/>
          <w:spacing w:val="28"/>
          <w:sz w:val="19"/>
        </w:rPr>
        <w:t> </w:t>
      </w:r>
      <w:r>
        <w:rPr>
          <w:color w:val="231F20"/>
          <w:sz w:val="19"/>
        </w:rPr>
        <w:t>Cephalopods,</w:t>
      </w:r>
      <w:r>
        <w:rPr>
          <w:color w:val="231F20"/>
          <w:spacing w:val="28"/>
          <w:sz w:val="19"/>
        </w:rPr>
        <w:t> </w:t>
      </w:r>
      <w:r>
        <w:rPr>
          <w:color w:val="231F20"/>
          <w:sz w:val="19"/>
        </w:rPr>
        <w:t>Nautiloids,</w:t>
      </w:r>
      <w:r>
        <w:rPr>
          <w:color w:val="231F20"/>
          <w:spacing w:val="28"/>
          <w:sz w:val="19"/>
        </w:rPr>
        <w:t> </w:t>
      </w:r>
      <w:r>
        <w:rPr>
          <w:color w:val="231F20"/>
          <w:sz w:val="19"/>
        </w:rPr>
        <w:t>Upper</w:t>
      </w:r>
      <w:r>
        <w:rPr>
          <w:color w:val="231F20"/>
          <w:spacing w:val="28"/>
          <w:sz w:val="19"/>
        </w:rPr>
        <w:t> </w:t>
      </w:r>
      <w:r>
        <w:rPr>
          <w:color w:val="231F20"/>
          <w:sz w:val="19"/>
        </w:rPr>
        <w:t>Triassic,</w:t>
      </w:r>
      <w:r>
        <w:rPr>
          <w:color w:val="231F20"/>
          <w:spacing w:val="28"/>
          <w:sz w:val="19"/>
        </w:rPr>
        <w:t> </w:t>
      </w:r>
      <w:r>
        <w:rPr>
          <w:color w:val="231F20"/>
          <w:sz w:val="19"/>
        </w:rPr>
        <w:t>Payandé</w:t>
      </w:r>
      <w:r>
        <w:rPr>
          <w:color w:val="231F20"/>
          <w:spacing w:val="28"/>
          <w:sz w:val="19"/>
        </w:rPr>
        <w:t> </w:t>
      </w:r>
      <w:r>
        <w:rPr>
          <w:color w:val="231F20"/>
          <w:sz w:val="19"/>
        </w:rPr>
        <w:t>Formation,</w:t>
      </w:r>
      <w:r>
        <w:rPr>
          <w:color w:val="231F20"/>
          <w:spacing w:val="28"/>
          <w:sz w:val="19"/>
        </w:rPr>
        <w:t> </w:t>
      </w:r>
      <w:r>
        <w:rPr>
          <w:color w:val="231F20"/>
          <w:sz w:val="19"/>
        </w:rPr>
        <w:t>Limestones,</w:t>
      </w:r>
      <w:r>
        <w:rPr>
          <w:color w:val="231F20"/>
          <w:spacing w:val="28"/>
          <w:sz w:val="19"/>
        </w:rPr>
        <w:t> </w:t>
      </w:r>
      <w:r>
        <w:rPr>
          <w:color w:val="231F20"/>
          <w:sz w:val="19"/>
        </w:rPr>
        <w:t>Epicontinetal</w:t>
      </w:r>
      <w:r>
        <w:rPr>
          <w:color w:val="231F20"/>
          <w:spacing w:val="29"/>
          <w:sz w:val="19"/>
        </w:rPr>
        <w:t> </w:t>
      </w:r>
      <w:r>
        <w:rPr>
          <w:color w:val="231F20"/>
          <w:spacing w:val="-4"/>
          <w:sz w:val="19"/>
        </w:rPr>
        <w:t>Sea,</w:t>
      </w:r>
    </w:p>
    <w:p>
      <w:pPr>
        <w:spacing w:before="10"/>
        <w:ind w:left="739" w:right="0" w:firstLine="0"/>
        <w:jc w:val="left"/>
        <w:rPr>
          <w:sz w:val="19"/>
        </w:rPr>
      </w:pPr>
      <w:r>
        <w:rPr>
          <w:color w:val="231F20"/>
          <w:sz w:val="19"/>
        </w:rPr>
        <w:t>Tuluní</w:t>
      </w:r>
      <w:r>
        <w:rPr>
          <w:color w:val="231F20"/>
          <w:spacing w:val="-7"/>
          <w:sz w:val="19"/>
        </w:rPr>
        <w:t> </w:t>
      </w:r>
      <w:r>
        <w:rPr>
          <w:color w:val="231F20"/>
          <w:spacing w:val="-2"/>
          <w:sz w:val="19"/>
        </w:rPr>
        <w:t>Section.</w:t>
      </w:r>
    </w:p>
    <w:p>
      <w:pPr>
        <w:spacing w:after="0"/>
        <w:jc w:val="left"/>
        <w:rPr>
          <w:sz w:val="19"/>
        </w:rPr>
        <w:sectPr>
          <w:footerReference w:type="even" r:id="rId5"/>
          <w:footerReference w:type="default" r:id="rId6"/>
          <w:type w:val="continuous"/>
          <w:pgSz w:w="12260" w:h="15560"/>
          <w:pgMar w:header="0" w:footer="336" w:top="240" w:bottom="520" w:left="1275" w:right="708"/>
          <w:pgNumType w:start="42"/>
        </w:sectPr>
      </w:pPr>
    </w:p>
    <w:p>
      <w:pPr>
        <w:spacing w:before="85"/>
        <w:ind w:left="85" w:right="0" w:firstLine="0"/>
        <w:jc w:val="left"/>
        <w:rPr>
          <w:rFonts w:ascii="Trebuchet MS" w:hAnsi="Trebuchet MS"/>
          <w:sz w:val="14"/>
        </w:rPr>
      </w:pPr>
      <w:r>
        <w:rPr>
          <w:rFonts w:ascii="Trebuchet MS" w:hAnsi="Trebuchet MS"/>
          <w:color w:val="231F20"/>
          <w:spacing w:val="-2"/>
          <w:w w:val="90"/>
          <w:sz w:val="14"/>
        </w:rPr>
        <w:t>Perilla,</w:t>
      </w:r>
      <w:r>
        <w:rPr>
          <w:rFonts w:ascii="Trebuchet MS" w:hAnsi="Trebuchet MS"/>
          <w:color w:val="231F20"/>
          <w:spacing w:val="-11"/>
          <w:w w:val="90"/>
          <w:sz w:val="14"/>
        </w:rPr>
        <w:t> </w:t>
      </w:r>
      <w:r>
        <w:rPr>
          <w:rFonts w:ascii="Trebuchet MS" w:hAnsi="Trebuchet MS"/>
          <w:color w:val="231F20"/>
          <w:spacing w:val="-2"/>
          <w:w w:val="90"/>
          <w:sz w:val="14"/>
        </w:rPr>
        <w:t>A.</w:t>
      </w:r>
      <w:r>
        <w:rPr>
          <w:rFonts w:ascii="Trebuchet MS" w:hAnsi="Trebuchet MS"/>
          <w:color w:val="231F20"/>
          <w:spacing w:val="-11"/>
          <w:w w:val="90"/>
          <w:sz w:val="14"/>
        </w:rPr>
        <w:t> </w:t>
      </w:r>
      <w:r>
        <w:rPr>
          <w:rFonts w:ascii="Trebuchet MS" w:hAnsi="Trebuchet MS"/>
          <w:color w:val="231F20"/>
          <w:spacing w:val="-2"/>
          <w:w w:val="90"/>
          <w:sz w:val="14"/>
        </w:rPr>
        <w:t>Nuevo</w:t>
      </w:r>
      <w:r>
        <w:rPr>
          <w:rFonts w:ascii="Trebuchet MS" w:hAnsi="Trebuchet MS"/>
          <w:color w:val="231F20"/>
          <w:spacing w:val="-10"/>
          <w:w w:val="90"/>
          <w:sz w:val="14"/>
        </w:rPr>
        <w:t> </w:t>
      </w:r>
      <w:r>
        <w:rPr>
          <w:rFonts w:ascii="Trebuchet MS" w:hAnsi="Trebuchet MS"/>
          <w:color w:val="231F20"/>
          <w:spacing w:val="-2"/>
          <w:w w:val="90"/>
          <w:sz w:val="14"/>
        </w:rPr>
        <w:t>registro</w:t>
      </w:r>
      <w:r>
        <w:rPr>
          <w:rFonts w:ascii="Trebuchet MS" w:hAnsi="Trebuchet MS"/>
          <w:color w:val="231F20"/>
          <w:spacing w:val="-11"/>
          <w:w w:val="90"/>
          <w:sz w:val="14"/>
        </w:rPr>
        <w:t> </w:t>
      </w:r>
      <w:r>
        <w:rPr>
          <w:rFonts w:ascii="Trebuchet MS" w:hAnsi="Trebuchet MS"/>
          <w:color w:val="231F20"/>
          <w:spacing w:val="-2"/>
          <w:w w:val="90"/>
          <w:sz w:val="14"/>
        </w:rPr>
        <w:t>fósil</w:t>
      </w:r>
      <w:r>
        <w:rPr>
          <w:rFonts w:ascii="Trebuchet MS" w:hAnsi="Trebuchet MS"/>
          <w:color w:val="231F20"/>
          <w:spacing w:val="-11"/>
          <w:w w:val="90"/>
          <w:sz w:val="14"/>
        </w:rPr>
        <w:t> </w:t>
      </w:r>
      <w:r>
        <w:rPr>
          <w:rFonts w:ascii="Trebuchet MS" w:hAnsi="Trebuchet MS"/>
          <w:color w:val="231F20"/>
          <w:spacing w:val="-2"/>
          <w:w w:val="90"/>
          <w:sz w:val="14"/>
        </w:rPr>
        <w:t>de</w:t>
      </w:r>
      <w:r>
        <w:rPr>
          <w:rFonts w:ascii="Trebuchet MS" w:hAnsi="Trebuchet MS"/>
          <w:color w:val="231F20"/>
          <w:spacing w:val="-10"/>
          <w:w w:val="90"/>
          <w:sz w:val="14"/>
        </w:rPr>
        <w:t> </w:t>
      </w:r>
      <w:r>
        <w:rPr>
          <w:rFonts w:ascii="Trebuchet MS" w:hAnsi="Trebuchet MS"/>
          <w:color w:val="231F20"/>
          <w:spacing w:val="-2"/>
          <w:w w:val="90"/>
          <w:sz w:val="14"/>
        </w:rPr>
        <w:t>nautiloideos</w:t>
      </w:r>
      <w:r>
        <w:rPr>
          <w:rFonts w:ascii="Trebuchet MS" w:hAnsi="Trebuchet MS"/>
          <w:color w:val="231F20"/>
          <w:spacing w:val="-11"/>
          <w:w w:val="90"/>
          <w:sz w:val="14"/>
        </w:rPr>
        <w:t> </w:t>
      </w:r>
      <w:r>
        <w:rPr>
          <w:rFonts w:ascii="Trebuchet MS" w:hAnsi="Trebuchet MS"/>
          <w:color w:val="231F20"/>
          <w:spacing w:val="-2"/>
          <w:w w:val="90"/>
          <w:sz w:val="14"/>
        </w:rPr>
        <w:t>para</w:t>
      </w:r>
      <w:r>
        <w:rPr>
          <w:rFonts w:ascii="Trebuchet MS" w:hAnsi="Trebuchet MS"/>
          <w:color w:val="231F20"/>
          <w:spacing w:val="-11"/>
          <w:w w:val="90"/>
          <w:sz w:val="14"/>
        </w:rPr>
        <w:t> </w:t>
      </w:r>
      <w:r>
        <w:rPr>
          <w:rFonts w:ascii="Trebuchet MS" w:hAnsi="Trebuchet MS"/>
          <w:color w:val="231F20"/>
          <w:spacing w:val="-2"/>
          <w:w w:val="90"/>
          <w:sz w:val="14"/>
        </w:rPr>
        <w:t>el</w:t>
      </w:r>
      <w:r>
        <w:rPr>
          <w:rFonts w:ascii="Trebuchet MS" w:hAnsi="Trebuchet MS"/>
          <w:color w:val="231F20"/>
          <w:spacing w:val="-16"/>
          <w:w w:val="90"/>
          <w:sz w:val="14"/>
        </w:rPr>
        <w:t> </w:t>
      </w:r>
      <w:r>
        <w:rPr>
          <w:rFonts w:ascii="Trebuchet MS" w:hAnsi="Trebuchet MS"/>
          <w:color w:val="231F20"/>
          <w:spacing w:val="-2"/>
          <w:w w:val="90"/>
          <w:sz w:val="14"/>
        </w:rPr>
        <w:t>Triásico</w:t>
      </w:r>
      <w:r>
        <w:rPr>
          <w:rFonts w:ascii="Trebuchet MS" w:hAnsi="Trebuchet MS"/>
          <w:color w:val="231F20"/>
          <w:spacing w:val="-11"/>
          <w:w w:val="90"/>
          <w:sz w:val="14"/>
        </w:rPr>
        <w:t> </w:t>
      </w:r>
      <w:r>
        <w:rPr>
          <w:rFonts w:ascii="Trebuchet MS" w:hAnsi="Trebuchet MS"/>
          <w:color w:val="231F20"/>
          <w:spacing w:val="-2"/>
          <w:w w:val="90"/>
          <w:sz w:val="14"/>
        </w:rPr>
        <w:t>superior</w:t>
      </w:r>
      <w:r>
        <w:rPr>
          <w:rFonts w:ascii="Trebuchet MS" w:hAnsi="Trebuchet MS"/>
          <w:color w:val="231F20"/>
          <w:spacing w:val="-11"/>
          <w:w w:val="90"/>
          <w:sz w:val="14"/>
        </w:rPr>
        <w:t> </w:t>
      </w:r>
      <w:r>
        <w:rPr>
          <w:rFonts w:ascii="Trebuchet MS" w:hAnsi="Trebuchet MS"/>
          <w:color w:val="231F20"/>
          <w:spacing w:val="-2"/>
          <w:w w:val="90"/>
          <w:sz w:val="14"/>
        </w:rPr>
        <w:t>colombiano</w:t>
      </w:r>
      <w:r>
        <w:rPr>
          <w:rFonts w:ascii="Trebuchet MS" w:hAnsi="Trebuchet MS"/>
          <w:color w:val="231F20"/>
          <w:spacing w:val="-10"/>
          <w:w w:val="90"/>
          <w:sz w:val="14"/>
        </w:rPr>
        <w:t> </w:t>
      </w:r>
      <w:r>
        <w:rPr>
          <w:rFonts w:ascii="Trebuchet MS" w:hAnsi="Trebuchet MS"/>
          <w:color w:val="231F20"/>
          <w:spacing w:val="-2"/>
          <w:w w:val="90"/>
          <w:sz w:val="14"/>
        </w:rPr>
        <w:t>en</w:t>
      </w:r>
      <w:r>
        <w:rPr>
          <w:rFonts w:ascii="Trebuchet MS" w:hAnsi="Trebuchet MS"/>
          <w:color w:val="231F20"/>
          <w:spacing w:val="-11"/>
          <w:w w:val="90"/>
          <w:sz w:val="14"/>
        </w:rPr>
        <w:t> </w:t>
      </w:r>
      <w:r>
        <w:rPr>
          <w:rFonts w:ascii="Trebuchet MS" w:hAnsi="Trebuchet MS"/>
          <w:color w:val="231F20"/>
          <w:spacing w:val="-2"/>
          <w:w w:val="90"/>
          <w:sz w:val="14"/>
        </w:rPr>
        <w:t>el</w:t>
      </w:r>
      <w:r>
        <w:rPr>
          <w:rFonts w:ascii="Trebuchet MS" w:hAnsi="Trebuchet MS"/>
          <w:color w:val="231F20"/>
          <w:spacing w:val="-11"/>
          <w:w w:val="90"/>
          <w:sz w:val="14"/>
        </w:rPr>
        <w:t> </w:t>
      </w:r>
      <w:r>
        <w:rPr>
          <w:rFonts w:ascii="Trebuchet MS" w:hAnsi="Trebuchet MS"/>
          <w:color w:val="231F20"/>
          <w:spacing w:val="-2"/>
          <w:w w:val="90"/>
          <w:sz w:val="14"/>
        </w:rPr>
        <w:t>área</w:t>
      </w:r>
      <w:r>
        <w:rPr>
          <w:rFonts w:ascii="Trebuchet MS" w:hAnsi="Trebuchet MS"/>
          <w:color w:val="231F20"/>
          <w:spacing w:val="-10"/>
          <w:w w:val="90"/>
          <w:sz w:val="14"/>
        </w:rPr>
        <w:t> </w:t>
      </w:r>
      <w:r>
        <w:rPr>
          <w:rFonts w:ascii="Trebuchet MS" w:hAnsi="Trebuchet MS"/>
          <w:color w:val="231F20"/>
          <w:spacing w:val="-2"/>
          <w:w w:val="90"/>
          <w:sz w:val="14"/>
        </w:rPr>
        <w:t>de</w:t>
      </w:r>
      <w:r>
        <w:rPr>
          <w:rFonts w:ascii="Trebuchet MS" w:hAnsi="Trebuchet MS"/>
          <w:color w:val="231F20"/>
          <w:spacing w:val="-11"/>
          <w:w w:val="90"/>
          <w:sz w:val="14"/>
        </w:rPr>
        <w:t> </w:t>
      </w:r>
      <w:r>
        <w:rPr>
          <w:rFonts w:ascii="Trebuchet MS" w:hAnsi="Trebuchet MS"/>
          <w:color w:val="231F20"/>
          <w:spacing w:val="-2"/>
          <w:w w:val="90"/>
          <w:sz w:val="14"/>
        </w:rPr>
        <w:t>Chaparral,</w:t>
      </w:r>
      <w:r>
        <w:rPr>
          <w:rFonts w:ascii="Trebuchet MS" w:hAnsi="Trebuchet MS"/>
          <w:color w:val="231F20"/>
          <w:spacing w:val="-17"/>
          <w:w w:val="90"/>
          <w:sz w:val="14"/>
        </w:rPr>
        <w:t> </w:t>
      </w:r>
      <w:r>
        <w:rPr>
          <w:rFonts w:ascii="Trebuchet MS" w:hAnsi="Trebuchet MS"/>
          <w:color w:val="231F20"/>
          <w:spacing w:val="-2"/>
          <w:w w:val="90"/>
          <w:sz w:val="14"/>
        </w:rPr>
        <w:t>Tolima</w:t>
      </w:r>
    </w:p>
    <w:p>
      <w:pPr>
        <w:pStyle w:val="BodyText"/>
        <w:rPr>
          <w:rFonts w:ascii="Trebuchet MS"/>
        </w:rPr>
      </w:pPr>
    </w:p>
    <w:p>
      <w:pPr>
        <w:pStyle w:val="BodyText"/>
        <w:spacing w:before="220"/>
        <w:rPr>
          <w:rFonts w:ascii="Trebuchet MS"/>
        </w:rPr>
      </w:pPr>
      <w:r>
        <w:rPr>
          <w:rFonts w:ascii="Trebuchet MS"/>
        </w:rPr>
        <w:drawing>
          <wp:anchor distT="0" distB="0" distL="0" distR="0" allowOverlap="1" layoutInCell="1" locked="0" behindDoc="1" simplePos="0" relativeHeight="487589376">
            <wp:simplePos x="0" y="0"/>
            <wp:positionH relativeFrom="page">
              <wp:posOffset>1039752</wp:posOffset>
            </wp:positionH>
            <wp:positionV relativeFrom="paragraph">
              <wp:posOffset>302840</wp:posOffset>
            </wp:positionV>
            <wp:extent cx="5695577" cy="3913632"/>
            <wp:effectExtent l="0" t="0" r="0" b="0"/>
            <wp:wrapTopAndBottom/>
            <wp:docPr id="10" name="Image 10"/>
            <wp:cNvGraphicFramePr>
              <a:graphicFrameLocks/>
            </wp:cNvGraphicFramePr>
            <a:graphic>
              <a:graphicData uri="http://schemas.openxmlformats.org/drawingml/2006/picture">
                <pic:pic>
                  <pic:nvPicPr>
                    <pic:cNvPr id="10" name="Image 10"/>
                    <pic:cNvPicPr/>
                  </pic:nvPicPr>
                  <pic:blipFill>
                    <a:blip r:embed="rId11" cstate="print"/>
                    <a:stretch>
                      <a:fillRect/>
                    </a:stretch>
                  </pic:blipFill>
                  <pic:spPr>
                    <a:xfrm>
                      <a:off x="0" y="0"/>
                      <a:ext cx="5695577" cy="3913632"/>
                    </a:xfrm>
                    <a:prstGeom prst="rect">
                      <a:avLst/>
                    </a:prstGeom>
                  </pic:spPr>
                </pic:pic>
              </a:graphicData>
            </a:graphic>
          </wp:anchor>
        </w:drawing>
      </w:r>
    </w:p>
    <w:p>
      <w:pPr>
        <w:spacing w:before="173"/>
        <w:ind w:left="162" w:right="0" w:firstLine="0"/>
        <w:jc w:val="left"/>
        <w:rPr>
          <w:sz w:val="16"/>
        </w:rPr>
      </w:pPr>
      <w:r>
        <w:rPr>
          <w:b/>
          <w:color w:val="231F20"/>
          <w:sz w:val="16"/>
        </w:rPr>
        <w:t>Figura</w:t>
      </w:r>
      <w:r>
        <w:rPr>
          <w:b/>
          <w:color w:val="231F20"/>
          <w:spacing w:val="6"/>
          <w:sz w:val="16"/>
        </w:rPr>
        <w:t> </w:t>
      </w:r>
      <w:r>
        <w:rPr>
          <w:b/>
          <w:color w:val="231F20"/>
          <w:sz w:val="16"/>
        </w:rPr>
        <w:t>1.</w:t>
      </w:r>
      <w:r>
        <w:rPr>
          <w:b/>
          <w:color w:val="231F20"/>
          <w:spacing w:val="7"/>
          <w:sz w:val="16"/>
        </w:rPr>
        <w:t> </w:t>
      </w:r>
      <w:r>
        <w:rPr>
          <w:color w:val="231F20"/>
          <w:sz w:val="16"/>
        </w:rPr>
        <w:t>Localización</w:t>
      </w:r>
      <w:r>
        <w:rPr>
          <w:color w:val="231F20"/>
          <w:spacing w:val="7"/>
          <w:sz w:val="16"/>
        </w:rPr>
        <w:t> </w:t>
      </w:r>
      <w:r>
        <w:rPr>
          <w:color w:val="231F20"/>
          <w:sz w:val="16"/>
        </w:rPr>
        <w:t>del</w:t>
      </w:r>
      <w:r>
        <w:rPr>
          <w:color w:val="231F20"/>
          <w:spacing w:val="6"/>
          <w:sz w:val="16"/>
        </w:rPr>
        <w:t> </w:t>
      </w:r>
      <w:r>
        <w:rPr>
          <w:color w:val="231F20"/>
          <w:sz w:val="16"/>
        </w:rPr>
        <w:t>área</w:t>
      </w:r>
      <w:r>
        <w:rPr>
          <w:color w:val="231F20"/>
          <w:spacing w:val="7"/>
          <w:sz w:val="16"/>
        </w:rPr>
        <w:t> </w:t>
      </w:r>
      <w:r>
        <w:rPr>
          <w:color w:val="231F20"/>
          <w:sz w:val="16"/>
        </w:rPr>
        <w:t>de</w:t>
      </w:r>
      <w:r>
        <w:rPr>
          <w:color w:val="231F20"/>
          <w:spacing w:val="7"/>
          <w:sz w:val="16"/>
        </w:rPr>
        <w:t> </w:t>
      </w:r>
      <w:r>
        <w:rPr>
          <w:color w:val="231F20"/>
          <w:sz w:val="16"/>
        </w:rPr>
        <w:t>estudio,</w:t>
      </w:r>
      <w:r>
        <w:rPr>
          <w:color w:val="231F20"/>
          <w:spacing w:val="7"/>
          <w:sz w:val="16"/>
        </w:rPr>
        <w:t> </w:t>
      </w:r>
      <w:r>
        <w:rPr>
          <w:color w:val="231F20"/>
          <w:sz w:val="16"/>
        </w:rPr>
        <w:t>Sección</w:t>
      </w:r>
      <w:r>
        <w:rPr>
          <w:color w:val="231F20"/>
          <w:spacing w:val="6"/>
          <w:sz w:val="16"/>
        </w:rPr>
        <w:t> </w:t>
      </w:r>
      <w:r>
        <w:rPr>
          <w:color w:val="231F20"/>
          <w:sz w:val="16"/>
        </w:rPr>
        <w:t>Tuluní</w:t>
      </w:r>
      <w:r>
        <w:rPr>
          <w:color w:val="231F20"/>
          <w:spacing w:val="7"/>
          <w:sz w:val="16"/>
        </w:rPr>
        <w:t> </w:t>
      </w:r>
      <w:r>
        <w:rPr>
          <w:color w:val="231F20"/>
          <w:sz w:val="16"/>
        </w:rPr>
        <w:t>con</w:t>
      </w:r>
      <w:r>
        <w:rPr>
          <w:color w:val="231F20"/>
          <w:spacing w:val="7"/>
          <w:sz w:val="16"/>
        </w:rPr>
        <w:t> </w:t>
      </w:r>
      <w:r>
        <w:rPr>
          <w:color w:val="231F20"/>
          <w:sz w:val="16"/>
        </w:rPr>
        <w:t>los</w:t>
      </w:r>
      <w:r>
        <w:rPr>
          <w:color w:val="231F20"/>
          <w:spacing w:val="7"/>
          <w:sz w:val="16"/>
        </w:rPr>
        <w:t> </w:t>
      </w:r>
      <w:r>
        <w:rPr>
          <w:color w:val="231F20"/>
          <w:sz w:val="16"/>
        </w:rPr>
        <w:t>puntos</w:t>
      </w:r>
      <w:r>
        <w:rPr>
          <w:color w:val="231F20"/>
          <w:spacing w:val="6"/>
          <w:sz w:val="16"/>
        </w:rPr>
        <w:t> </w:t>
      </w:r>
      <w:r>
        <w:rPr>
          <w:color w:val="231F20"/>
          <w:sz w:val="16"/>
        </w:rPr>
        <w:t>de</w:t>
      </w:r>
      <w:r>
        <w:rPr>
          <w:color w:val="231F20"/>
          <w:spacing w:val="7"/>
          <w:sz w:val="16"/>
        </w:rPr>
        <w:t> </w:t>
      </w:r>
      <w:r>
        <w:rPr>
          <w:color w:val="231F20"/>
          <w:sz w:val="16"/>
        </w:rPr>
        <w:t>aparición</w:t>
      </w:r>
      <w:r>
        <w:rPr>
          <w:color w:val="231F20"/>
          <w:spacing w:val="7"/>
          <w:sz w:val="16"/>
        </w:rPr>
        <w:t> </w:t>
      </w:r>
      <w:r>
        <w:rPr>
          <w:color w:val="231F20"/>
          <w:sz w:val="16"/>
        </w:rPr>
        <w:t>de</w:t>
      </w:r>
      <w:r>
        <w:rPr>
          <w:color w:val="231F20"/>
          <w:spacing w:val="7"/>
          <w:sz w:val="16"/>
        </w:rPr>
        <w:t> </w:t>
      </w:r>
      <w:r>
        <w:rPr>
          <w:i/>
          <w:color w:val="231F20"/>
          <w:sz w:val="16"/>
        </w:rPr>
        <w:t>Cenoceras</w:t>
      </w:r>
      <w:r>
        <w:rPr>
          <w:i/>
          <w:color w:val="231F20"/>
          <w:spacing w:val="8"/>
          <w:sz w:val="16"/>
        </w:rPr>
        <w:t> </w:t>
      </w:r>
      <w:r>
        <w:rPr>
          <w:color w:val="231F20"/>
          <w:spacing w:val="-5"/>
          <w:sz w:val="16"/>
        </w:rPr>
        <w:t>sp.</w:t>
      </w:r>
    </w:p>
    <w:p>
      <w:pPr>
        <w:pStyle w:val="BodyText"/>
        <w:spacing w:before="4"/>
        <w:rPr>
          <w:sz w:val="16"/>
        </w:rPr>
      </w:pPr>
    </w:p>
    <w:p>
      <w:pPr>
        <w:pStyle w:val="BodyText"/>
        <w:spacing w:after="0"/>
        <w:rPr>
          <w:sz w:val="16"/>
        </w:rPr>
        <w:sectPr>
          <w:pgSz w:w="12260" w:h="15560"/>
          <w:pgMar w:header="0" w:footer="336" w:top="280" w:bottom="520" w:left="1275" w:right="708"/>
        </w:sectPr>
      </w:pPr>
    </w:p>
    <w:p>
      <w:pPr>
        <w:spacing w:before="90"/>
        <w:ind w:left="144" w:right="0" w:firstLine="0"/>
        <w:jc w:val="left"/>
        <w:rPr>
          <w:b/>
          <w:sz w:val="24"/>
        </w:rPr>
      </w:pPr>
      <w:r>
        <w:rPr>
          <w:b/>
          <w:color w:val="231F20"/>
          <w:spacing w:val="-2"/>
          <w:sz w:val="24"/>
        </w:rPr>
        <w:t>INTRODUCCIÓN</w:t>
      </w:r>
    </w:p>
    <w:p>
      <w:pPr>
        <w:pStyle w:val="BodyText"/>
        <w:spacing w:line="252" w:lineRule="auto" w:before="162"/>
        <w:ind w:left="144" w:right="38"/>
        <w:jc w:val="both"/>
      </w:pPr>
      <w:r>
        <w:rPr>
          <w:color w:val="231F20"/>
        </w:rPr>
        <w:t>Se describen nautiloideos del Triásico Superior colombiano, procedentes de afloramientos de la Formación Payandé encontrados al suroriente de Chaparral (Tolima), en la vereda Tuluní (Ver Fig.1).</w:t>
      </w:r>
      <w:r>
        <w:rPr>
          <w:color w:val="231F20"/>
          <w:spacing w:val="80"/>
          <w:w w:val="150"/>
        </w:rPr>
        <w:t> </w:t>
      </w:r>
      <w:r>
        <w:rPr>
          <w:color w:val="231F20"/>
        </w:rPr>
        <w:t>El</w:t>
      </w:r>
      <w:r>
        <w:rPr>
          <w:color w:val="231F20"/>
          <w:spacing w:val="40"/>
        </w:rPr>
        <w:t> </w:t>
      </w:r>
      <w:r>
        <w:rPr>
          <w:color w:val="231F20"/>
        </w:rPr>
        <w:t>material</w:t>
      </w:r>
      <w:r>
        <w:rPr>
          <w:color w:val="231F20"/>
          <w:spacing w:val="40"/>
        </w:rPr>
        <w:t> </w:t>
      </w:r>
      <w:r>
        <w:rPr>
          <w:color w:val="231F20"/>
        </w:rPr>
        <w:t>paleontológico</w:t>
      </w:r>
      <w:r>
        <w:rPr>
          <w:color w:val="231F20"/>
          <w:spacing w:val="40"/>
        </w:rPr>
        <w:t> </w:t>
      </w:r>
      <w:r>
        <w:rPr>
          <w:color w:val="231F20"/>
        </w:rPr>
        <w:t>fue</w:t>
      </w:r>
      <w:r>
        <w:rPr>
          <w:color w:val="231F20"/>
          <w:spacing w:val="40"/>
        </w:rPr>
        <w:t> </w:t>
      </w:r>
      <w:r>
        <w:rPr>
          <w:color w:val="231F20"/>
        </w:rPr>
        <w:t>recolectado</w:t>
      </w:r>
      <w:r>
        <w:rPr>
          <w:color w:val="231F20"/>
          <w:spacing w:val="40"/>
        </w:rPr>
        <w:t> </w:t>
      </w:r>
      <w:r>
        <w:rPr>
          <w:color w:val="231F20"/>
        </w:rPr>
        <w:t>durante</w:t>
      </w:r>
      <w:r>
        <w:rPr>
          <w:color w:val="231F20"/>
          <w:spacing w:val="80"/>
        </w:rPr>
        <w:t> </w:t>
      </w:r>
      <w:r>
        <w:rPr>
          <w:color w:val="231F20"/>
        </w:rPr>
        <w:t>el desarrollo de la práctica del Curso Campo VI: “Cartografía Geológica” de la Universidad Nacional</w:t>
      </w:r>
      <w:r>
        <w:rPr>
          <w:color w:val="231F20"/>
          <w:spacing w:val="80"/>
        </w:rPr>
        <w:t> </w:t>
      </w:r>
      <w:r>
        <w:rPr>
          <w:color w:val="231F20"/>
        </w:rPr>
        <w:t>de</w:t>
      </w:r>
      <w:r>
        <w:rPr>
          <w:color w:val="231F20"/>
          <w:spacing w:val="-5"/>
        </w:rPr>
        <w:t> </w:t>
      </w:r>
      <w:r>
        <w:rPr>
          <w:color w:val="231F20"/>
        </w:rPr>
        <w:t>Colombia</w:t>
      </w:r>
      <w:r>
        <w:rPr>
          <w:color w:val="231F20"/>
          <w:spacing w:val="-5"/>
        </w:rPr>
        <w:t> </w:t>
      </w:r>
      <w:r>
        <w:rPr>
          <w:color w:val="231F20"/>
        </w:rPr>
        <w:t>(sede</w:t>
      </w:r>
      <w:r>
        <w:rPr>
          <w:color w:val="231F20"/>
          <w:spacing w:val="-5"/>
        </w:rPr>
        <w:t> </w:t>
      </w:r>
      <w:r>
        <w:rPr>
          <w:color w:val="231F20"/>
        </w:rPr>
        <w:t>Bogotá)</w:t>
      </w:r>
      <w:r>
        <w:rPr>
          <w:color w:val="231F20"/>
          <w:spacing w:val="-5"/>
        </w:rPr>
        <w:t> </w:t>
      </w:r>
      <w:r>
        <w:rPr>
          <w:color w:val="231F20"/>
        </w:rPr>
        <w:t>del</w:t>
      </w:r>
      <w:r>
        <w:rPr>
          <w:color w:val="231F20"/>
          <w:spacing w:val="-5"/>
        </w:rPr>
        <w:t> </w:t>
      </w:r>
      <w:r>
        <w:rPr>
          <w:color w:val="231F20"/>
        </w:rPr>
        <w:t>Primer</w:t>
      </w:r>
      <w:r>
        <w:rPr>
          <w:color w:val="231F20"/>
          <w:spacing w:val="-5"/>
        </w:rPr>
        <w:t> </w:t>
      </w:r>
      <w:r>
        <w:rPr>
          <w:color w:val="231F20"/>
        </w:rPr>
        <w:t>semestre</w:t>
      </w:r>
      <w:r>
        <w:rPr>
          <w:color w:val="231F20"/>
          <w:spacing w:val="-5"/>
        </w:rPr>
        <w:t> </w:t>
      </w:r>
      <w:r>
        <w:rPr>
          <w:color w:val="231F20"/>
        </w:rPr>
        <w:t>del</w:t>
      </w:r>
      <w:r>
        <w:rPr>
          <w:color w:val="231F20"/>
          <w:spacing w:val="-5"/>
        </w:rPr>
        <w:t> </w:t>
      </w:r>
      <w:r>
        <w:rPr>
          <w:color w:val="231F20"/>
        </w:rPr>
        <w:t>año 2018,</w:t>
      </w:r>
      <w:r>
        <w:rPr>
          <w:color w:val="231F20"/>
          <w:spacing w:val="-13"/>
        </w:rPr>
        <w:t> </w:t>
      </w:r>
      <w:r>
        <w:rPr>
          <w:color w:val="231F20"/>
        </w:rPr>
        <w:t>en</w:t>
      </w:r>
      <w:r>
        <w:rPr>
          <w:color w:val="231F20"/>
          <w:spacing w:val="-12"/>
        </w:rPr>
        <w:t> </w:t>
      </w:r>
      <w:r>
        <w:rPr>
          <w:color w:val="231F20"/>
        </w:rPr>
        <w:t>la</w:t>
      </w:r>
      <w:r>
        <w:rPr>
          <w:color w:val="231F20"/>
          <w:spacing w:val="-13"/>
        </w:rPr>
        <w:t> </w:t>
      </w:r>
      <w:r>
        <w:rPr>
          <w:color w:val="231F20"/>
        </w:rPr>
        <w:t>que</w:t>
      </w:r>
      <w:r>
        <w:rPr>
          <w:color w:val="231F20"/>
          <w:spacing w:val="-12"/>
        </w:rPr>
        <w:t> </w:t>
      </w:r>
      <w:r>
        <w:rPr>
          <w:color w:val="231F20"/>
        </w:rPr>
        <w:t>se</w:t>
      </w:r>
      <w:r>
        <w:rPr>
          <w:color w:val="231F20"/>
          <w:spacing w:val="-13"/>
        </w:rPr>
        <w:t> </w:t>
      </w:r>
      <w:r>
        <w:rPr>
          <w:color w:val="231F20"/>
        </w:rPr>
        <w:t>tomó</w:t>
      </w:r>
      <w:r>
        <w:rPr>
          <w:color w:val="231F20"/>
          <w:spacing w:val="-12"/>
        </w:rPr>
        <w:t> </w:t>
      </w:r>
      <w:r>
        <w:rPr>
          <w:color w:val="231F20"/>
        </w:rPr>
        <w:t>como</w:t>
      </w:r>
      <w:r>
        <w:rPr>
          <w:color w:val="231F20"/>
          <w:spacing w:val="-13"/>
        </w:rPr>
        <w:t> </w:t>
      </w:r>
      <w:r>
        <w:rPr>
          <w:color w:val="231F20"/>
        </w:rPr>
        <w:t>enfoqué</w:t>
      </w:r>
      <w:r>
        <w:rPr>
          <w:color w:val="231F20"/>
          <w:spacing w:val="-12"/>
        </w:rPr>
        <w:t> </w:t>
      </w:r>
      <w:r>
        <w:rPr>
          <w:color w:val="231F20"/>
        </w:rPr>
        <w:t>la</w:t>
      </w:r>
      <w:r>
        <w:rPr>
          <w:color w:val="231F20"/>
          <w:spacing w:val="-13"/>
        </w:rPr>
        <w:t> </w:t>
      </w:r>
      <w:r>
        <w:rPr>
          <w:color w:val="231F20"/>
        </w:rPr>
        <w:t>caracterización litológica de las calizas Triásicas. Las actividades de campo</w:t>
      </w:r>
      <w:r>
        <w:rPr>
          <w:color w:val="231F20"/>
          <w:spacing w:val="40"/>
        </w:rPr>
        <w:t> </w:t>
      </w:r>
      <w:r>
        <w:rPr>
          <w:color w:val="231F20"/>
        </w:rPr>
        <w:t>comprendieron</w:t>
      </w:r>
      <w:r>
        <w:rPr>
          <w:color w:val="231F20"/>
          <w:spacing w:val="40"/>
        </w:rPr>
        <w:t> </w:t>
      </w:r>
      <w:r>
        <w:rPr>
          <w:color w:val="231F20"/>
        </w:rPr>
        <w:t>el</w:t>
      </w:r>
      <w:r>
        <w:rPr>
          <w:color w:val="231F20"/>
          <w:spacing w:val="40"/>
        </w:rPr>
        <w:t> </w:t>
      </w:r>
      <w:r>
        <w:rPr>
          <w:color w:val="231F20"/>
        </w:rPr>
        <w:t>reconocimiento</w:t>
      </w:r>
      <w:r>
        <w:rPr>
          <w:color w:val="231F20"/>
          <w:spacing w:val="40"/>
        </w:rPr>
        <w:t> </w:t>
      </w:r>
      <w:r>
        <w:rPr>
          <w:color w:val="231F20"/>
        </w:rPr>
        <w:t>del</w:t>
      </w:r>
      <w:r>
        <w:rPr>
          <w:color w:val="231F20"/>
          <w:spacing w:val="40"/>
        </w:rPr>
        <w:t> </w:t>
      </w:r>
      <w:r>
        <w:rPr>
          <w:color w:val="231F20"/>
        </w:rPr>
        <w:t>valle</w:t>
      </w:r>
      <w:r>
        <w:rPr>
          <w:color w:val="231F20"/>
          <w:spacing w:val="80"/>
        </w:rPr>
        <w:t> </w:t>
      </w:r>
      <w:r>
        <w:rPr>
          <w:color w:val="231F20"/>
        </w:rPr>
        <w:t>de la Quebrada Tuluní, como principal sitio de exposición de las rocas calcáreas, en la cuenca del Río Amoyá, realizando un levantamiento estratigráfico con un muestreo detallado para la descripción de la unidad, junto con la</w:t>
      </w:r>
      <w:r>
        <w:rPr>
          <w:color w:val="231F20"/>
          <w:spacing w:val="-1"/>
        </w:rPr>
        <w:t> </w:t>
      </w:r>
      <w:r>
        <w:rPr>
          <w:color w:val="231F20"/>
        </w:rPr>
        <w:t>toma</w:t>
      </w:r>
      <w:r>
        <w:rPr>
          <w:color w:val="231F20"/>
          <w:spacing w:val="-1"/>
        </w:rPr>
        <w:t> </w:t>
      </w:r>
      <w:r>
        <w:rPr>
          <w:color w:val="231F20"/>
        </w:rPr>
        <w:t>de</w:t>
      </w:r>
      <w:r>
        <w:rPr>
          <w:color w:val="231F20"/>
          <w:spacing w:val="-1"/>
        </w:rPr>
        <w:t> </w:t>
      </w:r>
      <w:r>
        <w:rPr>
          <w:color w:val="231F20"/>
        </w:rPr>
        <w:t>datos estructurales y la</w:t>
      </w:r>
      <w:r>
        <w:rPr>
          <w:color w:val="231F20"/>
          <w:spacing w:val="-1"/>
        </w:rPr>
        <w:t> </w:t>
      </w:r>
      <w:r>
        <w:rPr>
          <w:color w:val="231F20"/>
        </w:rPr>
        <w:t>cartografía </w:t>
      </w:r>
      <w:r>
        <w:rPr>
          <w:color w:val="231F20"/>
          <w:spacing w:val="-4"/>
        </w:rPr>
        <w:t>geológica</w:t>
      </w:r>
      <w:r>
        <w:rPr>
          <w:color w:val="231F20"/>
          <w:spacing w:val="-9"/>
        </w:rPr>
        <w:t> </w:t>
      </w:r>
      <w:r>
        <w:rPr>
          <w:color w:val="231F20"/>
          <w:spacing w:val="-4"/>
        </w:rPr>
        <w:t>general</w:t>
      </w:r>
      <w:r>
        <w:rPr>
          <w:color w:val="231F20"/>
          <w:spacing w:val="-8"/>
        </w:rPr>
        <w:t> </w:t>
      </w:r>
      <w:r>
        <w:rPr>
          <w:color w:val="231F20"/>
          <w:spacing w:val="-4"/>
        </w:rPr>
        <w:t>de</w:t>
      </w:r>
      <w:r>
        <w:rPr>
          <w:color w:val="231F20"/>
          <w:spacing w:val="-9"/>
        </w:rPr>
        <w:t> </w:t>
      </w:r>
      <w:r>
        <w:rPr>
          <w:color w:val="231F20"/>
          <w:spacing w:val="-4"/>
        </w:rPr>
        <w:t>la</w:t>
      </w:r>
      <w:r>
        <w:rPr>
          <w:color w:val="231F20"/>
          <w:spacing w:val="-8"/>
        </w:rPr>
        <w:t> </w:t>
      </w:r>
      <w:r>
        <w:rPr>
          <w:color w:val="231F20"/>
          <w:spacing w:val="-4"/>
        </w:rPr>
        <w:t>zona,</w:t>
      </w:r>
      <w:r>
        <w:rPr>
          <w:color w:val="231F20"/>
          <w:spacing w:val="-9"/>
        </w:rPr>
        <w:t> </w:t>
      </w:r>
      <w:r>
        <w:rPr>
          <w:color w:val="231F20"/>
          <w:spacing w:val="-4"/>
        </w:rPr>
        <w:t>de</w:t>
      </w:r>
      <w:r>
        <w:rPr>
          <w:color w:val="231F20"/>
          <w:spacing w:val="-8"/>
        </w:rPr>
        <w:t> </w:t>
      </w:r>
      <w:r>
        <w:rPr>
          <w:color w:val="231F20"/>
          <w:spacing w:val="-4"/>
        </w:rPr>
        <w:t>tal</w:t>
      </w:r>
      <w:r>
        <w:rPr>
          <w:color w:val="231F20"/>
          <w:spacing w:val="-9"/>
        </w:rPr>
        <w:t> </w:t>
      </w:r>
      <w:r>
        <w:rPr>
          <w:color w:val="231F20"/>
          <w:spacing w:val="-4"/>
        </w:rPr>
        <w:t>forma</w:t>
      </w:r>
      <w:r>
        <w:rPr>
          <w:color w:val="231F20"/>
          <w:spacing w:val="-8"/>
        </w:rPr>
        <w:t> </w:t>
      </w:r>
      <w:r>
        <w:rPr>
          <w:color w:val="231F20"/>
          <w:spacing w:val="-4"/>
        </w:rPr>
        <w:t>que</w:t>
      </w:r>
      <w:r>
        <w:rPr>
          <w:color w:val="231F20"/>
          <w:spacing w:val="-9"/>
        </w:rPr>
        <w:t> </w:t>
      </w:r>
      <w:r>
        <w:rPr>
          <w:color w:val="231F20"/>
          <w:spacing w:val="-4"/>
        </w:rPr>
        <w:t>se</w:t>
      </w:r>
      <w:r>
        <w:rPr>
          <w:color w:val="231F20"/>
          <w:spacing w:val="-8"/>
        </w:rPr>
        <w:t> </w:t>
      </w:r>
      <w:r>
        <w:rPr>
          <w:color w:val="231F20"/>
          <w:spacing w:val="-4"/>
        </w:rPr>
        <w:t>presentan </w:t>
      </w:r>
      <w:r>
        <w:rPr>
          <w:color w:val="231F20"/>
        </w:rPr>
        <w:t>los</w:t>
      </w:r>
      <w:r>
        <w:rPr>
          <w:color w:val="231F20"/>
          <w:spacing w:val="-9"/>
        </w:rPr>
        <w:t> </w:t>
      </w:r>
      <w:r>
        <w:rPr>
          <w:color w:val="231F20"/>
        </w:rPr>
        <w:t>resultados</w:t>
      </w:r>
      <w:r>
        <w:rPr>
          <w:color w:val="231F20"/>
          <w:spacing w:val="-9"/>
        </w:rPr>
        <w:t> </w:t>
      </w:r>
      <w:r>
        <w:rPr>
          <w:color w:val="231F20"/>
        </w:rPr>
        <w:t>obtenidos</w:t>
      </w:r>
      <w:r>
        <w:rPr>
          <w:color w:val="231F20"/>
          <w:spacing w:val="-9"/>
        </w:rPr>
        <w:t> </w:t>
      </w:r>
      <w:r>
        <w:rPr>
          <w:color w:val="231F20"/>
        </w:rPr>
        <w:t>y</w:t>
      </w:r>
      <w:r>
        <w:rPr>
          <w:color w:val="231F20"/>
          <w:spacing w:val="-9"/>
        </w:rPr>
        <w:t> </w:t>
      </w:r>
      <w:r>
        <w:rPr>
          <w:color w:val="231F20"/>
        </w:rPr>
        <w:t>su</w:t>
      </w:r>
      <w:r>
        <w:rPr>
          <w:color w:val="231F20"/>
          <w:spacing w:val="-9"/>
        </w:rPr>
        <w:t> </w:t>
      </w:r>
      <w:r>
        <w:rPr>
          <w:color w:val="231F20"/>
        </w:rPr>
        <w:t>interpretación</w:t>
      </w:r>
      <w:r>
        <w:rPr>
          <w:color w:val="231F20"/>
          <w:spacing w:val="-9"/>
        </w:rPr>
        <w:t> </w:t>
      </w:r>
      <w:r>
        <w:rPr>
          <w:color w:val="231F20"/>
        </w:rPr>
        <w:t>en</w:t>
      </w:r>
      <w:r>
        <w:rPr>
          <w:color w:val="231F20"/>
          <w:spacing w:val="-9"/>
        </w:rPr>
        <w:t> </w:t>
      </w:r>
      <w:r>
        <w:rPr>
          <w:color w:val="231F20"/>
        </w:rPr>
        <w:t>el</w:t>
      </w:r>
      <w:r>
        <w:rPr>
          <w:color w:val="231F20"/>
          <w:spacing w:val="-9"/>
        </w:rPr>
        <w:t> </w:t>
      </w:r>
      <w:r>
        <w:rPr>
          <w:color w:val="231F20"/>
        </w:rPr>
        <w:t>trabajo </w:t>
      </w:r>
      <w:r>
        <w:rPr>
          <w:color w:val="231F20"/>
          <w:spacing w:val="-2"/>
        </w:rPr>
        <w:t>de</w:t>
      </w:r>
      <w:r>
        <w:rPr>
          <w:color w:val="231F20"/>
          <w:spacing w:val="-8"/>
        </w:rPr>
        <w:t> </w:t>
      </w:r>
      <w:r>
        <w:rPr>
          <w:color w:val="231F20"/>
          <w:spacing w:val="-2"/>
        </w:rPr>
        <w:t>Perilla</w:t>
      </w:r>
      <w:r>
        <w:rPr>
          <w:color w:val="231F20"/>
          <w:spacing w:val="-8"/>
        </w:rPr>
        <w:t> </w:t>
      </w:r>
      <w:r>
        <w:rPr>
          <w:color w:val="231F20"/>
          <w:spacing w:val="-2"/>
        </w:rPr>
        <w:t>(2018).</w:t>
      </w:r>
      <w:r>
        <w:rPr>
          <w:color w:val="231F20"/>
          <w:spacing w:val="-8"/>
        </w:rPr>
        <w:t> </w:t>
      </w:r>
      <w:r>
        <w:rPr>
          <w:color w:val="231F20"/>
          <w:spacing w:val="-2"/>
        </w:rPr>
        <w:t>Los</w:t>
      </w:r>
      <w:r>
        <w:rPr>
          <w:color w:val="231F20"/>
          <w:spacing w:val="-8"/>
        </w:rPr>
        <w:t> </w:t>
      </w:r>
      <w:r>
        <w:rPr>
          <w:color w:val="231F20"/>
          <w:spacing w:val="-2"/>
        </w:rPr>
        <w:t>resultados</w:t>
      </w:r>
      <w:r>
        <w:rPr>
          <w:color w:val="231F20"/>
          <w:spacing w:val="-8"/>
        </w:rPr>
        <w:t> </w:t>
      </w:r>
      <w:r>
        <w:rPr>
          <w:color w:val="231F20"/>
          <w:spacing w:val="-2"/>
        </w:rPr>
        <w:t>expuestos</w:t>
      </w:r>
      <w:r>
        <w:rPr>
          <w:color w:val="231F20"/>
          <w:spacing w:val="-8"/>
        </w:rPr>
        <w:t> </w:t>
      </w:r>
      <w:r>
        <w:rPr>
          <w:color w:val="231F20"/>
          <w:spacing w:val="-2"/>
        </w:rPr>
        <w:t>en</w:t>
      </w:r>
      <w:r>
        <w:rPr>
          <w:color w:val="231F20"/>
          <w:spacing w:val="-8"/>
        </w:rPr>
        <w:t> </w:t>
      </w:r>
      <w:r>
        <w:rPr>
          <w:color w:val="231F20"/>
          <w:spacing w:val="-2"/>
        </w:rPr>
        <w:t>el</w:t>
      </w:r>
      <w:r>
        <w:rPr>
          <w:color w:val="231F20"/>
          <w:spacing w:val="-8"/>
        </w:rPr>
        <w:t> </w:t>
      </w:r>
      <w:r>
        <w:rPr>
          <w:color w:val="231F20"/>
          <w:spacing w:val="-2"/>
        </w:rPr>
        <w:t>presente </w:t>
      </w:r>
      <w:r>
        <w:rPr>
          <w:color w:val="231F20"/>
        </w:rPr>
        <w:t>trabajo, presentan en específico, el registro fósil de nautiloideos, incluyendo una revisión bibliográfica de esta subclase de cefalópodos, junto con la descripción</w:t>
      </w:r>
      <w:r>
        <w:rPr>
          <w:color w:val="231F20"/>
          <w:spacing w:val="80"/>
        </w:rPr>
        <w:t> </w:t>
      </w:r>
      <w:r>
        <w:rPr>
          <w:color w:val="231F20"/>
        </w:rPr>
        <w:t>y clasificación sistemática de los ejemplares triásicos. El conjunto de datos estratigráficos y paleontológicos que</w:t>
      </w:r>
      <w:r>
        <w:rPr>
          <w:color w:val="231F20"/>
          <w:spacing w:val="16"/>
        </w:rPr>
        <w:t> </w:t>
      </w:r>
      <w:r>
        <w:rPr>
          <w:color w:val="231F20"/>
        </w:rPr>
        <w:t>suministra</w:t>
      </w:r>
      <w:r>
        <w:rPr>
          <w:color w:val="231F20"/>
          <w:spacing w:val="16"/>
        </w:rPr>
        <w:t> </w:t>
      </w:r>
      <w:r>
        <w:rPr>
          <w:color w:val="231F20"/>
        </w:rPr>
        <w:t>la</w:t>
      </w:r>
      <w:r>
        <w:rPr>
          <w:color w:val="231F20"/>
          <w:spacing w:val="17"/>
        </w:rPr>
        <w:t> </w:t>
      </w:r>
      <w:r>
        <w:rPr>
          <w:color w:val="231F20"/>
        </w:rPr>
        <w:t>sección</w:t>
      </w:r>
      <w:r>
        <w:rPr>
          <w:color w:val="231F20"/>
          <w:spacing w:val="16"/>
        </w:rPr>
        <w:t> </w:t>
      </w:r>
      <w:r>
        <w:rPr>
          <w:color w:val="231F20"/>
        </w:rPr>
        <w:t>del</w:t>
      </w:r>
      <w:r>
        <w:rPr>
          <w:color w:val="231F20"/>
          <w:spacing w:val="17"/>
        </w:rPr>
        <w:t> </w:t>
      </w:r>
      <w:r>
        <w:rPr>
          <w:color w:val="231F20"/>
        </w:rPr>
        <w:t>rio</w:t>
      </w:r>
      <w:r>
        <w:rPr>
          <w:color w:val="231F20"/>
          <w:spacing w:val="16"/>
        </w:rPr>
        <w:t> </w:t>
      </w:r>
      <w:r>
        <w:rPr>
          <w:color w:val="231F20"/>
        </w:rPr>
        <w:t>Tuluní,</w:t>
      </w:r>
      <w:r>
        <w:rPr>
          <w:color w:val="231F20"/>
          <w:spacing w:val="17"/>
        </w:rPr>
        <w:t> </w:t>
      </w:r>
      <w:r>
        <w:rPr>
          <w:color w:val="231F20"/>
        </w:rPr>
        <w:t>es</w:t>
      </w:r>
      <w:r>
        <w:rPr>
          <w:color w:val="231F20"/>
          <w:spacing w:val="16"/>
        </w:rPr>
        <w:t> </w:t>
      </w:r>
      <w:r>
        <w:rPr>
          <w:color w:val="231F20"/>
        </w:rPr>
        <w:t>clave</w:t>
      </w:r>
      <w:r>
        <w:rPr>
          <w:color w:val="231F20"/>
          <w:spacing w:val="17"/>
        </w:rPr>
        <w:t> </w:t>
      </w:r>
      <w:r>
        <w:rPr>
          <w:color w:val="231F20"/>
          <w:spacing w:val="-4"/>
        </w:rPr>
        <w:t>para</w:t>
      </w:r>
    </w:p>
    <w:p>
      <w:pPr>
        <w:pStyle w:val="BodyText"/>
        <w:spacing w:line="256" w:lineRule="auto" w:before="106"/>
        <w:ind w:left="144" w:right="790"/>
        <w:jc w:val="both"/>
      </w:pPr>
      <w:r>
        <w:rPr/>
        <w:br w:type="column"/>
      </w:r>
      <w:r>
        <w:rPr>
          <w:color w:val="231F20"/>
        </w:rPr>
        <w:t>el entendimiento de la Formación Payandé, así como</w:t>
      </w:r>
      <w:r>
        <w:rPr>
          <w:color w:val="231F20"/>
          <w:spacing w:val="80"/>
          <w:w w:val="150"/>
        </w:rPr>
        <w:t> </w:t>
      </w:r>
      <w:r>
        <w:rPr>
          <w:color w:val="231F20"/>
        </w:rPr>
        <w:t>el registro de los ejemplares colectados es de gran</w:t>
      </w:r>
      <w:r>
        <w:rPr>
          <w:color w:val="231F20"/>
          <w:spacing w:val="80"/>
        </w:rPr>
        <w:t> </w:t>
      </w:r>
      <w:r>
        <w:rPr>
          <w:color w:val="231F20"/>
        </w:rPr>
        <w:t>valor para el estudio de los nautiloideos, puesto que su conocimiento es limitado y el registro fósil colombiano puede considerarse como el más numeroso a la fecha para Suramérica, en el sentido de registro a lo largo del tiempo geológico.</w:t>
      </w:r>
    </w:p>
    <w:p>
      <w:pPr>
        <w:pStyle w:val="BodyText"/>
        <w:spacing w:before="160"/>
      </w:pPr>
    </w:p>
    <w:p>
      <w:pPr>
        <w:pStyle w:val="Heading1"/>
        <w:spacing w:line="256" w:lineRule="auto" w:before="1"/>
        <w:ind w:left="147" w:right="601"/>
      </w:pPr>
      <w:r>
        <w:rPr>
          <w:color w:val="231F20"/>
        </w:rPr>
        <w:t>NAUTILOIDEOS EN SUR AMÉRICA Y </w:t>
      </w:r>
      <w:r>
        <w:rPr>
          <w:color w:val="231F20"/>
          <w:spacing w:val="-2"/>
        </w:rPr>
        <w:t>COLOMBIA</w:t>
      </w:r>
    </w:p>
    <w:p>
      <w:pPr>
        <w:pStyle w:val="BodyText"/>
        <w:spacing w:line="256" w:lineRule="auto" w:before="168"/>
        <w:ind w:left="144" w:right="789"/>
        <w:jc w:val="both"/>
      </w:pPr>
      <w:r>
        <w:rPr>
          <w:color w:val="231F20"/>
        </w:rPr>
        <w:t>En Sur América el registro fósil de la subclase </w:t>
      </w:r>
      <w:r>
        <w:rPr>
          <w:i/>
          <w:color w:val="231F20"/>
        </w:rPr>
        <w:t>Nautiloidea </w:t>
      </w:r>
      <w:r>
        <w:rPr>
          <w:color w:val="231F20"/>
        </w:rPr>
        <w:t>es escaso, por lo que en la literatura la mención de registros de estos ejemplares de cefalópo- dos</w:t>
      </w:r>
      <w:r>
        <w:rPr>
          <w:color w:val="231F20"/>
          <w:spacing w:val="-1"/>
        </w:rPr>
        <w:t> </w:t>
      </w:r>
      <w:r>
        <w:rPr>
          <w:color w:val="231F20"/>
        </w:rPr>
        <w:t>son</w:t>
      </w:r>
      <w:r>
        <w:rPr>
          <w:color w:val="231F20"/>
          <w:spacing w:val="-1"/>
        </w:rPr>
        <w:t> </w:t>
      </w:r>
      <w:r>
        <w:rPr>
          <w:color w:val="231F20"/>
        </w:rPr>
        <w:t>muy</w:t>
      </w:r>
      <w:r>
        <w:rPr>
          <w:color w:val="231F20"/>
          <w:spacing w:val="-1"/>
        </w:rPr>
        <w:t> </w:t>
      </w:r>
      <w:r>
        <w:rPr>
          <w:color w:val="231F20"/>
        </w:rPr>
        <w:t>pocos,</w:t>
      </w:r>
      <w:r>
        <w:rPr>
          <w:color w:val="231F20"/>
          <w:spacing w:val="-1"/>
        </w:rPr>
        <w:t> </w:t>
      </w:r>
      <w:r>
        <w:rPr>
          <w:color w:val="231F20"/>
        </w:rPr>
        <w:t>y</w:t>
      </w:r>
      <w:r>
        <w:rPr>
          <w:color w:val="231F20"/>
          <w:spacing w:val="-1"/>
        </w:rPr>
        <w:t> </w:t>
      </w:r>
      <w:r>
        <w:rPr>
          <w:color w:val="231F20"/>
        </w:rPr>
        <w:t>en</w:t>
      </w:r>
      <w:r>
        <w:rPr>
          <w:color w:val="231F20"/>
          <w:spacing w:val="-1"/>
        </w:rPr>
        <w:t> </w:t>
      </w:r>
      <w:r>
        <w:rPr>
          <w:color w:val="231F20"/>
        </w:rPr>
        <w:t>su</w:t>
      </w:r>
      <w:r>
        <w:rPr>
          <w:color w:val="231F20"/>
          <w:spacing w:val="-1"/>
        </w:rPr>
        <w:t> </w:t>
      </w:r>
      <w:r>
        <w:rPr>
          <w:color w:val="231F20"/>
        </w:rPr>
        <w:t>mayoría</w:t>
      </w:r>
      <w:r>
        <w:rPr>
          <w:color w:val="231F20"/>
          <w:spacing w:val="-1"/>
        </w:rPr>
        <w:t> </w:t>
      </w:r>
      <w:r>
        <w:rPr>
          <w:color w:val="231F20"/>
        </w:rPr>
        <w:t>son</w:t>
      </w:r>
      <w:r>
        <w:rPr>
          <w:color w:val="231F20"/>
          <w:spacing w:val="-1"/>
        </w:rPr>
        <w:t> </w:t>
      </w:r>
      <w:r>
        <w:rPr>
          <w:color w:val="231F20"/>
        </w:rPr>
        <w:t>ocurrencias</w:t>
      </w:r>
      <w:r>
        <w:rPr>
          <w:color w:val="231F20"/>
          <w:spacing w:val="-1"/>
        </w:rPr>
        <w:t> </w:t>
      </w:r>
      <w:r>
        <w:rPr>
          <w:color w:val="231F20"/>
        </w:rPr>
        <w:t>de géneros post-triásicos; una revisión bibliográfica</w:t>
      </w:r>
      <w:r>
        <w:rPr>
          <w:color w:val="231F20"/>
          <w:spacing w:val="80"/>
        </w:rPr>
        <w:t> </w:t>
      </w:r>
      <w:r>
        <w:rPr>
          <w:color w:val="231F20"/>
        </w:rPr>
        <w:t>indica</w:t>
      </w:r>
      <w:r>
        <w:rPr>
          <w:color w:val="231F20"/>
          <w:spacing w:val="-3"/>
        </w:rPr>
        <w:t> </w:t>
      </w:r>
      <w:r>
        <w:rPr>
          <w:color w:val="231F20"/>
        </w:rPr>
        <w:t>que</w:t>
      </w:r>
      <w:r>
        <w:rPr>
          <w:color w:val="231F20"/>
          <w:spacing w:val="-3"/>
        </w:rPr>
        <w:t> </w:t>
      </w:r>
      <w:r>
        <w:rPr>
          <w:color w:val="231F20"/>
        </w:rPr>
        <w:t>es</w:t>
      </w:r>
      <w:r>
        <w:rPr>
          <w:color w:val="231F20"/>
          <w:spacing w:val="-3"/>
        </w:rPr>
        <w:t> </w:t>
      </w:r>
      <w:r>
        <w:rPr>
          <w:color w:val="231F20"/>
        </w:rPr>
        <w:t>deficiente</w:t>
      </w:r>
      <w:r>
        <w:rPr>
          <w:color w:val="231F20"/>
          <w:spacing w:val="-3"/>
        </w:rPr>
        <w:t> </w:t>
      </w:r>
      <w:r>
        <w:rPr>
          <w:color w:val="231F20"/>
        </w:rPr>
        <w:t>la</w:t>
      </w:r>
      <w:r>
        <w:rPr>
          <w:color w:val="231F20"/>
          <w:spacing w:val="-3"/>
        </w:rPr>
        <w:t> </w:t>
      </w:r>
      <w:r>
        <w:rPr>
          <w:color w:val="231F20"/>
        </w:rPr>
        <w:t>atención</w:t>
      </w:r>
      <w:r>
        <w:rPr>
          <w:color w:val="231F20"/>
          <w:spacing w:val="-3"/>
        </w:rPr>
        <w:t> </w:t>
      </w:r>
      <w:r>
        <w:rPr>
          <w:color w:val="231F20"/>
        </w:rPr>
        <w:t>que</w:t>
      </w:r>
      <w:r>
        <w:rPr>
          <w:color w:val="231F20"/>
          <w:spacing w:val="-3"/>
        </w:rPr>
        <w:t> </w:t>
      </w:r>
      <w:r>
        <w:rPr>
          <w:color w:val="231F20"/>
        </w:rPr>
        <w:t>ha</w:t>
      </w:r>
      <w:r>
        <w:rPr>
          <w:color w:val="231F20"/>
          <w:spacing w:val="-3"/>
        </w:rPr>
        <w:t> </w:t>
      </w:r>
      <w:r>
        <w:rPr>
          <w:color w:val="231F20"/>
        </w:rPr>
        <w:t>recibido</w:t>
      </w:r>
      <w:r>
        <w:rPr>
          <w:color w:val="231F20"/>
          <w:spacing w:val="-3"/>
        </w:rPr>
        <w:t> </w:t>
      </w:r>
      <w:r>
        <w:rPr>
          <w:color w:val="231F20"/>
        </w:rPr>
        <w:t>este grupo. Se mencionan los estudios paleontológicos</w:t>
      </w:r>
      <w:r>
        <w:rPr>
          <w:color w:val="231F20"/>
          <w:spacing w:val="40"/>
        </w:rPr>
        <w:t> </w:t>
      </w:r>
      <w:r>
        <w:rPr>
          <w:color w:val="231F20"/>
        </w:rPr>
        <w:t>sobre</w:t>
      </w:r>
      <w:r>
        <w:rPr>
          <w:color w:val="231F20"/>
          <w:spacing w:val="-3"/>
        </w:rPr>
        <w:t> </w:t>
      </w:r>
      <w:r>
        <w:rPr>
          <w:color w:val="231F20"/>
        </w:rPr>
        <w:t>los</w:t>
      </w:r>
      <w:r>
        <w:rPr>
          <w:color w:val="231F20"/>
          <w:spacing w:val="-3"/>
        </w:rPr>
        <w:t> </w:t>
      </w:r>
      <w:r>
        <w:rPr>
          <w:color w:val="231F20"/>
        </w:rPr>
        <w:t>nautiloideos</w:t>
      </w:r>
      <w:r>
        <w:rPr>
          <w:color w:val="231F20"/>
          <w:spacing w:val="-3"/>
        </w:rPr>
        <w:t> </w:t>
      </w:r>
      <w:r>
        <w:rPr>
          <w:color w:val="231F20"/>
        </w:rPr>
        <w:t>sudamericanos.</w:t>
      </w:r>
      <w:r>
        <w:rPr>
          <w:color w:val="231F20"/>
          <w:spacing w:val="-3"/>
        </w:rPr>
        <w:t> </w:t>
      </w:r>
      <w:r>
        <w:rPr>
          <w:color w:val="231F20"/>
        </w:rPr>
        <w:t>En</w:t>
      </w:r>
      <w:r>
        <w:rPr>
          <w:color w:val="231F20"/>
          <w:spacing w:val="-3"/>
        </w:rPr>
        <w:t> </w:t>
      </w:r>
      <w:r>
        <w:rPr>
          <w:color w:val="231F20"/>
        </w:rPr>
        <w:t>Argentina,</w:t>
      </w:r>
      <w:r>
        <w:rPr>
          <w:color w:val="231F20"/>
          <w:spacing w:val="-3"/>
        </w:rPr>
        <w:t> </w:t>
      </w:r>
      <w:r>
        <w:rPr>
          <w:color w:val="231F20"/>
        </w:rPr>
        <w:t>en el trabajo de Cecioni (1953), se realiza una revisión y contribución al conocimiento de los nautiloideos paleozoicos,</w:t>
      </w:r>
      <w:r>
        <w:rPr>
          <w:color w:val="231F20"/>
          <w:spacing w:val="40"/>
        </w:rPr>
        <w:t> </w:t>
      </w:r>
      <w:r>
        <w:rPr>
          <w:color w:val="231F20"/>
        </w:rPr>
        <w:t>en</w:t>
      </w:r>
      <w:r>
        <w:rPr>
          <w:color w:val="231F20"/>
          <w:spacing w:val="40"/>
        </w:rPr>
        <w:t> </w:t>
      </w:r>
      <w:r>
        <w:rPr>
          <w:color w:val="231F20"/>
        </w:rPr>
        <w:t>los</w:t>
      </w:r>
      <w:r>
        <w:rPr>
          <w:color w:val="231F20"/>
          <w:spacing w:val="40"/>
        </w:rPr>
        <w:t> </w:t>
      </w:r>
      <w:r>
        <w:rPr>
          <w:color w:val="231F20"/>
        </w:rPr>
        <w:t>que</w:t>
      </w:r>
      <w:r>
        <w:rPr>
          <w:color w:val="231F20"/>
          <w:spacing w:val="40"/>
        </w:rPr>
        <w:t> </w:t>
      </w:r>
      <w:r>
        <w:rPr>
          <w:color w:val="231F20"/>
        </w:rPr>
        <w:t>incluye</w:t>
      </w:r>
      <w:r>
        <w:rPr>
          <w:color w:val="231F20"/>
          <w:spacing w:val="40"/>
        </w:rPr>
        <w:t> </w:t>
      </w:r>
      <w:r>
        <w:rPr>
          <w:color w:val="231F20"/>
        </w:rPr>
        <w:t>ejemplares</w:t>
      </w:r>
      <w:r>
        <w:rPr>
          <w:color w:val="231F20"/>
          <w:spacing w:val="40"/>
        </w:rPr>
        <w:t> </w:t>
      </w:r>
      <w:r>
        <w:rPr>
          <w:color w:val="231F20"/>
        </w:rPr>
        <w:t>de</w:t>
      </w:r>
      <w:r>
        <w:rPr>
          <w:color w:val="231F20"/>
          <w:spacing w:val="40"/>
        </w:rPr>
        <w:t> </w:t>
      </w:r>
      <w:r>
        <w:rPr>
          <w:color w:val="231F20"/>
        </w:rPr>
        <w:t>formas rectas de los géneros:</w:t>
      </w:r>
      <w:r>
        <w:rPr>
          <w:i/>
          <w:color w:val="231F20"/>
        </w:rPr>
        <w:t>Orthoceras,Lituites, </w:t>
      </w:r>
      <w:r>
        <w:rPr>
          <w:i/>
          <w:color w:val="231F20"/>
          <w:spacing w:val="-2"/>
        </w:rPr>
        <w:t>Endoceras,Dawsonoceras,Protocycloceras,Desioce- </w:t>
      </w:r>
      <w:r>
        <w:rPr>
          <w:i/>
          <w:color w:val="231F20"/>
        </w:rPr>
        <w:t>ras,Cyclostomiceras y Paracyclostomiceras</w:t>
      </w:r>
      <w:r>
        <w:rPr>
          <w:color w:val="231F20"/>
        </w:rPr>
        <w:t>; además, en</w:t>
      </w:r>
      <w:r>
        <w:rPr>
          <w:color w:val="231F20"/>
          <w:spacing w:val="64"/>
        </w:rPr>
        <w:t> </w:t>
      </w:r>
      <w:r>
        <w:rPr>
          <w:color w:val="231F20"/>
        </w:rPr>
        <w:t>la</w:t>
      </w:r>
      <w:r>
        <w:rPr>
          <w:color w:val="231F20"/>
          <w:spacing w:val="8"/>
        </w:rPr>
        <w:t> </w:t>
      </w:r>
      <w:r>
        <w:rPr>
          <w:color w:val="231F20"/>
        </w:rPr>
        <w:t>cuenca</w:t>
      </w:r>
      <w:r>
        <w:rPr>
          <w:color w:val="231F20"/>
          <w:spacing w:val="7"/>
        </w:rPr>
        <w:t> </w:t>
      </w:r>
      <w:r>
        <w:rPr>
          <w:color w:val="231F20"/>
        </w:rPr>
        <w:t>Neuquina,</w:t>
      </w:r>
      <w:r>
        <w:rPr>
          <w:color w:val="231F20"/>
          <w:spacing w:val="8"/>
        </w:rPr>
        <w:t> </w:t>
      </w:r>
      <w:r>
        <w:rPr>
          <w:color w:val="231F20"/>
        </w:rPr>
        <w:t>Parent</w:t>
      </w:r>
      <w:r>
        <w:rPr>
          <w:color w:val="231F20"/>
          <w:spacing w:val="7"/>
        </w:rPr>
        <w:t> </w:t>
      </w:r>
      <w:r>
        <w:rPr>
          <w:color w:val="231F20"/>
        </w:rPr>
        <w:t>&amp;</w:t>
      </w:r>
      <w:r>
        <w:rPr>
          <w:color w:val="231F20"/>
          <w:spacing w:val="8"/>
        </w:rPr>
        <w:t> </w:t>
      </w:r>
      <w:r>
        <w:rPr>
          <w:color w:val="231F20"/>
        </w:rPr>
        <w:t>Garrido</w:t>
      </w:r>
      <w:r>
        <w:rPr>
          <w:color w:val="231F20"/>
          <w:spacing w:val="7"/>
        </w:rPr>
        <w:t> </w:t>
      </w:r>
      <w:r>
        <w:rPr>
          <w:color w:val="231F20"/>
        </w:rPr>
        <w:t>(2015),</w:t>
      </w:r>
      <w:r>
        <w:rPr>
          <w:color w:val="231F20"/>
          <w:spacing w:val="8"/>
        </w:rPr>
        <w:t> </w:t>
      </w:r>
      <w:r>
        <w:rPr>
          <w:color w:val="231F20"/>
          <w:spacing w:val="-4"/>
        </w:rPr>
        <w:t>des-</w:t>
      </w:r>
    </w:p>
    <w:p>
      <w:pPr>
        <w:pStyle w:val="BodyText"/>
        <w:spacing w:after="0" w:line="256" w:lineRule="auto"/>
        <w:jc w:val="both"/>
        <w:sectPr>
          <w:type w:val="continuous"/>
          <w:pgSz w:w="12260" w:h="15560"/>
          <w:pgMar w:header="0" w:footer="336" w:top="240" w:bottom="520" w:left="1275" w:right="708"/>
          <w:cols w:num="2" w:equalWidth="0">
            <w:col w:w="4653" w:space="222"/>
            <w:col w:w="5402"/>
          </w:cols>
        </w:sectPr>
      </w:pPr>
    </w:p>
    <w:p>
      <w:pPr>
        <w:pStyle w:val="BodyText"/>
      </w:pPr>
    </w:p>
    <w:p>
      <w:pPr>
        <w:pStyle w:val="BodyText"/>
        <w:spacing w:before="71"/>
      </w:pPr>
    </w:p>
    <w:p>
      <w:pPr>
        <w:pStyle w:val="BodyText"/>
        <w:spacing w:after="0"/>
        <w:sectPr>
          <w:headerReference w:type="even" r:id="rId12"/>
          <w:headerReference w:type="default" r:id="rId13"/>
          <w:footerReference w:type="even" r:id="rId14"/>
          <w:footerReference w:type="default" r:id="rId15"/>
          <w:pgSz w:w="12260" w:h="15560"/>
          <w:pgMar w:header="373" w:footer="336" w:top="560" w:bottom="520" w:left="1275" w:right="708"/>
          <w:pgNumType w:start="44"/>
        </w:sectPr>
      </w:pPr>
    </w:p>
    <w:p>
      <w:pPr>
        <w:pStyle w:val="BodyText"/>
        <w:spacing w:line="249" w:lineRule="auto" w:before="95"/>
        <w:ind w:left="219" w:right="38"/>
        <w:jc w:val="both"/>
      </w:pPr>
      <w:r>
        <w:rPr>
          <w:color w:val="231F20"/>
        </w:rPr>
        <w:t>criben</w:t>
      </w:r>
      <w:r>
        <w:rPr>
          <w:color w:val="231F20"/>
          <w:spacing w:val="-7"/>
        </w:rPr>
        <w:t> </w:t>
      </w:r>
      <w:r>
        <w:rPr>
          <w:color w:val="231F20"/>
        </w:rPr>
        <w:t>ejemplares</w:t>
      </w:r>
      <w:r>
        <w:rPr>
          <w:color w:val="231F20"/>
          <w:spacing w:val="-7"/>
        </w:rPr>
        <w:t> </w:t>
      </w:r>
      <w:r>
        <w:rPr>
          <w:color w:val="231F20"/>
        </w:rPr>
        <w:t>del</w:t>
      </w:r>
      <w:r>
        <w:rPr>
          <w:color w:val="231F20"/>
          <w:spacing w:val="-7"/>
        </w:rPr>
        <w:t> </w:t>
      </w:r>
      <w:r>
        <w:rPr>
          <w:color w:val="231F20"/>
        </w:rPr>
        <w:t>género</w:t>
      </w:r>
      <w:r>
        <w:rPr>
          <w:color w:val="231F20"/>
          <w:spacing w:val="-6"/>
        </w:rPr>
        <w:t> </w:t>
      </w:r>
      <w:r>
        <w:rPr>
          <w:i/>
          <w:color w:val="231F20"/>
        </w:rPr>
        <w:t>Cenoceras</w:t>
      </w:r>
      <w:r>
        <w:rPr>
          <w:i/>
          <w:color w:val="231F20"/>
          <w:spacing w:val="-7"/>
        </w:rPr>
        <w:t> </w:t>
      </w:r>
      <w:r>
        <w:rPr>
          <w:i/>
          <w:color w:val="231F20"/>
        </w:rPr>
        <w:t>sp.</w:t>
      </w:r>
      <w:r>
        <w:rPr>
          <w:i/>
          <w:color w:val="231F20"/>
          <w:spacing w:val="-6"/>
        </w:rPr>
        <w:t> </w:t>
      </w:r>
      <w:r>
        <w:rPr>
          <w:color w:val="231F20"/>
        </w:rPr>
        <w:t>del</w:t>
      </w:r>
      <w:r>
        <w:rPr>
          <w:color w:val="231F20"/>
          <w:spacing w:val="-7"/>
        </w:rPr>
        <w:t> </w:t>
      </w:r>
      <w:r>
        <w:rPr>
          <w:color w:val="231F20"/>
        </w:rPr>
        <w:t>Jurásico Medio (Calloviano). Así mismo en esta provincia, Ci- chowolski (2003), hace una revisión sistemática, pero para el Cretácico inferior (Valanginiano), y determina</w:t>
      </w:r>
      <w:r>
        <w:rPr>
          <w:color w:val="231F20"/>
          <w:spacing w:val="40"/>
        </w:rPr>
        <w:t> </w:t>
      </w:r>
      <w:r>
        <w:rPr>
          <w:color w:val="231F20"/>
        </w:rPr>
        <w:t>el</w:t>
      </w:r>
      <w:r>
        <w:rPr>
          <w:color w:val="231F20"/>
          <w:spacing w:val="-6"/>
        </w:rPr>
        <w:t> </w:t>
      </w:r>
      <w:r>
        <w:rPr>
          <w:color w:val="231F20"/>
        </w:rPr>
        <w:t>género</w:t>
      </w:r>
      <w:r>
        <w:rPr>
          <w:color w:val="231F20"/>
          <w:spacing w:val="-6"/>
        </w:rPr>
        <w:t> </w:t>
      </w:r>
      <w:r>
        <w:rPr>
          <w:i/>
          <w:color w:val="231F20"/>
        </w:rPr>
        <w:t>Cymatoceras</w:t>
      </w:r>
      <w:r>
        <w:rPr>
          <w:color w:val="231F20"/>
        </w:rPr>
        <w:t>,</w:t>
      </w:r>
      <w:r>
        <w:rPr>
          <w:color w:val="231F20"/>
          <w:spacing w:val="-6"/>
        </w:rPr>
        <w:t> </w:t>
      </w:r>
      <w:r>
        <w:rPr>
          <w:color w:val="231F20"/>
        </w:rPr>
        <w:t>que</w:t>
      </w:r>
      <w:r>
        <w:rPr>
          <w:color w:val="231F20"/>
          <w:spacing w:val="-6"/>
        </w:rPr>
        <w:t> </w:t>
      </w:r>
      <w:r>
        <w:rPr>
          <w:color w:val="231F20"/>
        </w:rPr>
        <w:t>también</w:t>
      </w:r>
      <w:r>
        <w:rPr>
          <w:color w:val="231F20"/>
          <w:spacing w:val="-6"/>
        </w:rPr>
        <w:t> </w:t>
      </w:r>
      <w:r>
        <w:rPr>
          <w:color w:val="231F20"/>
        </w:rPr>
        <w:t>Cichowolski</w:t>
      </w:r>
      <w:r>
        <w:rPr>
          <w:color w:val="231F20"/>
          <w:spacing w:val="-6"/>
        </w:rPr>
        <w:t> </w:t>
      </w:r>
      <w:r>
        <w:rPr>
          <w:color w:val="231F20"/>
        </w:rPr>
        <w:t>et.al., (2003), reportan para la cuenca de Atacama en Chile y para el Cretácico Superior chileno (Maastrichtiano), el reporte de </w:t>
      </w:r>
      <w:r>
        <w:rPr>
          <w:i/>
          <w:color w:val="231F20"/>
        </w:rPr>
        <w:t>Nautilus subplicatus </w:t>
      </w:r>
      <w:r>
        <w:rPr>
          <w:color w:val="231F20"/>
        </w:rPr>
        <w:t>por Wilckens (1904), ó </w:t>
      </w:r>
      <w:r>
        <w:rPr>
          <w:i/>
          <w:color w:val="231F20"/>
        </w:rPr>
        <w:t>Eutrephoceras subplicatum </w:t>
      </w:r>
      <w:r>
        <w:rPr>
          <w:color w:val="231F20"/>
        </w:rPr>
        <w:t>(Nielsen &amp; Salazar,2011); este género </w:t>
      </w:r>
      <w:r>
        <w:rPr>
          <w:i/>
          <w:color w:val="231F20"/>
        </w:rPr>
        <w:t>Eutrephoceras </w:t>
      </w:r>
      <w:r>
        <w:rPr>
          <w:color w:val="231F20"/>
        </w:rPr>
        <w:t>según Zambrano &amp; Nielsen (2012),</w:t>
      </w:r>
      <w:r>
        <w:rPr>
          <w:color w:val="231F20"/>
          <w:spacing w:val="-13"/>
        </w:rPr>
        <w:t> </w:t>
      </w:r>
      <w:r>
        <w:rPr>
          <w:color w:val="231F20"/>
        </w:rPr>
        <w:t>también</w:t>
      </w:r>
      <w:r>
        <w:rPr>
          <w:color w:val="231F20"/>
          <w:spacing w:val="-12"/>
        </w:rPr>
        <w:t> </w:t>
      </w:r>
      <w:r>
        <w:rPr>
          <w:color w:val="231F20"/>
        </w:rPr>
        <w:t>aparece</w:t>
      </w:r>
      <w:r>
        <w:rPr>
          <w:color w:val="231F20"/>
          <w:spacing w:val="-13"/>
        </w:rPr>
        <w:t> </w:t>
      </w:r>
      <w:r>
        <w:rPr>
          <w:color w:val="231F20"/>
        </w:rPr>
        <w:t>para</w:t>
      </w:r>
      <w:r>
        <w:rPr>
          <w:color w:val="231F20"/>
          <w:spacing w:val="-12"/>
        </w:rPr>
        <w:t> </w:t>
      </w:r>
      <w:r>
        <w:rPr>
          <w:color w:val="231F20"/>
        </w:rPr>
        <w:t>el</w:t>
      </w:r>
      <w:r>
        <w:rPr>
          <w:color w:val="231F20"/>
          <w:spacing w:val="-13"/>
        </w:rPr>
        <w:t> </w:t>
      </w:r>
      <w:r>
        <w:rPr>
          <w:color w:val="231F20"/>
        </w:rPr>
        <w:t>Paleógeno</w:t>
      </w:r>
      <w:r>
        <w:rPr>
          <w:color w:val="231F20"/>
          <w:spacing w:val="-12"/>
        </w:rPr>
        <w:t> </w:t>
      </w:r>
      <w:r>
        <w:rPr>
          <w:color w:val="231F20"/>
        </w:rPr>
        <w:t>(Eoceno-Oli- goceno) de Tierra del Fuego.</w:t>
      </w:r>
    </w:p>
    <w:p>
      <w:pPr>
        <w:pStyle w:val="BodyText"/>
        <w:spacing w:line="249" w:lineRule="auto" w:before="182"/>
        <w:ind w:left="219" w:right="39"/>
        <w:jc w:val="both"/>
      </w:pPr>
      <w:r>
        <w:rPr>
          <w:color w:val="231F20"/>
        </w:rPr>
        <w:t>El género </w:t>
      </w:r>
      <w:r>
        <w:rPr>
          <w:i/>
          <w:color w:val="231F20"/>
        </w:rPr>
        <w:t>Aturia </w:t>
      </w:r>
      <w:r>
        <w:rPr>
          <w:color w:val="231F20"/>
        </w:rPr>
        <w:t>es el que mayor distribución tiene en América del Sur, Nielsen et al. (2009,) indican que la ocurrencia</w:t>
      </w:r>
      <w:r>
        <w:rPr>
          <w:color w:val="231F20"/>
          <w:spacing w:val="40"/>
        </w:rPr>
        <w:t> </w:t>
      </w:r>
      <w:r>
        <w:rPr>
          <w:color w:val="231F20"/>
        </w:rPr>
        <w:t>de</w:t>
      </w:r>
      <w:r>
        <w:rPr>
          <w:color w:val="231F20"/>
          <w:spacing w:val="40"/>
        </w:rPr>
        <w:t> </w:t>
      </w:r>
      <w:r>
        <w:rPr>
          <w:color w:val="231F20"/>
        </w:rPr>
        <w:t>la</w:t>
      </w:r>
      <w:r>
        <w:rPr>
          <w:color w:val="231F20"/>
          <w:spacing w:val="40"/>
        </w:rPr>
        <w:t> </w:t>
      </w:r>
      <w:r>
        <w:rPr>
          <w:color w:val="231F20"/>
        </w:rPr>
        <w:t>especie</w:t>
      </w:r>
      <w:r>
        <w:rPr>
          <w:color w:val="231F20"/>
          <w:spacing w:val="40"/>
        </w:rPr>
        <w:t> </w:t>
      </w:r>
      <w:r>
        <w:rPr>
          <w:i/>
          <w:color w:val="231F20"/>
        </w:rPr>
        <w:t>Aturia</w:t>
      </w:r>
      <w:r>
        <w:rPr>
          <w:i/>
          <w:color w:val="231F20"/>
          <w:spacing w:val="40"/>
        </w:rPr>
        <w:t> </w:t>
      </w:r>
      <w:r>
        <w:rPr>
          <w:i/>
          <w:color w:val="231F20"/>
        </w:rPr>
        <w:t>cubaensis</w:t>
      </w:r>
      <w:r>
        <w:rPr>
          <w:color w:val="231F20"/>
        </w:rPr>
        <w:t>,</w:t>
      </w:r>
      <w:r>
        <w:rPr>
          <w:color w:val="231F20"/>
          <w:spacing w:val="40"/>
        </w:rPr>
        <w:t> </w:t>
      </w:r>
      <w:r>
        <w:rPr>
          <w:color w:val="231F20"/>
        </w:rPr>
        <w:t>incluyen el Oligoceno de Argentina, y numerosas localidades</w:t>
      </w:r>
      <w:r>
        <w:rPr>
          <w:color w:val="231F20"/>
          <w:spacing w:val="80"/>
        </w:rPr>
        <w:t> </w:t>
      </w:r>
      <w:r>
        <w:rPr>
          <w:color w:val="231F20"/>
        </w:rPr>
        <w:t>del Mioceno de la parte central y meridional de Chile, como también, se reporta en localidades del Eoceno de Chile, Perú y Venezuela. Miller &amp; Thompson (1937), listan representantes de este género para las provincias anteriormente mencionadas, incluso para Panamá y el Eoceno del Norte de Colombia, y además de </w:t>
      </w:r>
      <w:r>
        <w:rPr>
          <w:i/>
          <w:color w:val="231F20"/>
        </w:rPr>
        <w:t>Aturia </w:t>
      </w:r>
      <w:r>
        <w:rPr>
          <w:color w:val="231F20"/>
        </w:rPr>
        <w:t>refieren el género </w:t>
      </w:r>
      <w:r>
        <w:rPr>
          <w:i/>
          <w:color w:val="231F20"/>
        </w:rPr>
        <w:t>Hercoglossa </w:t>
      </w:r>
      <w:r>
        <w:rPr>
          <w:color w:val="231F20"/>
        </w:rPr>
        <w:t>en Trinidad y en el Eoceno de Perú.</w:t>
      </w:r>
    </w:p>
    <w:p>
      <w:pPr>
        <w:pStyle w:val="BodyText"/>
        <w:spacing w:line="249" w:lineRule="auto" w:before="183"/>
        <w:ind w:left="219" w:right="38"/>
        <w:jc w:val="both"/>
      </w:pPr>
      <w:r>
        <w:rPr>
          <w:color w:val="231F20"/>
        </w:rPr>
        <w:t>Para</w:t>
      </w:r>
      <w:r>
        <w:rPr>
          <w:color w:val="231F20"/>
          <w:spacing w:val="-6"/>
        </w:rPr>
        <w:t> </w:t>
      </w:r>
      <w:r>
        <w:rPr>
          <w:color w:val="231F20"/>
        </w:rPr>
        <w:t>el</w:t>
      </w:r>
      <w:r>
        <w:rPr>
          <w:color w:val="231F20"/>
          <w:spacing w:val="-6"/>
        </w:rPr>
        <w:t> </w:t>
      </w:r>
      <w:r>
        <w:rPr>
          <w:color w:val="231F20"/>
        </w:rPr>
        <w:t>caso</w:t>
      </w:r>
      <w:r>
        <w:rPr>
          <w:color w:val="231F20"/>
          <w:spacing w:val="-6"/>
        </w:rPr>
        <w:t> </w:t>
      </w:r>
      <w:r>
        <w:rPr>
          <w:color w:val="231F20"/>
        </w:rPr>
        <w:t>particular</w:t>
      </w:r>
      <w:r>
        <w:rPr>
          <w:color w:val="231F20"/>
          <w:spacing w:val="-6"/>
        </w:rPr>
        <w:t> </w:t>
      </w:r>
      <w:r>
        <w:rPr>
          <w:color w:val="231F20"/>
        </w:rPr>
        <w:t>del</w:t>
      </w:r>
      <w:r>
        <w:rPr>
          <w:color w:val="231F20"/>
          <w:spacing w:val="-6"/>
        </w:rPr>
        <w:t> </w:t>
      </w:r>
      <w:r>
        <w:rPr>
          <w:color w:val="231F20"/>
        </w:rPr>
        <w:t>registro</w:t>
      </w:r>
      <w:r>
        <w:rPr>
          <w:color w:val="231F20"/>
          <w:spacing w:val="-6"/>
        </w:rPr>
        <w:t> </w:t>
      </w:r>
      <w:r>
        <w:rPr>
          <w:color w:val="231F20"/>
        </w:rPr>
        <w:t>fósil</w:t>
      </w:r>
      <w:r>
        <w:rPr>
          <w:color w:val="231F20"/>
          <w:spacing w:val="-6"/>
        </w:rPr>
        <w:t> </w:t>
      </w:r>
      <w:r>
        <w:rPr>
          <w:color w:val="231F20"/>
        </w:rPr>
        <w:t>de</w:t>
      </w:r>
      <w:r>
        <w:rPr>
          <w:color w:val="231F20"/>
          <w:spacing w:val="-6"/>
        </w:rPr>
        <w:t> </w:t>
      </w:r>
      <w:r>
        <w:rPr>
          <w:color w:val="231F20"/>
        </w:rPr>
        <w:t>los</w:t>
      </w:r>
      <w:r>
        <w:rPr>
          <w:color w:val="231F20"/>
          <w:spacing w:val="-6"/>
        </w:rPr>
        <w:t> </w:t>
      </w:r>
      <w:r>
        <w:rPr>
          <w:color w:val="231F20"/>
        </w:rPr>
        <w:t>diferentes géneros</w:t>
      </w:r>
      <w:r>
        <w:rPr>
          <w:color w:val="231F20"/>
          <w:spacing w:val="-13"/>
        </w:rPr>
        <w:t> </w:t>
      </w:r>
      <w:r>
        <w:rPr>
          <w:color w:val="231F20"/>
        </w:rPr>
        <w:t>de</w:t>
      </w:r>
      <w:r>
        <w:rPr>
          <w:color w:val="231F20"/>
          <w:spacing w:val="-12"/>
        </w:rPr>
        <w:t> </w:t>
      </w:r>
      <w:r>
        <w:rPr>
          <w:color w:val="231F20"/>
        </w:rPr>
        <w:t>nautiloideos</w:t>
      </w:r>
      <w:r>
        <w:rPr>
          <w:color w:val="231F20"/>
          <w:spacing w:val="-13"/>
        </w:rPr>
        <w:t> </w:t>
      </w:r>
      <w:r>
        <w:rPr>
          <w:color w:val="231F20"/>
        </w:rPr>
        <w:t>colombianos</w:t>
      </w:r>
      <w:r>
        <w:rPr>
          <w:color w:val="231F20"/>
          <w:spacing w:val="-12"/>
        </w:rPr>
        <w:t> </w:t>
      </w:r>
      <w:r>
        <w:rPr>
          <w:color w:val="231F20"/>
        </w:rPr>
        <w:t>la</w:t>
      </w:r>
      <w:r>
        <w:rPr>
          <w:color w:val="231F20"/>
          <w:spacing w:val="-13"/>
        </w:rPr>
        <w:t> </w:t>
      </w:r>
      <w:r>
        <w:rPr>
          <w:color w:val="231F20"/>
        </w:rPr>
        <w:t>edad</w:t>
      </w:r>
      <w:r>
        <w:rPr>
          <w:color w:val="231F20"/>
          <w:spacing w:val="-12"/>
        </w:rPr>
        <w:t> </w:t>
      </w:r>
      <w:r>
        <w:rPr>
          <w:color w:val="231F20"/>
        </w:rPr>
        <w:t>comprende igualmente desde el Paleozoico. El reporte más antiguo encontrado es de edad Ordovícica en Trumpy (1943) y corresponde a restos de un ejemplar de </w:t>
      </w:r>
      <w:r>
        <w:rPr>
          <w:i/>
          <w:color w:val="231F20"/>
        </w:rPr>
        <w:t>Orthoceras </w:t>
      </w:r>
      <w:r>
        <w:rPr>
          <w:color w:val="231F20"/>
        </w:rPr>
        <w:t>en La Serranía de la Macarena. También, en el Devónico de</w:t>
      </w:r>
      <w:r>
        <w:rPr>
          <w:color w:val="231F20"/>
          <w:spacing w:val="-13"/>
        </w:rPr>
        <w:t> </w:t>
      </w:r>
      <w:r>
        <w:rPr>
          <w:color w:val="231F20"/>
        </w:rPr>
        <w:t>Floresta,</w:t>
      </w:r>
      <w:r>
        <w:rPr>
          <w:color w:val="231F20"/>
          <w:spacing w:val="-12"/>
        </w:rPr>
        <w:t> </w:t>
      </w:r>
      <w:r>
        <w:rPr>
          <w:color w:val="231F20"/>
        </w:rPr>
        <w:t>Morales</w:t>
      </w:r>
      <w:r>
        <w:rPr>
          <w:color w:val="231F20"/>
          <w:spacing w:val="-13"/>
        </w:rPr>
        <w:t> </w:t>
      </w:r>
      <w:r>
        <w:rPr>
          <w:color w:val="231F20"/>
        </w:rPr>
        <w:t>(1965)</w:t>
      </w:r>
      <w:r>
        <w:rPr>
          <w:color w:val="231F20"/>
          <w:spacing w:val="-12"/>
        </w:rPr>
        <w:t> </w:t>
      </w:r>
      <w:r>
        <w:rPr>
          <w:color w:val="231F20"/>
        </w:rPr>
        <w:t>reporta</w:t>
      </w:r>
      <w:r>
        <w:rPr>
          <w:color w:val="231F20"/>
          <w:spacing w:val="-13"/>
        </w:rPr>
        <w:t> </w:t>
      </w:r>
      <w:r>
        <w:rPr>
          <w:color w:val="231F20"/>
        </w:rPr>
        <w:t>nautiloideos</w:t>
      </w:r>
      <w:r>
        <w:rPr>
          <w:color w:val="231F20"/>
          <w:spacing w:val="-12"/>
        </w:rPr>
        <w:t> </w:t>
      </w:r>
      <w:r>
        <w:rPr>
          <w:color w:val="231F20"/>
        </w:rPr>
        <w:t>de</w:t>
      </w:r>
      <w:r>
        <w:rPr>
          <w:color w:val="231F20"/>
          <w:spacing w:val="-13"/>
        </w:rPr>
        <w:t> </w:t>
      </w:r>
      <w:r>
        <w:rPr>
          <w:color w:val="231F20"/>
        </w:rPr>
        <w:t>estas </w:t>
      </w:r>
      <w:r>
        <w:rPr>
          <w:color w:val="231F20"/>
          <w:spacing w:val="-2"/>
        </w:rPr>
        <w:t>formas</w:t>
      </w:r>
      <w:r>
        <w:rPr>
          <w:color w:val="231F20"/>
          <w:spacing w:val="-5"/>
        </w:rPr>
        <w:t> </w:t>
      </w:r>
      <w:r>
        <w:rPr>
          <w:color w:val="231F20"/>
          <w:spacing w:val="-2"/>
        </w:rPr>
        <w:t>ortocónicas.</w:t>
      </w:r>
      <w:r>
        <w:rPr>
          <w:color w:val="231F20"/>
          <w:spacing w:val="-5"/>
        </w:rPr>
        <w:t> </w:t>
      </w:r>
      <w:r>
        <w:rPr>
          <w:color w:val="231F20"/>
          <w:spacing w:val="-2"/>
        </w:rPr>
        <w:t>Miller</w:t>
      </w:r>
      <w:r>
        <w:rPr>
          <w:color w:val="231F20"/>
          <w:spacing w:val="-5"/>
        </w:rPr>
        <w:t> </w:t>
      </w:r>
      <w:r>
        <w:rPr>
          <w:color w:val="231F20"/>
          <w:spacing w:val="-2"/>
        </w:rPr>
        <w:t>&amp;</w:t>
      </w:r>
      <w:r>
        <w:rPr>
          <w:color w:val="231F20"/>
          <w:spacing w:val="-5"/>
        </w:rPr>
        <w:t> </w:t>
      </w:r>
      <w:r>
        <w:rPr>
          <w:color w:val="231F20"/>
          <w:spacing w:val="-2"/>
        </w:rPr>
        <w:t>Williams</w:t>
      </w:r>
      <w:r>
        <w:rPr>
          <w:color w:val="231F20"/>
          <w:spacing w:val="-5"/>
        </w:rPr>
        <w:t> </w:t>
      </w:r>
      <w:r>
        <w:rPr>
          <w:color w:val="231F20"/>
          <w:spacing w:val="-2"/>
        </w:rPr>
        <w:t>(1945),</w:t>
      </w:r>
      <w:r>
        <w:rPr>
          <w:color w:val="231F20"/>
          <w:spacing w:val="-5"/>
        </w:rPr>
        <w:t> </w:t>
      </w:r>
      <w:r>
        <w:rPr>
          <w:color w:val="231F20"/>
          <w:spacing w:val="-2"/>
        </w:rPr>
        <w:t>describen </w:t>
      </w:r>
      <w:r>
        <w:rPr>
          <w:color w:val="231F20"/>
        </w:rPr>
        <w:t>un fragmento de un espécimen Pérmico de </w:t>
      </w:r>
      <w:r>
        <w:rPr>
          <w:i/>
          <w:color w:val="231F20"/>
        </w:rPr>
        <w:t>Titanoceras </w:t>
      </w:r>
      <w:r>
        <w:rPr>
          <w:color w:val="231F20"/>
        </w:rPr>
        <w:t>de la localidad de Manaure, cerca de esta misma región en el Norte de Colombia. Thompson &amp; Miller (1949), </w:t>
      </w:r>
      <w:r>
        <w:rPr>
          <w:color w:val="231F20"/>
          <w:spacing w:val="-2"/>
        </w:rPr>
        <w:t>mencionan representantes de tres géneros: </w:t>
      </w:r>
      <w:r>
        <w:rPr>
          <w:i/>
          <w:color w:val="231F20"/>
          <w:spacing w:val="-2"/>
        </w:rPr>
        <w:t>Mooreoceras, </w:t>
      </w:r>
      <w:r>
        <w:rPr>
          <w:i/>
          <w:color w:val="231F20"/>
        </w:rPr>
        <w:t>Pseudometacoceras? y Domatoceras</w:t>
      </w:r>
      <w:r>
        <w:rPr>
          <w:color w:val="231F20"/>
        </w:rPr>
        <w:t>, los cuales tienen un</w:t>
      </w:r>
      <w:r>
        <w:rPr>
          <w:color w:val="231F20"/>
          <w:spacing w:val="-12"/>
        </w:rPr>
        <w:t> </w:t>
      </w:r>
      <w:r>
        <w:rPr>
          <w:color w:val="231F20"/>
        </w:rPr>
        <w:t>rango</w:t>
      </w:r>
      <w:r>
        <w:rPr>
          <w:color w:val="231F20"/>
          <w:spacing w:val="-12"/>
        </w:rPr>
        <w:t> </w:t>
      </w:r>
      <w:r>
        <w:rPr>
          <w:color w:val="231F20"/>
        </w:rPr>
        <w:t>en</w:t>
      </w:r>
      <w:r>
        <w:rPr>
          <w:color w:val="231F20"/>
          <w:spacing w:val="-12"/>
        </w:rPr>
        <w:t> </w:t>
      </w:r>
      <w:r>
        <w:rPr>
          <w:color w:val="231F20"/>
        </w:rPr>
        <w:t>el</w:t>
      </w:r>
      <w:r>
        <w:rPr>
          <w:color w:val="231F20"/>
          <w:spacing w:val="-12"/>
        </w:rPr>
        <w:t> </w:t>
      </w:r>
      <w:r>
        <w:rPr>
          <w:color w:val="231F20"/>
        </w:rPr>
        <w:t>Paleozoico</w:t>
      </w:r>
      <w:r>
        <w:rPr>
          <w:color w:val="231F20"/>
          <w:spacing w:val="-12"/>
        </w:rPr>
        <w:t> </w:t>
      </w:r>
      <w:r>
        <w:rPr>
          <w:color w:val="231F20"/>
        </w:rPr>
        <w:t>tardío,</w:t>
      </w:r>
      <w:r>
        <w:rPr>
          <w:color w:val="231F20"/>
          <w:spacing w:val="-12"/>
        </w:rPr>
        <w:t> </w:t>
      </w:r>
      <w:r>
        <w:rPr>
          <w:color w:val="231F20"/>
        </w:rPr>
        <w:t>probablemente</w:t>
      </w:r>
      <w:r>
        <w:rPr>
          <w:color w:val="231F20"/>
          <w:spacing w:val="-12"/>
        </w:rPr>
        <w:t> </w:t>
      </w:r>
      <w:r>
        <w:rPr>
          <w:color w:val="231F20"/>
        </w:rPr>
        <w:t>de</w:t>
      </w:r>
      <w:r>
        <w:rPr>
          <w:color w:val="231F20"/>
          <w:spacing w:val="-12"/>
        </w:rPr>
        <w:t> </w:t>
      </w:r>
      <w:r>
        <w:rPr>
          <w:color w:val="231F20"/>
        </w:rPr>
        <w:t>edad Pérmica.</w:t>
      </w:r>
      <w:r>
        <w:rPr>
          <w:color w:val="231F20"/>
          <w:spacing w:val="-13"/>
        </w:rPr>
        <w:t> </w:t>
      </w:r>
      <w:r>
        <w:rPr>
          <w:color w:val="231F20"/>
        </w:rPr>
        <w:t>Al</w:t>
      </w:r>
      <w:r>
        <w:rPr>
          <w:color w:val="231F20"/>
          <w:spacing w:val="-12"/>
        </w:rPr>
        <w:t> </w:t>
      </w:r>
      <w:r>
        <w:rPr>
          <w:color w:val="231F20"/>
        </w:rPr>
        <w:t>igual</w:t>
      </w:r>
      <w:r>
        <w:rPr>
          <w:color w:val="231F20"/>
          <w:spacing w:val="-13"/>
        </w:rPr>
        <w:t> </w:t>
      </w:r>
      <w:r>
        <w:rPr>
          <w:color w:val="231F20"/>
        </w:rPr>
        <w:t>que</w:t>
      </w:r>
      <w:r>
        <w:rPr>
          <w:color w:val="231F20"/>
          <w:spacing w:val="-12"/>
        </w:rPr>
        <w:t> </w:t>
      </w:r>
      <w:r>
        <w:rPr>
          <w:color w:val="231F20"/>
        </w:rPr>
        <w:t>los</w:t>
      </w:r>
      <w:r>
        <w:rPr>
          <w:color w:val="231F20"/>
          <w:spacing w:val="-13"/>
        </w:rPr>
        <w:t> </w:t>
      </w:r>
      <w:r>
        <w:rPr>
          <w:color w:val="231F20"/>
        </w:rPr>
        <w:t>únicos</w:t>
      </w:r>
      <w:r>
        <w:rPr>
          <w:color w:val="231F20"/>
          <w:spacing w:val="-12"/>
        </w:rPr>
        <w:t> </w:t>
      </w:r>
      <w:r>
        <w:rPr>
          <w:color w:val="231F20"/>
        </w:rPr>
        <w:t>reportes</w:t>
      </w:r>
      <w:r>
        <w:rPr>
          <w:color w:val="231F20"/>
          <w:spacing w:val="-13"/>
        </w:rPr>
        <w:t> </w:t>
      </w:r>
      <w:r>
        <w:rPr>
          <w:color w:val="231F20"/>
        </w:rPr>
        <w:t>de</w:t>
      </w:r>
      <w:r>
        <w:rPr>
          <w:color w:val="231F20"/>
          <w:spacing w:val="-12"/>
        </w:rPr>
        <w:t> </w:t>
      </w:r>
      <w:r>
        <w:rPr>
          <w:color w:val="231F20"/>
        </w:rPr>
        <w:t>nautiloideos </w:t>
      </w:r>
      <w:r>
        <w:rPr>
          <w:color w:val="231F20"/>
          <w:spacing w:val="-4"/>
        </w:rPr>
        <w:t>Pérmicos</w:t>
      </w:r>
      <w:r>
        <w:rPr>
          <w:color w:val="231F20"/>
          <w:spacing w:val="-9"/>
        </w:rPr>
        <w:t> </w:t>
      </w:r>
      <w:r>
        <w:rPr>
          <w:color w:val="231F20"/>
          <w:spacing w:val="-4"/>
        </w:rPr>
        <w:t>en</w:t>
      </w:r>
      <w:r>
        <w:rPr>
          <w:color w:val="231F20"/>
          <w:spacing w:val="-8"/>
        </w:rPr>
        <w:t> </w:t>
      </w:r>
      <w:r>
        <w:rPr>
          <w:color w:val="231F20"/>
          <w:spacing w:val="-4"/>
        </w:rPr>
        <w:t>América</w:t>
      </w:r>
      <w:r>
        <w:rPr>
          <w:color w:val="231F20"/>
          <w:spacing w:val="-9"/>
        </w:rPr>
        <w:t> </w:t>
      </w:r>
      <w:r>
        <w:rPr>
          <w:color w:val="231F20"/>
          <w:spacing w:val="-4"/>
        </w:rPr>
        <w:t>del</w:t>
      </w:r>
      <w:r>
        <w:rPr>
          <w:color w:val="231F20"/>
          <w:spacing w:val="-8"/>
        </w:rPr>
        <w:t> </w:t>
      </w:r>
      <w:r>
        <w:rPr>
          <w:color w:val="231F20"/>
          <w:spacing w:val="-4"/>
        </w:rPr>
        <w:t>Sur,</w:t>
      </w:r>
      <w:r>
        <w:rPr>
          <w:color w:val="231F20"/>
          <w:spacing w:val="-9"/>
        </w:rPr>
        <w:t> </w:t>
      </w:r>
      <w:r>
        <w:rPr>
          <w:color w:val="231F20"/>
          <w:spacing w:val="-4"/>
        </w:rPr>
        <w:t>los</w:t>
      </w:r>
      <w:r>
        <w:rPr>
          <w:color w:val="231F20"/>
          <w:spacing w:val="-8"/>
        </w:rPr>
        <w:t> </w:t>
      </w:r>
      <w:r>
        <w:rPr>
          <w:color w:val="231F20"/>
          <w:spacing w:val="-4"/>
        </w:rPr>
        <w:t>registros</w:t>
      </w:r>
      <w:r>
        <w:rPr>
          <w:color w:val="231F20"/>
          <w:spacing w:val="-9"/>
        </w:rPr>
        <w:t> </w:t>
      </w:r>
      <w:r>
        <w:rPr>
          <w:color w:val="231F20"/>
          <w:spacing w:val="-4"/>
        </w:rPr>
        <w:t>de</w:t>
      </w:r>
      <w:r>
        <w:rPr>
          <w:color w:val="231F20"/>
          <w:spacing w:val="-8"/>
        </w:rPr>
        <w:t> </w:t>
      </w:r>
      <w:r>
        <w:rPr>
          <w:color w:val="231F20"/>
          <w:spacing w:val="-4"/>
        </w:rPr>
        <w:t>especímenes </w:t>
      </w:r>
      <w:r>
        <w:rPr>
          <w:color w:val="231F20"/>
        </w:rPr>
        <w:t>del</w:t>
      </w:r>
      <w:r>
        <w:rPr>
          <w:color w:val="231F20"/>
          <w:spacing w:val="-5"/>
        </w:rPr>
        <w:t> </w:t>
      </w:r>
      <w:r>
        <w:rPr>
          <w:color w:val="231F20"/>
        </w:rPr>
        <w:t>Triásico</w:t>
      </w:r>
      <w:r>
        <w:rPr>
          <w:color w:val="231F20"/>
          <w:spacing w:val="-5"/>
        </w:rPr>
        <w:t> </w:t>
      </w:r>
      <w:r>
        <w:rPr>
          <w:color w:val="231F20"/>
        </w:rPr>
        <w:t>son</w:t>
      </w:r>
      <w:r>
        <w:rPr>
          <w:color w:val="231F20"/>
          <w:spacing w:val="-5"/>
        </w:rPr>
        <w:t> </w:t>
      </w:r>
      <w:r>
        <w:rPr>
          <w:color w:val="231F20"/>
        </w:rPr>
        <w:t>exclusivos</w:t>
      </w:r>
      <w:r>
        <w:rPr>
          <w:color w:val="231F20"/>
          <w:spacing w:val="-5"/>
        </w:rPr>
        <w:t> </w:t>
      </w:r>
      <w:r>
        <w:rPr>
          <w:color w:val="231F20"/>
        </w:rPr>
        <w:t>de</w:t>
      </w:r>
      <w:r>
        <w:rPr>
          <w:color w:val="231F20"/>
          <w:spacing w:val="-5"/>
        </w:rPr>
        <w:t> </w:t>
      </w:r>
      <w:r>
        <w:rPr>
          <w:color w:val="231F20"/>
        </w:rPr>
        <w:t>Colombia;</w:t>
      </w:r>
      <w:r>
        <w:rPr>
          <w:color w:val="231F20"/>
          <w:spacing w:val="-5"/>
        </w:rPr>
        <w:t> </w:t>
      </w:r>
      <w:r>
        <w:rPr>
          <w:color w:val="231F20"/>
        </w:rPr>
        <w:t>Geyer</w:t>
      </w:r>
      <w:r>
        <w:rPr>
          <w:color w:val="231F20"/>
          <w:spacing w:val="-5"/>
        </w:rPr>
        <w:t> </w:t>
      </w:r>
      <w:r>
        <w:rPr>
          <w:color w:val="231F20"/>
        </w:rPr>
        <w:t>(1973), identifica</w:t>
      </w:r>
      <w:r>
        <w:rPr>
          <w:color w:val="231F20"/>
          <w:spacing w:val="-9"/>
        </w:rPr>
        <w:t> </w:t>
      </w:r>
      <w:r>
        <w:rPr>
          <w:color w:val="231F20"/>
        </w:rPr>
        <w:t>remanentes</w:t>
      </w:r>
      <w:r>
        <w:rPr>
          <w:color w:val="231F20"/>
          <w:spacing w:val="-9"/>
        </w:rPr>
        <w:t> </w:t>
      </w:r>
      <w:r>
        <w:rPr>
          <w:color w:val="231F20"/>
        </w:rPr>
        <w:t>de</w:t>
      </w:r>
      <w:r>
        <w:rPr>
          <w:color w:val="231F20"/>
          <w:spacing w:val="-8"/>
        </w:rPr>
        <w:t> </w:t>
      </w:r>
      <w:r>
        <w:rPr>
          <w:i/>
          <w:color w:val="231F20"/>
        </w:rPr>
        <w:t>Oxynautilus?</w:t>
      </w:r>
      <w:r>
        <w:rPr>
          <w:i/>
          <w:color w:val="231F20"/>
          <w:spacing w:val="-9"/>
        </w:rPr>
        <w:t> </w:t>
      </w:r>
      <w:r>
        <w:rPr>
          <w:i/>
          <w:color w:val="231F20"/>
        </w:rPr>
        <w:t>sp.</w:t>
      </w:r>
      <w:r>
        <w:rPr>
          <w:i/>
          <w:color w:val="231F20"/>
          <w:spacing w:val="-9"/>
        </w:rPr>
        <w:t> </w:t>
      </w:r>
      <w:r>
        <w:rPr>
          <w:color w:val="231F20"/>
        </w:rPr>
        <w:t>en</w:t>
      </w:r>
      <w:r>
        <w:rPr>
          <w:color w:val="231F20"/>
          <w:spacing w:val="-9"/>
        </w:rPr>
        <w:t> </w:t>
      </w:r>
      <w:r>
        <w:rPr>
          <w:color w:val="231F20"/>
        </w:rPr>
        <w:t>Chaparral- </w:t>
      </w:r>
      <w:r>
        <w:rPr>
          <w:color w:val="231F20"/>
          <w:spacing w:val="-2"/>
        </w:rPr>
        <w:t>Tolima,</w:t>
      </w:r>
      <w:r>
        <w:rPr>
          <w:color w:val="231F20"/>
          <w:spacing w:val="-8"/>
        </w:rPr>
        <w:t> </w:t>
      </w:r>
      <w:r>
        <w:rPr>
          <w:color w:val="231F20"/>
          <w:spacing w:val="-2"/>
        </w:rPr>
        <w:t>y</w:t>
      </w:r>
      <w:r>
        <w:rPr>
          <w:color w:val="231F20"/>
          <w:spacing w:val="-8"/>
        </w:rPr>
        <w:t> </w:t>
      </w:r>
      <w:r>
        <w:rPr>
          <w:color w:val="231F20"/>
          <w:spacing w:val="-2"/>
        </w:rPr>
        <w:t>en</w:t>
      </w:r>
      <w:r>
        <w:rPr>
          <w:color w:val="231F20"/>
          <w:spacing w:val="-8"/>
        </w:rPr>
        <w:t> </w:t>
      </w:r>
      <w:r>
        <w:rPr>
          <w:color w:val="231F20"/>
          <w:spacing w:val="-2"/>
        </w:rPr>
        <w:t>este</w:t>
      </w:r>
      <w:r>
        <w:rPr>
          <w:color w:val="231F20"/>
          <w:spacing w:val="-8"/>
        </w:rPr>
        <w:t> </w:t>
      </w:r>
      <w:r>
        <w:rPr>
          <w:color w:val="231F20"/>
          <w:spacing w:val="-2"/>
        </w:rPr>
        <w:t>trabajo</w:t>
      </w:r>
      <w:r>
        <w:rPr>
          <w:color w:val="231F20"/>
          <w:spacing w:val="-8"/>
        </w:rPr>
        <w:t> </w:t>
      </w:r>
      <w:r>
        <w:rPr>
          <w:color w:val="231F20"/>
          <w:spacing w:val="-2"/>
        </w:rPr>
        <w:t>para</w:t>
      </w:r>
      <w:r>
        <w:rPr>
          <w:color w:val="231F20"/>
          <w:spacing w:val="-8"/>
        </w:rPr>
        <w:t> </w:t>
      </w:r>
      <w:r>
        <w:rPr>
          <w:color w:val="231F20"/>
          <w:spacing w:val="-2"/>
        </w:rPr>
        <w:t>la</w:t>
      </w:r>
      <w:r>
        <w:rPr>
          <w:color w:val="231F20"/>
          <w:spacing w:val="-8"/>
        </w:rPr>
        <w:t> </w:t>
      </w:r>
      <w:r>
        <w:rPr>
          <w:color w:val="231F20"/>
          <w:spacing w:val="-2"/>
        </w:rPr>
        <w:t>misma</w:t>
      </w:r>
      <w:r>
        <w:rPr>
          <w:color w:val="231F20"/>
          <w:spacing w:val="-8"/>
        </w:rPr>
        <w:t> </w:t>
      </w:r>
      <w:r>
        <w:rPr>
          <w:color w:val="231F20"/>
          <w:spacing w:val="-2"/>
        </w:rPr>
        <w:t>área,</w:t>
      </w:r>
      <w:r>
        <w:rPr>
          <w:color w:val="231F20"/>
          <w:spacing w:val="-8"/>
        </w:rPr>
        <w:t> </w:t>
      </w:r>
      <w:r>
        <w:rPr>
          <w:color w:val="231F20"/>
          <w:spacing w:val="-2"/>
        </w:rPr>
        <w:t>se</w:t>
      </w:r>
      <w:r>
        <w:rPr>
          <w:color w:val="231F20"/>
          <w:spacing w:val="-8"/>
        </w:rPr>
        <w:t> </w:t>
      </w:r>
      <w:r>
        <w:rPr>
          <w:color w:val="231F20"/>
          <w:spacing w:val="-2"/>
        </w:rPr>
        <w:t>introduce </w:t>
      </w:r>
      <w:r>
        <w:rPr>
          <w:color w:val="231F20"/>
          <w:spacing w:val="-4"/>
        </w:rPr>
        <w:t>un</w:t>
      </w:r>
      <w:r>
        <w:rPr>
          <w:color w:val="231F20"/>
          <w:spacing w:val="-8"/>
        </w:rPr>
        <w:t> </w:t>
      </w:r>
      <w:r>
        <w:rPr>
          <w:color w:val="231F20"/>
          <w:spacing w:val="-4"/>
        </w:rPr>
        <w:t>nuevo</w:t>
      </w:r>
      <w:r>
        <w:rPr>
          <w:color w:val="231F20"/>
          <w:spacing w:val="-8"/>
        </w:rPr>
        <w:t> </w:t>
      </w:r>
      <w:r>
        <w:rPr>
          <w:color w:val="231F20"/>
          <w:spacing w:val="-4"/>
        </w:rPr>
        <w:t>registro</w:t>
      </w:r>
      <w:r>
        <w:rPr>
          <w:color w:val="231F20"/>
          <w:spacing w:val="-8"/>
        </w:rPr>
        <w:t> </w:t>
      </w:r>
      <w:r>
        <w:rPr>
          <w:color w:val="231F20"/>
          <w:spacing w:val="-4"/>
        </w:rPr>
        <w:t>del</w:t>
      </w:r>
      <w:r>
        <w:rPr>
          <w:color w:val="231F20"/>
          <w:spacing w:val="-8"/>
        </w:rPr>
        <w:t> </w:t>
      </w:r>
      <w:r>
        <w:rPr>
          <w:color w:val="231F20"/>
          <w:spacing w:val="-4"/>
        </w:rPr>
        <w:t>género</w:t>
      </w:r>
      <w:r>
        <w:rPr>
          <w:color w:val="231F20"/>
          <w:spacing w:val="-8"/>
        </w:rPr>
        <w:t> </w:t>
      </w:r>
      <w:r>
        <w:rPr>
          <w:i/>
          <w:color w:val="231F20"/>
          <w:spacing w:val="-4"/>
        </w:rPr>
        <w:t>Cenoceras</w:t>
      </w:r>
      <w:r>
        <w:rPr>
          <w:i/>
          <w:color w:val="231F20"/>
          <w:spacing w:val="-8"/>
        </w:rPr>
        <w:t> </w:t>
      </w:r>
      <w:r>
        <w:rPr>
          <w:i/>
          <w:color w:val="231F20"/>
          <w:spacing w:val="-4"/>
        </w:rPr>
        <w:t>sp..</w:t>
      </w:r>
      <w:r>
        <w:rPr>
          <w:i/>
          <w:color w:val="231F20"/>
          <w:spacing w:val="-8"/>
        </w:rPr>
        <w:t> </w:t>
      </w:r>
      <w:r>
        <w:rPr>
          <w:color w:val="231F20"/>
          <w:spacing w:val="-4"/>
        </w:rPr>
        <w:t>Por</w:t>
      </w:r>
      <w:r>
        <w:rPr>
          <w:color w:val="231F20"/>
          <w:spacing w:val="-8"/>
        </w:rPr>
        <w:t> </w:t>
      </w:r>
      <w:r>
        <w:rPr>
          <w:color w:val="231F20"/>
          <w:spacing w:val="-4"/>
        </w:rPr>
        <w:t>otra</w:t>
      </w:r>
      <w:r>
        <w:rPr>
          <w:color w:val="231F20"/>
          <w:spacing w:val="-8"/>
        </w:rPr>
        <w:t> </w:t>
      </w:r>
      <w:r>
        <w:rPr>
          <w:color w:val="231F20"/>
          <w:spacing w:val="-4"/>
        </w:rPr>
        <w:t>parte, </w:t>
      </w:r>
      <w:r>
        <w:rPr>
          <w:color w:val="231F20"/>
        </w:rPr>
        <w:t>Durham</w:t>
      </w:r>
      <w:r>
        <w:rPr>
          <w:color w:val="231F20"/>
          <w:spacing w:val="-8"/>
        </w:rPr>
        <w:t> </w:t>
      </w:r>
      <w:r>
        <w:rPr>
          <w:color w:val="231F20"/>
        </w:rPr>
        <w:t>(1946),</w:t>
      </w:r>
      <w:r>
        <w:rPr>
          <w:color w:val="231F20"/>
          <w:spacing w:val="-8"/>
        </w:rPr>
        <w:t> </w:t>
      </w:r>
      <w:r>
        <w:rPr>
          <w:color w:val="231F20"/>
        </w:rPr>
        <w:t>para</w:t>
      </w:r>
      <w:r>
        <w:rPr>
          <w:color w:val="231F20"/>
          <w:spacing w:val="-8"/>
        </w:rPr>
        <w:t> </w:t>
      </w:r>
      <w:r>
        <w:rPr>
          <w:color w:val="231F20"/>
        </w:rPr>
        <w:t>el</w:t>
      </w:r>
      <w:r>
        <w:rPr>
          <w:color w:val="231F20"/>
          <w:spacing w:val="-8"/>
        </w:rPr>
        <w:t> </w:t>
      </w:r>
      <w:r>
        <w:rPr>
          <w:color w:val="231F20"/>
        </w:rPr>
        <w:t>Cretácico</w:t>
      </w:r>
      <w:r>
        <w:rPr>
          <w:color w:val="231F20"/>
          <w:spacing w:val="-8"/>
        </w:rPr>
        <w:t> </w:t>
      </w:r>
      <w:r>
        <w:rPr>
          <w:color w:val="231F20"/>
        </w:rPr>
        <w:t>Inferior</w:t>
      </w:r>
      <w:r>
        <w:rPr>
          <w:color w:val="231F20"/>
          <w:spacing w:val="-8"/>
        </w:rPr>
        <w:t> </w:t>
      </w:r>
      <w:r>
        <w:rPr>
          <w:color w:val="231F20"/>
        </w:rPr>
        <w:t>(parte</w:t>
      </w:r>
      <w:r>
        <w:rPr>
          <w:color w:val="231F20"/>
          <w:spacing w:val="-8"/>
        </w:rPr>
        <w:t> </w:t>
      </w:r>
      <w:r>
        <w:rPr>
          <w:color w:val="231F20"/>
        </w:rPr>
        <w:t>alta</w:t>
      </w:r>
      <w:r>
        <w:rPr>
          <w:color w:val="231F20"/>
          <w:spacing w:val="-8"/>
        </w:rPr>
        <w:t> </w:t>
      </w:r>
      <w:r>
        <w:rPr>
          <w:color w:val="231F20"/>
        </w:rPr>
        <w:t>del Aptiano)</w:t>
      </w:r>
      <w:r>
        <w:rPr>
          <w:color w:val="231F20"/>
          <w:spacing w:val="-11"/>
        </w:rPr>
        <w:t> </w:t>
      </w:r>
      <w:r>
        <w:rPr>
          <w:color w:val="231F20"/>
        </w:rPr>
        <w:t>en</w:t>
      </w:r>
      <w:r>
        <w:rPr>
          <w:color w:val="231F20"/>
          <w:spacing w:val="-11"/>
        </w:rPr>
        <w:t> </w:t>
      </w:r>
      <w:r>
        <w:rPr>
          <w:color w:val="231F20"/>
        </w:rPr>
        <w:t>el</w:t>
      </w:r>
      <w:r>
        <w:rPr>
          <w:color w:val="231F20"/>
          <w:spacing w:val="-11"/>
        </w:rPr>
        <w:t> </w:t>
      </w:r>
      <w:r>
        <w:rPr>
          <w:color w:val="231F20"/>
        </w:rPr>
        <w:t>Valle</w:t>
      </w:r>
      <w:r>
        <w:rPr>
          <w:color w:val="231F20"/>
          <w:spacing w:val="-11"/>
        </w:rPr>
        <w:t> </w:t>
      </w:r>
      <w:r>
        <w:rPr>
          <w:color w:val="231F20"/>
        </w:rPr>
        <w:t>Superior</w:t>
      </w:r>
      <w:r>
        <w:rPr>
          <w:color w:val="231F20"/>
          <w:spacing w:val="-11"/>
        </w:rPr>
        <w:t> </w:t>
      </w:r>
      <w:r>
        <w:rPr>
          <w:color w:val="231F20"/>
        </w:rPr>
        <w:t>del</w:t>
      </w:r>
      <w:r>
        <w:rPr>
          <w:color w:val="231F20"/>
          <w:spacing w:val="-11"/>
        </w:rPr>
        <w:t> </w:t>
      </w:r>
      <w:r>
        <w:rPr>
          <w:color w:val="231F20"/>
        </w:rPr>
        <w:t>Magdalena,</w:t>
      </w:r>
      <w:r>
        <w:rPr>
          <w:color w:val="231F20"/>
          <w:spacing w:val="-11"/>
        </w:rPr>
        <w:t> </w:t>
      </w:r>
      <w:r>
        <w:rPr>
          <w:color w:val="231F20"/>
        </w:rPr>
        <w:t>define</w:t>
      </w:r>
      <w:r>
        <w:rPr>
          <w:color w:val="231F20"/>
          <w:spacing w:val="-11"/>
        </w:rPr>
        <w:t> </w:t>
      </w:r>
      <w:r>
        <w:rPr>
          <w:color w:val="231F20"/>
        </w:rPr>
        <w:t>dos nuevas especies de nautiloideos, los registros fósiles </w:t>
      </w:r>
      <w:r>
        <w:rPr>
          <w:color w:val="231F20"/>
          <w:spacing w:val="-2"/>
        </w:rPr>
        <w:t>corresponden</w:t>
      </w:r>
      <w:r>
        <w:rPr>
          <w:color w:val="231F20"/>
          <w:spacing w:val="-11"/>
        </w:rPr>
        <w:t> </w:t>
      </w:r>
      <w:r>
        <w:rPr>
          <w:color w:val="231F20"/>
          <w:spacing w:val="-2"/>
        </w:rPr>
        <w:t>a</w:t>
      </w:r>
      <w:r>
        <w:rPr>
          <w:color w:val="231F20"/>
          <w:spacing w:val="-10"/>
        </w:rPr>
        <w:t> </w:t>
      </w:r>
      <w:r>
        <w:rPr>
          <w:i/>
          <w:color w:val="231F20"/>
          <w:spacing w:val="-2"/>
        </w:rPr>
        <w:t>Cymatoceras</w:t>
      </w:r>
      <w:r>
        <w:rPr>
          <w:i/>
          <w:color w:val="231F20"/>
          <w:spacing w:val="-11"/>
        </w:rPr>
        <w:t> </w:t>
      </w:r>
      <w:r>
        <w:rPr>
          <w:i/>
          <w:color w:val="231F20"/>
          <w:spacing w:val="-2"/>
        </w:rPr>
        <w:t>colombiana</w:t>
      </w:r>
      <w:r>
        <w:rPr>
          <w:i/>
          <w:color w:val="231F20"/>
          <w:spacing w:val="-10"/>
        </w:rPr>
        <w:t> </w:t>
      </w:r>
      <w:r>
        <w:rPr>
          <w:color w:val="231F20"/>
          <w:spacing w:val="-2"/>
        </w:rPr>
        <w:t>y</w:t>
      </w:r>
      <w:r>
        <w:rPr>
          <w:color w:val="231F20"/>
          <w:spacing w:val="-11"/>
        </w:rPr>
        <w:t> </w:t>
      </w:r>
      <w:r>
        <w:rPr>
          <w:i/>
          <w:color w:val="231F20"/>
          <w:spacing w:val="-2"/>
        </w:rPr>
        <w:t>Heminautilus etheringtoni</w:t>
      </w:r>
      <w:r>
        <w:rPr>
          <w:color w:val="231F20"/>
          <w:spacing w:val="-2"/>
        </w:rPr>
        <w:t>,</w:t>
      </w:r>
      <w:r>
        <w:rPr>
          <w:color w:val="231F20"/>
          <w:spacing w:val="-6"/>
        </w:rPr>
        <w:t> </w:t>
      </w:r>
      <w:r>
        <w:rPr>
          <w:color w:val="231F20"/>
          <w:spacing w:val="-2"/>
        </w:rPr>
        <w:t>y</w:t>
      </w:r>
      <w:r>
        <w:rPr>
          <w:color w:val="231F20"/>
          <w:spacing w:val="-6"/>
        </w:rPr>
        <w:t> </w:t>
      </w:r>
      <w:r>
        <w:rPr>
          <w:color w:val="231F20"/>
          <w:spacing w:val="-2"/>
        </w:rPr>
        <w:t>también</w:t>
      </w:r>
      <w:r>
        <w:rPr>
          <w:color w:val="231F20"/>
          <w:spacing w:val="-6"/>
        </w:rPr>
        <w:t> </w:t>
      </w:r>
      <w:r>
        <w:rPr>
          <w:color w:val="231F20"/>
          <w:spacing w:val="-2"/>
        </w:rPr>
        <w:t>la</w:t>
      </w:r>
      <w:r>
        <w:rPr>
          <w:color w:val="231F20"/>
          <w:spacing w:val="-6"/>
        </w:rPr>
        <w:t> </w:t>
      </w:r>
      <w:r>
        <w:rPr>
          <w:color w:val="231F20"/>
          <w:spacing w:val="-2"/>
        </w:rPr>
        <w:t>ocurrencia</w:t>
      </w:r>
      <w:r>
        <w:rPr>
          <w:color w:val="231F20"/>
          <w:spacing w:val="-6"/>
        </w:rPr>
        <w:t> </w:t>
      </w:r>
      <w:r>
        <w:rPr>
          <w:color w:val="231F20"/>
          <w:spacing w:val="-2"/>
        </w:rPr>
        <w:t>de</w:t>
      </w:r>
      <w:r>
        <w:rPr>
          <w:color w:val="231F20"/>
          <w:spacing w:val="-6"/>
        </w:rPr>
        <w:t> </w:t>
      </w:r>
      <w:r>
        <w:rPr>
          <w:color w:val="231F20"/>
          <w:spacing w:val="-2"/>
        </w:rPr>
        <w:t>un</w:t>
      </w:r>
      <w:r>
        <w:rPr>
          <w:color w:val="231F20"/>
          <w:spacing w:val="-6"/>
        </w:rPr>
        <w:t> </w:t>
      </w:r>
      <w:r>
        <w:rPr>
          <w:color w:val="231F20"/>
          <w:spacing w:val="-2"/>
        </w:rPr>
        <w:t>espécimen</w:t>
      </w:r>
      <w:r>
        <w:rPr>
          <w:color w:val="231F20"/>
          <w:spacing w:val="-6"/>
        </w:rPr>
        <w:t> </w:t>
      </w:r>
      <w:r>
        <w:rPr>
          <w:color w:val="231F20"/>
          <w:spacing w:val="-2"/>
        </w:rPr>
        <w:t>de </w:t>
      </w:r>
      <w:r>
        <w:rPr>
          <w:i/>
          <w:color w:val="231F20"/>
          <w:spacing w:val="-2"/>
        </w:rPr>
        <w:t>Eutrephoceras</w:t>
      </w:r>
      <w:r>
        <w:rPr>
          <w:color w:val="231F20"/>
          <w:spacing w:val="-2"/>
        </w:rPr>
        <w:t>.</w:t>
      </w:r>
      <w:r>
        <w:rPr>
          <w:color w:val="231F20"/>
          <w:spacing w:val="-6"/>
        </w:rPr>
        <w:t> </w:t>
      </w:r>
      <w:r>
        <w:rPr>
          <w:color w:val="231F20"/>
          <w:spacing w:val="-2"/>
        </w:rPr>
        <w:t>Finalmente,</w:t>
      </w:r>
      <w:r>
        <w:rPr>
          <w:color w:val="231F20"/>
          <w:spacing w:val="-6"/>
        </w:rPr>
        <w:t> </w:t>
      </w:r>
      <w:r>
        <w:rPr>
          <w:color w:val="231F20"/>
          <w:spacing w:val="-2"/>
        </w:rPr>
        <w:t>en</w:t>
      </w:r>
      <w:r>
        <w:rPr>
          <w:color w:val="231F20"/>
          <w:spacing w:val="-6"/>
        </w:rPr>
        <w:t> </w:t>
      </w:r>
      <w:r>
        <w:rPr>
          <w:color w:val="231F20"/>
          <w:spacing w:val="-2"/>
        </w:rPr>
        <w:t>el</w:t>
      </w:r>
      <w:r>
        <w:rPr>
          <w:color w:val="231F20"/>
          <w:spacing w:val="-6"/>
        </w:rPr>
        <w:t> </w:t>
      </w:r>
      <w:r>
        <w:rPr>
          <w:color w:val="231F20"/>
          <w:spacing w:val="-2"/>
        </w:rPr>
        <w:t>Cenozoico,</w:t>
      </w:r>
      <w:r>
        <w:rPr>
          <w:color w:val="231F20"/>
          <w:spacing w:val="-6"/>
        </w:rPr>
        <w:t> </w:t>
      </w:r>
      <w:r>
        <w:rPr>
          <w:color w:val="231F20"/>
          <w:spacing w:val="-2"/>
        </w:rPr>
        <w:t>se</w:t>
      </w:r>
      <w:r>
        <w:rPr>
          <w:color w:val="231F20"/>
          <w:spacing w:val="-6"/>
        </w:rPr>
        <w:t> </w:t>
      </w:r>
      <w:r>
        <w:rPr>
          <w:color w:val="231F20"/>
          <w:spacing w:val="-2"/>
        </w:rPr>
        <w:t>incluyen </w:t>
      </w:r>
      <w:r>
        <w:rPr>
          <w:color w:val="231F20"/>
        </w:rPr>
        <w:t>las descripciones de Anderson (1928), para el Eoceno Superior con los ejemplares encontrados en cercanías a San Jacinto, en el Carmen de Bolívar, introduciendo la nueva especie </w:t>
      </w:r>
      <w:r>
        <w:rPr>
          <w:i/>
          <w:color w:val="231F20"/>
        </w:rPr>
        <w:t>Aturia colombiana</w:t>
      </w:r>
      <w:r>
        <w:rPr>
          <w:color w:val="231F20"/>
        </w:rPr>
        <w:t>.</w:t>
      </w:r>
    </w:p>
    <w:p>
      <w:pPr>
        <w:pStyle w:val="Heading1"/>
        <w:spacing w:line="252" w:lineRule="auto" w:before="92"/>
        <w:ind w:left="222" w:right="1314"/>
      </w:pPr>
      <w:r>
        <w:rPr>
          <w:b w:val="0"/>
        </w:rPr>
        <w:br w:type="column"/>
      </w:r>
      <w:r>
        <w:rPr>
          <w:color w:val="231F20"/>
        </w:rPr>
        <w:t>ESTRATIGRAFÍA DE LA FORMACIÓN PAYANDÉ-SECCIÓN TULUNÍ</w:t>
      </w:r>
    </w:p>
    <w:p>
      <w:pPr>
        <w:pStyle w:val="BodyText"/>
        <w:spacing w:line="252" w:lineRule="auto" w:before="171"/>
        <w:ind w:left="219" w:right="694"/>
        <w:jc w:val="both"/>
      </w:pPr>
      <w:r>
        <w:rPr>
          <w:color w:val="231F20"/>
        </w:rPr>
        <w:t>La Formación Payande, es una unidad litoestratigráfica que hace parte de la definición del Triásico en Colombia. El primer autor en usar la denominación “Payandé”, fue Renz en Trumpy (1943), para designar unas rocas calcáreas del Noriano al norte de Chaparral. Su localidad tipo se ubica en los alrededores del corregimiento de Payandé, municipio de San Luis (Tolima). Aunque la serie es más completa al suroeste de Payandé, en cercanías del caserío el Salitre, Julivert (1968), menciona que no se obtiene una sección completa</w:t>
      </w:r>
      <w:r>
        <w:rPr>
          <w:color w:val="231F20"/>
          <w:spacing w:val="-5"/>
        </w:rPr>
        <w:t> </w:t>
      </w:r>
      <w:r>
        <w:rPr>
          <w:color w:val="231F20"/>
        </w:rPr>
        <w:t>de</w:t>
      </w:r>
      <w:r>
        <w:rPr>
          <w:color w:val="231F20"/>
          <w:spacing w:val="-5"/>
        </w:rPr>
        <w:t> </w:t>
      </w:r>
      <w:r>
        <w:rPr>
          <w:color w:val="231F20"/>
        </w:rPr>
        <w:t>forma</w:t>
      </w:r>
      <w:r>
        <w:rPr>
          <w:color w:val="231F20"/>
          <w:spacing w:val="-5"/>
        </w:rPr>
        <w:t> </w:t>
      </w:r>
      <w:r>
        <w:rPr>
          <w:color w:val="231F20"/>
        </w:rPr>
        <w:t>continua.</w:t>
      </w:r>
      <w:r>
        <w:rPr>
          <w:color w:val="231F20"/>
          <w:spacing w:val="40"/>
        </w:rPr>
        <w:t> </w:t>
      </w:r>
      <w:r>
        <w:rPr>
          <w:color w:val="231F20"/>
        </w:rPr>
        <w:t>Su</w:t>
      </w:r>
      <w:r>
        <w:rPr>
          <w:color w:val="231F20"/>
          <w:spacing w:val="-5"/>
        </w:rPr>
        <w:t> </w:t>
      </w:r>
      <w:r>
        <w:rPr>
          <w:color w:val="231F20"/>
        </w:rPr>
        <w:t>exposición</w:t>
      </w:r>
      <w:r>
        <w:rPr>
          <w:color w:val="231F20"/>
          <w:spacing w:val="-5"/>
        </w:rPr>
        <w:t> </w:t>
      </w:r>
      <w:r>
        <w:rPr>
          <w:color w:val="231F20"/>
        </w:rPr>
        <w:t>se</w:t>
      </w:r>
      <w:r>
        <w:rPr>
          <w:color w:val="231F20"/>
          <w:spacing w:val="-5"/>
        </w:rPr>
        <w:t> </w:t>
      </w:r>
      <w:r>
        <w:rPr>
          <w:color w:val="231F20"/>
        </w:rPr>
        <w:t>restringe al Valle Superior del Magdalena y se manifiesta como una franja estrecha y alargada con dirección NE-SW, que comienza en la localidad de Rovira-Payandé y se prolonga hacia el sur hasta el área de Chaparral-Ataco en el departamento del Tolima.</w:t>
      </w:r>
    </w:p>
    <w:p>
      <w:pPr>
        <w:pStyle w:val="BodyText"/>
        <w:spacing w:line="252" w:lineRule="auto" w:before="178"/>
        <w:ind w:left="219" w:right="686"/>
        <w:jc w:val="both"/>
      </w:pPr>
      <w:r>
        <w:rPr>
          <w:color w:val="231F20"/>
        </w:rPr>
        <w:t>Cediel et. al. (1980), </w:t>
      </w:r>
      <w:r>
        <w:rPr>
          <w:color w:val="231F20"/>
          <w:spacing w:val="9"/>
        </w:rPr>
        <w:t>describen</w:t>
      </w:r>
      <w:r>
        <w:rPr>
          <w:color w:val="231F20"/>
          <w:spacing w:val="9"/>
        </w:rPr>
        <w:t> </w:t>
      </w:r>
      <w:r>
        <w:rPr>
          <w:color w:val="231F20"/>
        </w:rPr>
        <w:t>que los depósitos carbonatados</w:t>
      </w:r>
      <w:r>
        <w:rPr>
          <w:color w:val="231F20"/>
          <w:spacing w:val="37"/>
        </w:rPr>
        <w:t> </w:t>
      </w:r>
      <w:r>
        <w:rPr>
          <w:color w:val="231F20"/>
        </w:rPr>
        <w:t>de</w:t>
      </w:r>
      <w:r>
        <w:rPr>
          <w:color w:val="231F20"/>
          <w:spacing w:val="-7"/>
        </w:rPr>
        <w:t> </w:t>
      </w:r>
      <w:r>
        <w:rPr>
          <w:color w:val="231F20"/>
        </w:rPr>
        <w:t>origen</w:t>
      </w:r>
      <w:r>
        <w:rPr>
          <w:color w:val="231F20"/>
          <w:spacing w:val="-7"/>
        </w:rPr>
        <w:t> </w:t>
      </w:r>
      <w:r>
        <w:rPr>
          <w:color w:val="231F20"/>
        </w:rPr>
        <w:t>marino</w:t>
      </w:r>
      <w:r>
        <w:rPr>
          <w:color w:val="231F20"/>
          <w:spacing w:val="-7"/>
        </w:rPr>
        <w:t> </w:t>
      </w:r>
      <w:r>
        <w:rPr>
          <w:color w:val="231F20"/>
        </w:rPr>
        <w:t>somero</w:t>
      </w:r>
      <w:r>
        <w:rPr>
          <w:color w:val="231F20"/>
          <w:spacing w:val="-7"/>
        </w:rPr>
        <w:t> </w:t>
      </w:r>
      <w:r>
        <w:rPr>
          <w:color w:val="231F20"/>
        </w:rPr>
        <w:t>de</w:t>
      </w:r>
      <w:r>
        <w:rPr>
          <w:color w:val="231F20"/>
          <w:spacing w:val="-7"/>
        </w:rPr>
        <w:t> </w:t>
      </w:r>
      <w:r>
        <w:rPr>
          <w:color w:val="231F20"/>
        </w:rPr>
        <w:t>la</w:t>
      </w:r>
      <w:r>
        <w:rPr>
          <w:color w:val="231F20"/>
          <w:spacing w:val="-7"/>
        </w:rPr>
        <w:t> </w:t>
      </w:r>
      <w:r>
        <w:rPr>
          <w:color w:val="231F20"/>
        </w:rPr>
        <w:t>Formación Payandé, descansan discordantemente sobre las capas rojas continentales de la Formación Luisa y yacen bajo la Formación Saldaña, que es una unidad mayormente vulcano-sedimentaria de edad Triásica-Jurásica, en cuanto</w:t>
      </w:r>
      <w:r>
        <w:rPr>
          <w:color w:val="231F20"/>
          <w:spacing w:val="36"/>
        </w:rPr>
        <w:t> </w:t>
      </w:r>
      <w:r>
        <w:rPr>
          <w:color w:val="231F20"/>
        </w:rPr>
        <w:t>al</w:t>
      </w:r>
      <w:r>
        <w:rPr>
          <w:color w:val="231F20"/>
          <w:spacing w:val="36"/>
        </w:rPr>
        <w:t> </w:t>
      </w:r>
      <w:r>
        <w:rPr>
          <w:color w:val="231F20"/>
        </w:rPr>
        <w:t>contacto</w:t>
      </w:r>
      <w:r>
        <w:rPr>
          <w:color w:val="231F20"/>
          <w:spacing w:val="36"/>
        </w:rPr>
        <w:t> </w:t>
      </w:r>
      <w:r>
        <w:rPr>
          <w:color w:val="231F20"/>
        </w:rPr>
        <w:t>es</w:t>
      </w:r>
      <w:r>
        <w:rPr>
          <w:color w:val="231F20"/>
          <w:spacing w:val="36"/>
        </w:rPr>
        <w:t> </w:t>
      </w:r>
      <w:r>
        <w:rPr>
          <w:color w:val="231F20"/>
        </w:rPr>
        <w:t>de</w:t>
      </w:r>
      <w:r>
        <w:rPr>
          <w:color w:val="231F20"/>
          <w:spacing w:val="36"/>
        </w:rPr>
        <w:t> </w:t>
      </w:r>
      <w:r>
        <w:rPr>
          <w:color w:val="231F20"/>
        </w:rPr>
        <w:t>carácter</w:t>
      </w:r>
      <w:r>
        <w:rPr>
          <w:color w:val="231F20"/>
          <w:spacing w:val="36"/>
        </w:rPr>
        <w:t> </w:t>
      </w:r>
      <w:r>
        <w:rPr>
          <w:color w:val="231F20"/>
        </w:rPr>
        <w:t>discordante</w:t>
      </w:r>
      <w:r>
        <w:rPr>
          <w:color w:val="231F20"/>
          <w:spacing w:val="36"/>
        </w:rPr>
        <w:t> </w:t>
      </w:r>
      <w:r>
        <w:rPr>
          <w:color w:val="231F20"/>
        </w:rPr>
        <w:t>y</w:t>
      </w:r>
      <w:r>
        <w:rPr>
          <w:color w:val="231F20"/>
          <w:spacing w:val="36"/>
        </w:rPr>
        <w:t> </w:t>
      </w:r>
      <w:r>
        <w:rPr>
          <w:color w:val="231F20"/>
        </w:rPr>
        <w:t>varía a</w:t>
      </w:r>
      <w:r>
        <w:rPr>
          <w:color w:val="231F20"/>
          <w:spacing w:val="73"/>
        </w:rPr>
        <w:t> </w:t>
      </w:r>
      <w:r>
        <w:rPr>
          <w:color w:val="231F20"/>
        </w:rPr>
        <w:t>transicional,</w:t>
      </w:r>
      <w:r>
        <w:rPr>
          <w:color w:val="231F20"/>
          <w:spacing w:val="73"/>
        </w:rPr>
        <w:t> </w:t>
      </w:r>
      <w:r>
        <w:rPr>
          <w:color w:val="231F20"/>
        </w:rPr>
        <w:t>este</w:t>
      </w:r>
      <w:r>
        <w:rPr>
          <w:color w:val="231F20"/>
          <w:spacing w:val="73"/>
        </w:rPr>
        <w:t> </w:t>
      </w:r>
      <w:r>
        <w:rPr>
          <w:color w:val="231F20"/>
        </w:rPr>
        <w:t>último</w:t>
      </w:r>
      <w:r>
        <w:rPr>
          <w:color w:val="231F20"/>
          <w:spacing w:val="73"/>
        </w:rPr>
        <w:t> </w:t>
      </w:r>
      <w:r>
        <w:rPr>
          <w:color w:val="231F20"/>
        </w:rPr>
        <w:t>se</w:t>
      </w:r>
      <w:r>
        <w:rPr>
          <w:color w:val="231F20"/>
          <w:spacing w:val="73"/>
        </w:rPr>
        <w:t> </w:t>
      </w:r>
      <w:r>
        <w:rPr>
          <w:color w:val="231F20"/>
        </w:rPr>
        <w:t>da</w:t>
      </w:r>
      <w:r>
        <w:rPr>
          <w:color w:val="231F20"/>
          <w:spacing w:val="73"/>
        </w:rPr>
        <w:t> </w:t>
      </w:r>
      <w:r>
        <w:rPr>
          <w:color w:val="231F20"/>
        </w:rPr>
        <w:t>entre</w:t>
      </w:r>
      <w:r>
        <w:rPr>
          <w:color w:val="231F20"/>
          <w:spacing w:val="73"/>
        </w:rPr>
        <w:t> </w:t>
      </w:r>
      <w:r>
        <w:rPr>
          <w:color w:val="231F20"/>
        </w:rPr>
        <w:t>las</w:t>
      </w:r>
      <w:r>
        <w:rPr>
          <w:color w:val="231F20"/>
          <w:spacing w:val="73"/>
        </w:rPr>
        <w:t> </w:t>
      </w:r>
      <w:r>
        <w:rPr>
          <w:color w:val="231F20"/>
        </w:rPr>
        <w:t>Calizas de Payandé al miembro </w:t>
      </w:r>
      <w:r>
        <w:rPr>
          <w:color w:val="231F20"/>
          <w:spacing w:val="9"/>
        </w:rPr>
        <w:t>inferior</w:t>
      </w:r>
      <w:r>
        <w:rPr>
          <w:color w:val="231F20"/>
          <w:spacing w:val="9"/>
        </w:rPr>
        <w:t> </w:t>
      </w:r>
      <w:r>
        <w:rPr>
          <w:color w:val="231F20"/>
        </w:rPr>
        <w:t>de la </w:t>
      </w:r>
      <w:r>
        <w:rPr>
          <w:color w:val="231F20"/>
          <w:spacing w:val="9"/>
        </w:rPr>
        <w:t>Formación </w:t>
      </w:r>
      <w:r>
        <w:rPr>
          <w:color w:val="231F20"/>
        </w:rPr>
        <w:t>Saldaña,el Miembro Chicalá; el conjunto tripartita de estas unidades recibe el título de “Grupo Payandé” definido</w:t>
      </w:r>
      <w:r>
        <w:rPr>
          <w:color w:val="231F20"/>
          <w:spacing w:val="-13"/>
        </w:rPr>
        <w:t> </w:t>
      </w:r>
      <w:r>
        <w:rPr>
          <w:color w:val="231F20"/>
        </w:rPr>
        <w:t>por</w:t>
      </w:r>
      <w:r>
        <w:rPr>
          <w:color w:val="231F20"/>
          <w:spacing w:val="-8"/>
        </w:rPr>
        <w:t> </w:t>
      </w:r>
      <w:r>
        <w:rPr>
          <w:color w:val="231F20"/>
        </w:rPr>
        <w:t>Hubach</w:t>
      </w:r>
      <w:r>
        <w:rPr>
          <w:color w:val="231F20"/>
          <w:spacing w:val="-13"/>
        </w:rPr>
        <w:t> </w:t>
      </w:r>
      <w:r>
        <w:rPr>
          <w:color w:val="231F20"/>
        </w:rPr>
        <w:t>(1957),</w:t>
      </w:r>
      <w:r>
        <w:rPr>
          <w:color w:val="231F20"/>
          <w:spacing w:val="-12"/>
        </w:rPr>
        <w:t> </w:t>
      </w:r>
      <w:r>
        <w:rPr>
          <w:color w:val="231F20"/>
        </w:rPr>
        <w:t>(Julivert,1968,</w:t>
      </w:r>
      <w:r>
        <w:rPr>
          <w:color w:val="231F20"/>
          <w:spacing w:val="-13"/>
        </w:rPr>
        <w:t> </w:t>
      </w:r>
      <w:r>
        <w:rPr>
          <w:color w:val="231F20"/>
        </w:rPr>
        <w:t>p.370).</w:t>
      </w:r>
      <w:r>
        <w:rPr>
          <w:color w:val="231F20"/>
          <w:spacing w:val="-12"/>
        </w:rPr>
        <w:t> </w:t>
      </w:r>
      <w:r>
        <w:rPr>
          <w:color w:val="231F20"/>
        </w:rPr>
        <w:t>Para el intervalo del Triásico-Jurásico, ha sido propuesto un modelo paleotectónico conceptual de la sedimentación del Grupo Payandé, en el que lo relacionan con una zona de graben supra-continental o rift. Macia et al. (1985) indican que esta tectónica de fase distensiva es producto de un adelgazamiento cortical, que se asocia</w:t>
      </w:r>
      <w:r>
        <w:rPr>
          <w:color w:val="231F20"/>
          <w:spacing w:val="80"/>
          <w:w w:val="150"/>
        </w:rPr>
        <w:t> </w:t>
      </w:r>
      <w:r>
        <w:rPr>
          <w:color w:val="231F20"/>
        </w:rPr>
        <w:t>a un abombamiento en el manto, lo que explicaría el vulcanismo subaéreo, que da origen a las vulcanitas de la Formación Saldaña y a las intrusiones intermedias- ácidas jurásicas, que afectan a estas rocas mesozoicas.</w:t>
      </w:r>
    </w:p>
    <w:p>
      <w:pPr>
        <w:pStyle w:val="BodyText"/>
        <w:spacing w:before="178"/>
      </w:pPr>
    </w:p>
    <w:p>
      <w:pPr>
        <w:pStyle w:val="BodyText"/>
        <w:spacing w:line="252" w:lineRule="auto"/>
        <w:ind w:left="219" w:right="694"/>
        <w:jc w:val="both"/>
      </w:pPr>
      <w:r>
        <w:rPr>
          <w:color w:val="231F20"/>
        </w:rPr>
        <w:t>Para la sección Tuluní el espesor total fue de 389 m, aunque no se encontró el contacto inferior, se observó en la parte superior, una brecha calcárea adyacente a la </w:t>
      </w:r>
      <w:r>
        <w:rPr>
          <w:color w:val="231F20"/>
          <w:spacing w:val="-2"/>
        </w:rPr>
        <w:t>litología vulcano-sedimentaria pseudo-estratificada de la </w:t>
      </w:r>
      <w:r>
        <w:rPr>
          <w:color w:val="231F20"/>
        </w:rPr>
        <w:t>Formación</w:t>
      </w:r>
      <w:r>
        <w:rPr>
          <w:color w:val="231F20"/>
          <w:spacing w:val="-3"/>
        </w:rPr>
        <w:t> </w:t>
      </w:r>
      <w:r>
        <w:rPr>
          <w:color w:val="231F20"/>
        </w:rPr>
        <w:t>Saldaña,</w:t>
      </w:r>
      <w:r>
        <w:rPr>
          <w:color w:val="231F20"/>
          <w:spacing w:val="-3"/>
        </w:rPr>
        <w:t> </w:t>
      </w:r>
      <w:r>
        <w:rPr>
          <w:color w:val="231F20"/>
        </w:rPr>
        <w:t>por</w:t>
      </w:r>
      <w:r>
        <w:rPr>
          <w:color w:val="231F20"/>
          <w:spacing w:val="-3"/>
        </w:rPr>
        <w:t> </w:t>
      </w:r>
      <w:r>
        <w:rPr>
          <w:color w:val="231F20"/>
        </w:rPr>
        <w:t>el</w:t>
      </w:r>
      <w:r>
        <w:rPr>
          <w:color w:val="231F20"/>
          <w:spacing w:val="-3"/>
        </w:rPr>
        <w:t> </w:t>
      </w:r>
      <w:r>
        <w:rPr>
          <w:color w:val="231F20"/>
        </w:rPr>
        <w:t>trazo</w:t>
      </w:r>
      <w:r>
        <w:rPr>
          <w:color w:val="231F20"/>
          <w:spacing w:val="-3"/>
        </w:rPr>
        <w:t> </w:t>
      </w:r>
      <w:r>
        <w:rPr>
          <w:color w:val="231F20"/>
        </w:rPr>
        <w:t>de</w:t>
      </w:r>
      <w:r>
        <w:rPr>
          <w:color w:val="231F20"/>
          <w:spacing w:val="-3"/>
        </w:rPr>
        <w:t> </w:t>
      </w:r>
      <w:r>
        <w:rPr>
          <w:color w:val="231F20"/>
        </w:rPr>
        <w:t>la</w:t>
      </w:r>
      <w:r>
        <w:rPr>
          <w:color w:val="231F20"/>
          <w:spacing w:val="-3"/>
        </w:rPr>
        <w:t> </w:t>
      </w:r>
      <w:r>
        <w:rPr>
          <w:color w:val="231F20"/>
        </w:rPr>
        <w:t>Falla</w:t>
      </w:r>
      <w:r>
        <w:rPr>
          <w:color w:val="231F20"/>
          <w:spacing w:val="-3"/>
        </w:rPr>
        <w:t> </w:t>
      </w:r>
      <w:r>
        <w:rPr>
          <w:color w:val="231F20"/>
        </w:rPr>
        <w:t>Copete.</w:t>
      </w:r>
      <w:r>
        <w:rPr>
          <w:color w:val="231F20"/>
          <w:spacing w:val="-3"/>
        </w:rPr>
        <w:t> </w:t>
      </w:r>
      <w:r>
        <w:rPr>
          <w:color w:val="231F20"/>
        </w:rPr>
        <w:t>Allí en la Quebrada Tuluní, la exposición de calizas es muy buena</w:t>
      </w:r>
      <w:r>
        <w:rPr>
          <w:color w:val="231F20"/>
          <w:spacing w:val="-2"/>
        </w:rPr>
        <w:t> </w:t>
      </w:r>
      <w:r>
        <w:rPr>
          <w:color w:val="231F20"/>
        </w:rPr>
        <w:t>y</w:t>
      </w:r>
      <w:r>
        <w:rPr>
          <w:color w:val="231F20"/>
          <w:spacing w:val="-2"/>
        </w:rPr>
        <w:t> </w:t>
      </w:r>
      <w:r>
        <w:rPr>
          <w:color w:val="231F20"/>
        </w:rPr>
        <w:t>completa,</w:t>
      </w:r>
      <w:r>
        <w:rPr>
          <w:color w:val="231F20"/>
          <w:spacing w:val="-2"/>
        </w:rPr>
        <w:t> </w:t>
      </w:r>
      <w:r>
        <w:rPr>
          <w:color w:val="231F20"/>
        </w:rPr>
        <w:t>correspondiendo</w:t>
      </w:r>
      <w:r>
        <w:rPr>
          <w:color w:val="231F20"/>
          <w:spacing w:val="-2"/>
        </w:rPr>
        <w:t> </w:t>
      </w:r>
      <w:r>
        <w:rPr>
          <w:color w:val="231F20"/>
        </w:rPr>
        <w:t>a</w:t>
      </w:r>
      <w:r>
        <w:rPr>
          <w:color w:val="231F20"/>
          <w:spacing w:val="-2"/>
        </w:rPr>
        <w:t> </w:t>
      </w:r>
      <w:r>
        <w:rPr>
          <w:color w:val="231F20"/>
        </w:rPr>
        <w:t>biomicroesparitas </w:t>
      </w:r>
      <w:r>
        <w:rPr>
          <w:color w:val="231F20"/>
          <w:spacing w:val="-4"/>
        </w:rPr>
        <w:t>fosilíferas y dispersas, con textura </w:t>
      </w:r>
      <w:r>
        <w:rPr>
          <w:i/>
          <w:color w:val="231F20"/>
          <w:spacing w:val="-4"/>
        </w:rPr>
        <w:t>mudstone </w:t>
      </w:r>
      <w:r>
        <w:rPr>
          <w:color w:val="231F20"/>
          <w:spacing w:val="-4"/>
        </w:rPr>
        <w:t>y </w:t>
      </w:r>
      <w:r>
        <w:rPr>
          <w:i/>
          <w:color w:val="231F20"/>
          <w:spacing w:val="-4"/>
        </w:rPr>
        <w:t>wackestone </w:t>
      </w:r>
      <w:r>
        <w:rPr>
          <w:color w:val="231F20"/>
        </w:rPr>
        <w:t>localmente </w:t>
      </w:r>
      <w:r>
        <w:rPr>
          <w:i/>
          <w:color w:val="231F20"/>
        </w:rPr>
        <w:t>packstone</w:t>
      </w:r>
      <w:r>
        <w:rPr>
          <w:color w:val="231F20"/>
        </w:rPr>
        <w:t>, incluidas en niveles de distintas facies, en por lo menos, 6 conjuntos definidos por las características físicas de las rocas y por el material fosilífero</w:t>
      </w:r>
      <w:r>
        <w:rPr>
          <w:color w:val="231F20"/>
          <w:spacing w:val="24"/>
        </w:rPr>
        <w:t> </w:t>
      </w:r>
      <w:r>
        <w:rPr>
          <w:color w:val="231F20"/>
        </w:rPr>
        <w:t>representativo,</w:t>
      </w:r>
      <w:r>
        <w:rPr>
          <w:color w:val="231F20"/>
          <w:spacing w:val="25"/>
        </w:rPr>
        <w:t> </w:t>
      </w:r>
      <w:r>
        <w:rPr>
          <w:color w:val="231F20"/>
        </w:rPr>
        <w:t>que</w:t>
      </w:r>
      <w:r>
        <w:rPr>
          <w:color w:val="231F20"/>
          <w:spacing w:val="25"/>
        </w:rPr>
        <w:t> </w:t>
      </w:r>
      <w:r>
        <w:rPr>
          <w:color w:val="231F20"/>
        </w:rPr>
        <w:t>como</w:t>
      </w:r>
      <w:r>
        <w:rPr>
          <w:color w:val="231F20"/>
          <w:spacing w:val="25"/>
        </w:rPr>
        <w:t> </w:t>
      </w:r>
      <w:r>
        <w:rPr>
          <w:color w:val="231F20"/>
        </w:rPr>
        <w:t>aspecto</w:t>
      </w:r>
      <w:r>
        <w:rPr>
          <w:color w:val="231F20"/>
          <w:spacing w:val="25"/>
        </w:rPr>
        <w:t> </w:t>
      </w:r>
      <w:r>
        <w:rPr>
          <w:color w:val="231F20"/>
          <w:spacing w:val="-2"/>
        </w:rPr>
        <w:t>particular,</w:t>
      </w:r>
    </w:p>
    <w:p>
      <w:pPr>
        <w:pStyle w:val="BodyText"/>
        <w:spacing w:after="0" w:line="252" w:lineRule="auto"/>
        <w:jc w:val="both"/>
        <w:sectPr>
          <w:type w:val="continuous"/>
          <w:pgSz w:w="12260" w:h="15560"/>
          <w:pgMar w:header="373" w:footer="336" w:top="240" w:bottom="520" w:left="1275" w:right="708"/>
          <w:cols w:num="2" w:equalWidth="0">
            <w:col w:w="4739" w:space="137"/>
            <w:col w:w="5401"/>
          </w:cols>
        </w:sectPr>
      </w:pPr>
    </w:p>
    <w:p>
      <w:pPr>
        <w:pStyle w:val="BodyText"/>
        <w:spacing w:before="68"/>
      </w:pPr>
    </w:p>
    <w:p>
      <w:pPr>
        <w:pStyle w:val="BodyText"/>
        <w:spacing w:after="0"/>
        <w:sectPr>
          <w:pgSz w:w="12260" w:h="15560"/>
          <w:pgMar w:header="307" w:footer="336" w:top="800" w:bottom="520" w:left="1275" w:right="708"/>
        </w:sectPr>
      </w:pPr>
    </w:p>
    <w:p>
      <w:pPr>
        <w:pStyle w:val="BodyText"/>
        <w:spacing w:line="252" w:lineRule="auto" w:before="91"/>
        <w:ind w:left="162" w:right="38"/>
        <w:jc w:val="both"/>
      </w:pPr>
      <w:r>
        <w:rPr>
          <w:color w:val="231F20"/>
        </w:rPr>
        <w:t>se distinguen algunos cuerpos de calizas con nódulos </w:t>
      </w:r>
      <w:r>
        <w:rPr>
          <w:color w:val="231F20"/>
          <w:spacing w:val="-2"/>
        </w:rPr>
        <w:t>silíceos</w:t>
      </w:r>
      <w:r>
        <w:rPr>
          <w:color w:val="231F20"/>
          <w:spacing w:val="-11"/>
        </w:rPr>
        <w:t> </w:t>
      </w:r>
      <w:r>
        <w:rPr>
          <w:color w:val="231F20"/>
          <w:spacing w:val="-2"/>
        </w:rPr>
        <w:t>oscuros</w:t>
      </w:r>
      <w:r>
        <w:rPr>
          <w:color w:val="231F20"/>
          <w:spacing w:val="-10"/>
        </w:rPr>
        <w:t> </w:t>
      </w:r>
      <w:r>
        <w:rPr>
          <w:color w:val="231F20"/>
          <w:spacing w:val="-2"/>
        </w:rPr>
        <w:t>interestratificados</w:t>
      </w:r>
      <w:r>
        <w:rPr>
          <w:color w:val="231F20"/>
          <w:spacing w:val="-11"/>
        </w:rPr>
        <w:t> </w:t>
      </w:r>
      <w:r>
        <w:rPr>
          <w:color w:val="231F20"/>
          <w:spacing w:val="-2"/>
        </w:rPr>
        <w:t>y</w:t>
      </w:r>
      <w:r>
        <w:rPr>
          <w:color w:val="231F20"/>
          <w:spacing w:val="-10"/>
        </w:rPr>
        <w:t> </w:t>
      </w:r>
      <w:r>
        <w:rPr>
          <w:color w:val="231F20"/>
          <w:spacing w:val="-2"/>
        </w:rPr>
        <w:t>asociados</w:t>
      </w:r>
      <w:r>
        <w:rPr>
          <w:color w:val="231F20"/>
          <w:spacing w:val="-11"/>
        </w:rPr>
        <w:t> </w:t>
      </w:r>
      <w:r>
        <w:rPr>
          <w:color w:val="231F20"/>
          <w:spacing w:val="-2"/>
        </w:rPr>
        <w:t>a</w:t>
      </w:r>
      <w:r>
        <w:rPr>
          <w:color w:val="231F20"/>
          <w:spacing w:val="-10"/>
        </w:rPr>
        <w:t> </w:t>
      </w:r>
      <w:r>
        <w:rPr>
          <w:color w:val="231F20"/>
          <w:spacing w:val="-2"/>
        </w:rPr>
        <w:t>procesos </w:t>
      </w:r>
      <w:r>
        <w:rPr>
          <w:color w:val="231F20"/>
        </w:rPr>
        <w:t>diagenéticos</w:t>
      </w:r>
      <w:r>
        <w:rPr>
          <w:color w:val="231F20"/>
          <w:spacing w:val="-11"/>
        </w:rPr>
        <w:t> </w:t>
      </w:r>
      <w:r>
        <w:rPr>
          <w:color w:val="231F20"/>
        </w:rPr>
        <w:t>y</w:t>
      </w:r>
      <w:r>
        <w:rPr>
          <w:color w:val="231F20"/>
          <w:spacing w:val="-11"/>
        </w:rPr>
        <w:t> </w:t>
      </w:r>
      <w:r>
        <w:rPr>
          <w:color w:val="231F20"/>
        </w:rPr>
        <w:t>actividad</w:t>
      </w:r>
      <w:r>
        <w:rPr>
          <w:color w:val="231F20"/>
          <w:spacing w:val="-11"/>
        </w:rPr>
        <w:t> </w:t>
      </w:r>
      <w:r>
        <w:rPr>
          <w:color w:val="231F20"/>
        </w:rPr>
        <w:t>biogénica.</w:t>
      </w:r>
      <w:r>
        <w:rPr>
          <w:color w:val="231F20"/>
          <w:spacing w:val="-11"/>
        </w:rPr>
        <w:t> </w:t>
      </w:r>
      <w:r>
        <w:rPr>
          <w:color w:val="231F20"/>
        </w:rPr>
        <w:t>El</w:t>
      </w:r>
      <w:r>
        <w:rPr>
          <w:color w:val="231F20"/>
          <w:spacing w:val="-11"/>
        </w:rPr>
        <w:t> </w:t>
      </w:r>
      <w:r>
        <w:rPr>
          <w:color w:val="231F20"/>
        </w:rPr>
        <w:t>contenido</w:t>
      </w:r>
      <w:r>
        <w:rPr>
          <w:color w:val="231F20"/>
          <w:spacing w:val="-11"/>
        </w:rPr>
        <w:t> </w:t>
      </w:r>
      <w:r>
        <w:rPr>
          <w:color w:val="231F20"/>
        </w:rPr>
        <w:t>fósil</w:t>
      </w:r>
      <w:r>
        <w:rPr>
          <w:color w:val="231F20"/>
          <w:spacing w:val="-11"/>
        </w:rPr>
        <w:t> </w:t>
      </w:r>
      <w:r>
        <w:rPr>
          <w:color w:val="231F20"/>
        </w:rPr>
        <w:t>es diverso y típico de plataforma de mar epicontinental. En</w:t>
      </w:r>
      <w:r>
        <w:rPr>
          <w:color w:val="231F20"/>
          <w:spacing w:val="-13"/>
        </w:rPr>
        <w:t> </w:t>
      </w:r>
      <w:r>
        <w:rPr>
          <w:color w:val="231F20"/>
        </w:rPr>
        <w:t>la</w:t>
      </w:r>
      <w:r>
        <w:rPr>
          <w:color w:val="231F20"/>
          <w:spacing w:val="-12"/>
        </w:rPr>
        <w:t> </w:t>
      </w:r>
      <w:r>
        <w:rPr>
          <w:color w:val="231F20"/>
        </w:rPr>
        <w:t>investigación</w:t>
      </w:r>
      <w:r>
        <w:rPr>
          <w:color w:val="231F20"/>
          <w:spacing w:val="-13"/>
        </w:rPr>
        <w:t> </w:t>
      </w:r>
      <w:r>
        <w:rPr>
          <w:color w:val="231F20"/>
        </w:rPr>
        <w:t>bioestratigráfica</w:t>
      </w:r>
      <w:r>
        <w:rPr>
          <w:color w:val="231F20"/>
          <w:spacing w:val="-12"/>
        </w:rPr>
        <w:t> </w:t>
      </w:r>
      <w:r>
        <w:rPr>
          <w:color w:val="231F20"/>
        </w:rPr>
        <w:t>de</w:t>
      </w:r>
      <w:r>
        <w:rPr>
          <w:color w:val="231F20"/>
          <w:spacing w:val="-13"/>
        </w:rPr>
        <w:t> </w:t>
      </w:r>
      <w:r>
        <w:rPr>
          <w:color w:val="231F20"/>
        </w:rPr>
        <w:t>Geyer</w:t>
      </w:r>
      <w:r>
        <w:rPr>
          <w:color w:val="231F20"/>
          <w:spacing w:val="-12"/>
        </w:rPr>
        <w:t> </w:t>
      </w:r>
      <w:r>
        <w:rPr>
          <w:color w:val="231F20"/>
        </w:rPr>
        <w:t>(1973),</w:t>
      </w:r>
      <w:r>
        <w:rPr>
          <w:color w:val="231F20"/>
          <w:spacing w:val="-13"/>
        </w:rPr>
        <w:t> </w:t>
      </w:r>
      <w:r>
        <w:rPr>
          <w:color w:val="231F20"/>
        </w:rPr>
        <w:t>se distinguen</w:t>
      </w:r>
      <w:r>
        <w:rPr>
          <w:color w:val="231F20"/>
          <w:spacing w:val="25"/>
        </w:rPr>
        <w:t> </w:t>
      </w:r>
      <w:r>
        <w:rPr>
          <w:color w:val="231F20"/>
        </w:rPr>
        <w:t>dos</w:t>
      </w:r>
      <w:r>
        <w:rPr>
          <w:color w:val="231F20"/>
          <w:spacing w:val="25"/>
        </w:rPr>
        <w:t> </w:t>
      </w:r>
      <w:r>
        <w:rPr>
          <w:color w:val="231F20"/>
        </w:rPr>
        <w:t>niveles</w:t>
      </w:r>
      <w:r>
        <w:rPr>
          <w:color w:val="231F20"/>
          <w:spacing w:val="25"/>
        </w:rPr>
        <w:t> </w:t>
      </w:r>
      <w:r>
        <w:rPr>
          <w:color w:val="231F20"/>
        </w:rPr>
        <w:t>para</w:t>
      </w:r>
      <w:r>
        <w:rPr>
          <w:color w:val="231F20"/>
          <w:spacing w:val="25"/>
        </w:rPr>
        <w:t> </w:t>
      </w:r>
      <w:r>
        <w:rPr>
          <w:color w:val="231F20"/>
        </w:rPr>
        <w:t>Tuluní,</w:t>
      </w:r>
      <w:r>
        <w:rPr>
          <w:color w:val="231F20"/>
          <w:spacing w:val="25"/>
        </w:rPr>
        <w:t> </w:t>
      </w:r>
      <w:r>
        <w:rPr>
          <w:color w:val="231F20"/>
        </w:rPr>
        <w:t>que</w:t>
      </w:r>
      <w:r>
        <w:rPr>
          <w:color w:val="231F20"/>
          <w:spacing w:val="25"/>
        </w:rPr>
        <w:t> </w:t>
      </w:r>
      <w:r>
        <w:rPr>
          <w:color w:val="231F20"/>
        </w:rPr>
        <w:t>corresponden a los dos segmentos inferiores en Perilla (2018), quien hace la designación de calizas encriníticas por el contenido de crinoideos y las “</w:t>
      </w:r>
      <w:r>
        <w:rPr>
          <w:i/>
          <w:color w:val="231F20"/>
        </w:rPr>
        <w:t>calizas de Monotis</w:t>
      </w:r>
      <w:r>
        <w:rPr>
          <w:color w:val="231F20"/>
        </w:rPr>
        <w:t>” por los bivalvos </w:t>
      </w:r>
      <w:r>
        <w:rPr>
          <w:i/>
          <w:color w:val="231F20"/>
        </w:rPr>
        <w:t>Monotis subcircularis, </w:t>
      </w:r>
      <w:r>
        <w:rPr>
          <w:color w:val="231F20"/>
        </w:rPr>
        <w:t>donde encontró restos de nautiloideos del género </w:t>
      </w:r>
      <w:r>
        <w:rPr>
          <w:i/>
          <w:color w:val="231F20"/>
        </w:rPr>
        <w:t>Oxynautilus? sp.</w:t>
      </w:r>
      <w:r>
        <w:rPr>
          <w:color w:val="231F20"/>
        </w:rPr>
        <w:t>, estos</w:t>
      </w:r>
      <w:r>
        <w:rPr>
          <w:color w:val="231F20"/>
          <w:spacing w:val="-5"/>
        </w:rPr>
        <w:t> </w:t>
      </w:r>
      <w:r>
        <w:rPr>
          <w:color w:val="231F20"/>
        </w:rPr>
        <w:t>niveles</w:t>
      </w:r>
      <w:r>
        <w:rPr>
          <w:color w:val="231F20"/>
          <w:spacing w:val="-5"/>
        </w:rPr>
        <w:t> </w:t>
      </w:r>
      <w:r>
        <w:rPr>
          <w:color w:val="231F20"/>
        </w:rPr>
        <w:t>corresponden</w:t>
      </w:r>
      <w:r>
        <w:rPr>
          <w:color w:val="231F20"/>
          <w:spacing w:val="-5"/>
        </w:rPr>
        <w:t> </w:t>
      </w:r>
      <w:r>
        <w:rPr>
          <w:color w:val="231F20"/>
        </w:rPr>
        <w:t>a</w:t>
      </w:r>
      <w:r>
        <w:rPr>
          <w:color w:val="231F20"/>
          <w:spacing w:val="-5"/>
        </w:rPr>
        <w:t> </w:t>
      </w:r>
      <w:r>
        <w:rPr>
          <w:color w:val="231F20"/>
        </w:rPr>
        <w:t>tan</w:t>
      </w:r>
      <w:r>
        <w:rPr>
          <w:color w:val="231F20"/>
          <w:spacing w:val="-5"/>
        </w:rPr>
        <w:t> </w:t>
      </w:r>
      <w:r>
        <w:rPr>
          <w:color w:val="231F20"/>
        </w:rPr>
        <w:t>sólo</w:t>
      </w:r>
      <w:r>
        <w:rPr>
          <w:color w:val="231F20"/>
          <w:spacing w:val="-5"/>
        </w:rPr>
        <w:t> </w:t>
      </w:r>
      <w:r>
        <w:rPr>
          <w:color w:val="231F20"/>
        </w:rPr>
        <w:t>110m.</w:t>
      </w:r>
      <w:r>
        <w:rPr>
          <w:color w:val="231F20"/>
          <w:spacing w:val="-5"/>
        </w:rPr>
        <w:t> </w:t>
      </w:r>
      <w:r>
        <w:rPr>
          <w:color w:val="231F20"/>
        </w:rPr>
        <w:t>La</w:t>
      </w:r>
      <w:r>
        <w:rPr>
          <w:color w:val="231F20"/>
          <w:spacing w:val="-5"/>
        </w:rPr>
        <w:t> </w:t>
      </w:r>
      <w:r>
        <w:rPr>
          <w:color w:val="231F20"/>
        </w:rPr>
        <w:t>reciente caracterización</w:t>
      </w:r>
      <w:r>
        <w:rPr>
          <w:color w:val="231F20"/>
          <w:spacing w:val="-2"/>
        </w:rPr>
        <w:t> </w:t>
      </w:r>
      <w:r>
        <w:rPr>
          <w:color w:val="231F20"/>
        </w:rPr>
        <w:t>de</w:t>
      </w:r>
      <w:r>
        <w:rPr>
          <w:color w:val="231F20"/>
          <w:spacing w:val="-2"/>
        </w:rPr>
        <w:t> </w:t>
      </w:r>
      <w:r>
        <w:rPr>
          <w:color w:val="231F20"/>
        </w:rPr>
        <w:t>la</w:t>
      </w:r>
      <w:r>
        <w:rPr>
          <w:color w:val="231F20"/>
          <w:spacing w:val="-2"/>
        </w:rPr>
        <w:t> </w:t>
      </w:r>
      <w:r>
        <w:rPr>
          <w:color w:val="231F20"/>
        </w:rPr>
        <w:t>unidad,</w:t>
      </w:r>
      <w:r>
        <w:rPr>
          <w:color w:val="231F20"/>
          <w:spacing w:val="-2"/>
        </w:rPr>
        <w:t> </w:t>
      </w:r>
      <w:r>
        <w:rPr>
          <w:color w:val="231F20"/>
        </w:rPr>
        <w:t>incluye</w:t>
      </w:r>
      <w:r>
        <w:rPr>
          <w:color w:val="231F20"/>
          <w:spacing w:val="-2"/>
        </w:rPr>
        <w:t> </w:t>
      </w:r>
      <w:r>
        <w:rPr>
          <w:color w:val="231F20"/>
        </w:rPr>
        <w:t>una</w:t>
      </w:r>
      <w:r>
        <w:rPr>
          <w:color w:val="231F20"/>
          <w:spacing w:val="-2"/>
        </w:rPr>
        <w:t> </w:t>
      </w:r>
      <w:r>
        <w:rPr>
          <w:color w:val="231F20"/>
        </w:rPr>
        <w:t>medición</w:t>
      </w:r>
      <w:r>
        <w:rPr>
          <w:color w:val="231F20"/>
          <w:spacing w:val="-2"/>
        </w:rPr>
        <w:t> </w:t>
      </w:r>
      <w:r>
        <w:rPr>
          <w:color w:val="231F20"/>
        </w:rPr>
        <w:t>más completa,</w:t>
      </w:r>
      <w:r>
        <w:rPr>
          <w:color w:val="231F20"/>
          <w:spacing w:val="-13"/>
        </w:rPr>
        <w:t> </w:t>
      </w:r>
      <w:r>
        <w:rPr>
          <w:color w:val="231F20"/>
        </w:rPr>
        <w:t>en</w:t>
      </w:r>
      <w:r>
        <w:rPr>
          <w:color w:val="231F20"/>
          <w:spacing w:val="-12"/>
        </w:rPr>
        <w:t> </w:t>
      </w:r>
      <w:r>
        <w:rPr>
          <w:color w:val="231F20"/>
        </w:rPr>
        <w:t>los</w:t>
      </w:r>
      <w:r>
        <w:rPr>
          <w:color w:val="231F20"/>
          <w:spacing w:val="-13"/>
        </w:rPr>
        <w:t> </w:t>
      </w:r>
      <w:r>
        <w:rPr>
          <w:color w:val="231F20"/>
        </w:rPr>
        <w:t>que</w:t>
      </w:r>
      <w:r>
        <w:rPr>
          <w:color w:val="231F20"/>
          <w:spacing w:val="-12"/>
        </w:rPr>
        <w:t> </w:t>
      </w:r>
      <w:r>
        <w:rPr>
          <w:color w:val="231F20"/>
        </w:rPr>
        <w:t>se</w:t>
      </w:r>
      <w:r>
        <w:rPr>
          <w:color w:val="231F20"/>
          <w:spacing w:val="-13"/>
        </w:rPr>
        <w:t> </w:t>
      </w:r>
      <w:r>
        <w:rPr>
          <w:color w:val="231F20"/>
        </w:rPr>
        <w:t>encontró</w:t>
      </w:r>
      <w:r>
        <w:rPr>
          <w:color w:val="231F20"/>
          <w:spacing w:val="-12"/>
        </w:rPr>
        <w:t> </w:t>
      </w:r>
      <w:r>
        <w:rPr>
          <w:color w:val="231F20"/>
        </w:rPr>
        <w:t>un</w:t>
      </w:r>
      <w:r>
        <w:rPr>
          <w:color w:val="231F20"/>
          <w:spacing w:val="-13"/>
        </w:rPr>
        <w:t> </w:t>
      </w:r>
      <w:r>
        <w:rPr>
          <w:color w:val="231F20"/>
        </w:rPr>
        <w:t>nivel</w:t>
      </w:r>
      <w:r>
        <w:rPr>
          <w:color w:val="231F20"/>
          <w:spacing w:val="-12"/>
        </w:rPr>
        <w:t> </w:t>
      </w:r>
      <w:r>
        <w:rPr>
          <w:color w:val="231F20"/>
        </w:rPr>
        <w:t>amonítico,</w:t>
      </w:r>
      <w:r>
        <w:rPr>
          <w:color w:val="231F20"/>
          <w:spacing w:val="-13"/>
        </w:rPr>
        <w:t> </w:t>
      </w:r>
      <w:r>
        <w:rPr>
          <w:color w:val="231F20"/>
        </w:rPr>
        <w:t>con fauna juvenil de </w:t>
      </w:r>
      <w:r>
        <w:rPr>
          <w:i/>
          <w:color w:val="231F20"/>
        </w:rPr>
        <w:t>Metasibirites? sp.</w:t>
      </w:r>
      <w:r>
        <w:rPr>
          <w:color w:val="231F20"/>
        </w:rPr>
        <w:t>, también ocurrencia </w:t>
      </w:r>
      <w:r>
        <w:rPr>
          <w:color w:val="231F20"/>
          <w:spacing w:val="-2"/>
        </w:rPr>
        <w:t>de</w:t>
      </w:r>
      <w:r>
        <w:rPr>
          <w:color w:val="231F20"/>
          <w:spacing w:val="-7"/>
        </w:rPr>
        <w:t> </w:t>
      </w:r>
      <w:r>
        <w:rPr>
          <w:i/>
          <w:color w:val="231F20"/>
          <w:spacing w:val="-2"/>
        </w:rPr>
        <w:t>Monotis</w:t>
      </w:r>
      <w:r>
        <w:rPr>
          <w:i/>
          <w:color w:val="231F20"/>
          <w:spacing w:val="-6"/>
        </w:rPr>
        <w:t> </w:t>
      </w:r>
      <w:r>
        <w:rPr>
          <w:i/>
          <w:color w:val="231F20"/>
          <w:spacing w:val="-2"/>
        </w:rPr>
        <w:t>(Pacimonotis)</w:t>
      </w:r>
      <w:r>
        <w:rPr>
          <w:i/>
          <w:color w:val="231F20"/>
          <w:spacing w:val="-6"/>
        </w:rPr>
        <w:t> </w:t>
      </w:r>
      <w:r>
        <w:rPr>
          <w:i/>
          <w:color w:val="231F20"/>
          <w:spacing w:val="-2"/>
        </w:rPr>
        <w:t>subcircularis</w:t>
      </w:r>
      <w:r>
        <w:rPr>
          <w:i/>
          <w:color w:val="231F20"/>
          <w:spacing w:val="-6"/>
        </w:rPr>
        <w:t> </w:t>
      </w:r>
      <w:r>
        <w:rPr>
          <w:color w:val="231F20"/>
          <w:spacing w:val="-2"/>
        </w:rPr>
        <w:t>y</w:t>
      </w:r>
      <w:r>
        <w:rPr>
          <w:color w:val="231F20"/>
          <w:spacing w:val="-6"/>
        </w:rPr>
        <w:t> </w:t>
      </w:r>
      <w:r>
        <w:rPr>
          <w:color w:val="231F20"/>
          <w:spacing w:val="-2"/>
        </w:rPr>
        <w:t>la</w:t>
      </w:r>
      <w:r>
        <w:rPr>
          <w:color w:val="231F20"/>
          <w:spacing w:val="-6"/>
        </w:rPr>
        <w:t> </w:t>
      </w:r>
      <w:r>
        <w:rPr>
          <w:color w:val="231F20"/>
          <w:spacing w:val="-2"/>
        </w:rPr>
        <w:t>aparición</w:t>
      </w:r>
      <w:r>
        <w:rPr>
          <w:color w:val="231F20"/>
          <w:spacing w:val="-6"/>
        </w:rPr>
        <w:t> </w:t>
      </w:r>
      <w:r>
        <w:rPr>
          <w:color w:val="231F20"/>
          <w:spacing w:val="-2"/>
        </w:rPr>
        <w:t>de </w:t>
      </w:r>
      <w:r>
        <w:rPr>
          <w:color w:val="231F20"/>
        </w:rPr>
        <w:t>nautiloideos </w:t>
      </w:r>
      <w:r>
        <w:rPr>
          <w:i/>
          <w:color w:val="231F20"/>
        </w:rPr>
        <w:t>Cenoceras? sp. </w:t>
      </w:r>
      <w:r>
        <w:rPr>
          <w:color w:val="231F20"/>
        </w:rPr>
        <w:t>a lo largo de la sección </w:t>
      </w:r>
      <w:r>
        <w:rPr>
          <w:color w:val="231F20"/>
          <w:spacing w:val="-2"/>
        </w:rPr>
        <w:t>estratigráfica.</w:t>
      </w:r>
    </w:p>
    <w:p>
      <w:pPr>
        <w:pStyle w:val="BodyText"/>
        <w:spacing w:before="169"/>
      </w:pPr>
    </w:p>
    <w:p>
      <w:pPr>
        <w:pStyle w:val="Heading1"/>
        <w:ind w:left="165"/>
        <w:jc w:val="both"/>
      </w:pPr>
      <w:r>
        <w:rPr>
          <w:color w:val="231F20"/>
        </w:rPr>
        <w:t>DEFINICIÓN</w:t>
      </w:r>
      <w:r>
        <w:rPr>
          <w:color w:val="231F20"/>
          <w:spacing w:val="53"/>
        </w:rPr>
        <w:t> </w:t>
      </w:r>
      <w:r>
        <w:rPr>
          <w:color w:val="231F20"/>
        </w:rPr>
        <w:t>E</w:t>
      </w:r>
      <w:r>
        <w:rPr>
          <w:color w:val="231F20"/>
          <w:spacing w:val="53"/>
        </w:rPr>
        <w:t> </w:t>
      </w:r>
      <w:r>
        <w:rPr>
          <w:color w:val="231F20"/>
        </w:rPr>
        <w:t>IMPORTANCIA</w:t>
      </w:r>
      <w:r>
        <w:rPr>
          <w:color w:val="231F20"/>
          <w:spacing w:val="54"/>
        </w:rPr>
        <w:t> </w:t>
      </w:r>
      <w:r>
        <w:rPr>
          <w:color w:val="231F20"/>
          <w:spacing w:val="-5"/>
        </w:rPr>
        <w:t>DE</w:t>
      </w:r>
    </w:p>
    <w:p>
      <w:pPr>
        <w:spacing w:before="12"/>
        <w:ind w:left="165" w:right="0" w:firstLine="0"/>
        <w:jc w:val="both"/>
        <w:rPr>
          <w:b/>
          <w:sz w:val="20"/>
        </w:rPr>
      </w:pPr>
      <w:r>
        <w:rPr>
          <w:b/>
          <w:i/>
          <w:color w:val="231F20"/>
          <w:spacing w:val="2"/>
          <w:sz w:val="20"/>
        </w:rPr>
        <w:t>CENOCERAS</w:t>
      </w:r>
      <w:r>
        <w:rPr>
          <w:b/>
          <w:i/>
          <w:color w:val="231F20"/>
          <w:spacing w:val="50"/>
          <w:sz w:val="20"/>
        </w:rPr>
        <w:t> </w:t>
      </w:r>
      <w:r>
        <w:rPr>
          <w:b/>
          <w:color w:val="231F20"/>
          <w:spacing w:val="-5"/>
          <w:sz w:val="20"/>
        </w:rPr>
        <w:t>SP.</w:t>
      </w:r>
    </w:p>
    <w:p>
      <w:pPr>
        <w:pStyle w:val="BodyText"/>
        <w:spacing w:line="252" w:lineRule="auto" w:before="182"/>
        <w:ind w:left="162" w:right="38"/>
        <w:jc w:val="both"/>
      </w:pPr>
      <w:r>
        <w:rPr>
          <w:color w:val="231F20"/>
        </w:rPr>
        <w:t>Se considera que a partir del género </w:t>
      </w:r>
      <w:r>
        <w:rPr>
          <w:i/>
          <w:color w:val="231F20"/>
        </w:rPr>
        <w:t>Cenoceras </w:t>
      </w:r>
      <w:r>
        <w:rPr>
          <w:color w:val="231F20"/>
        </w:rPr>
        <w:t>del </w:t>
      </w:r>
      <w:r>
        <w:rPr>
          <w:color w:val="231F20"/>
          <w:spacing w:val="-2"/>
        </w:rPr>
        <w:t>Triásico</w:t>
      </w:r>
      <w:r>
        <w:rPr>
          <w:color w:val="231F20"/>
          <w:spacing w:val="-4"/>
        </w:rPr>
        <w:t> </w:t>
      </w:r>
      <w:r>
        <w:rPr>
          <w:color w:val="231F20"/>
          <w:spacing w:val="-2"/>
        </w:rPr>
        <w:t>Tardío,</w:t>
      </w:r>
      <w:r>
        <w:rPr>
          <w:color w:val="231F20"/>
          <w:spacing w:val="-4"/>
        </w:rPr>
        <w:t> </w:t>
      </w:r>
      <w:r>
        <w:rPr>
          <w:color w:val="231F20"/>
          <w:spacing w:val="-2"/>
        </w:rPr>
        <w:t>se</w:t>
      </w:r>
      <w:r>
        <w:rPr>
          <w:color w:val="231F20"/>
          <w:spacing w:val="-5"/>
        </w:rPr>
        <w:t> </w:t>
      </w:r>
      <w:r>
        <w:rPr>
          <w:color w:val="231F20"/>
          <w:spacing w:val="-2"/>
        </w:rPr>
        <w:t>desarrollan</w:t>
      </w:r>
      <w:r>
        <w:rPr>
          <w:color w:val="231F20"/>
          <w:spacing w:val="-4"/>
        </w:rPr>
        <w:t> </w:t>
      </w:r>
      <w:r>
        <w:rPr>
          <w:color w:val="231F20"/>
          <w:spacing w:val="-2"/>
        </w:rPr>
        <w:t>los</w:t>
      </w:r>
      <w:r>
        <w:rPr>
          <w:color w:val="231F20"/>
          <w:spacing w:val="-4"/>
        </w:rPr>
        <w:t> </w:t>
      </w:r>
      <w:r>
        <w:rPr>
          <w:color w:val="231F20"/>
          <w:spacing w:val="-2"/>
        </w:rPr>
        <w:t>nautílidos</w:t>
      </w:r>
      <w:r>
        <w:rPr>
          <w:color w:val="231F20"/>
          <w:spacing w:val="-5"/>
        </w:rPr>
        <w:t> </w:t>
      </w:r>
      <w:r>
        <w:rPr>
          <w:color w:val="231F20"/>
          <w:spacing w:val="-2"/>
        </w:rPr>
        <w:t>mesozoicos </w:t>
      </w:r>
      <w:r>
        <w:rPr>
          <w:color w:val="231F20"/>
        </w:rPr>
        <w:t>y cenozoicos (Fig. 2), puesto que fueron los únicos en traspasar</w:t>
      </w:r>
      <w:r>
        <w:rPr>
          <w:color w:val="231F20"/>
          <w:spacing w:val="-11"/>
        </w:rPr>
        <w:t> </w:t>
      </w:r>
      <w:r>
        <w:rPr>
          <w:color w:val="231F20"/>
        </w:rPr>
        <w:t>el</w:t>
      </w:r>
      <w:r>
        <w:rPr>
          <w:color w:val="231F20"/>
          <w:spacing w:val="-11"/>
        </w:rPr>
        <w:t> </w:t>
      </w:r>
      <w:r>
        <w:rPr>
          <w:color w:val="231F20"/>
        </w:rPr>
        <w:t>límite</w:t>
      </w:r>
      <w:r>
        <w:rPr>
          <w:color w:val="231F20"/>
          <w:spacing w:val="-11"/>
        </w:rPr>
        <w:t> </w:t>
      </w:r>
      <w:r>
        <w:rPr>
          <w:color w:val="231F20"/>
        </w:rPr>
        <w:t>Triásico-Jurásico</w:t>
      </w:r>
      <w:r>
        <w:rPr>
          <w:color w:val="231F20"/>
          <w:spacing w:val="-11"/>
        </w:rPr>
        <w:t> </w:t>
      </w:r>
      <w:r>
        <w:rPr>
          <w:color w:val="231F20"/>
        </w:rPr>
        <w:t>(Turek</w:t>
      </w:r>
      <w:r>
        <w:rPr>
          <w:color w:val="231F20"/>
          <w:spacing w:val="-11"/>
        </w:rPr>
        <w:t> </w:t>
      </w:r>
      <w:r>
        <w:rPr>
          <w:color w:val="231F20"/>
        </w:rPr>
        <w:t>et.</w:t>
      </w:r>
      <w:r>
        <w:rPr>
          <w:color w:val="231F20"/>
          <w:spacing w:val="-11"/>
        </w:rPr>
        <w:t> </w:t>
      </w:r>
      <w:r>
        <w:rPr>
          <w:color w:val="231F20"/>
        </w:rPr>
        <w:t>al,</w:t>
      </w:r>
      <w:r>
        <w:rPr>
          <w:color w:val="231F20"/>
          <w:spacing w:val="-11"/>
        </w:rPr>
        <w:t> </w:t>
      </w:r>
      <w:r>
        <w:rPr>
          <w:color w:val="231F20"/>
        </w:rPr>
        <w:t>2005). </w:t>
      </w:r>
      <w:r>
        <w:rPr>
          <w:color w:val="231F20"/>
          <w:spacing w:val="-2"/>
        </w:rPr>
        <w:t>Sus</w:t>
      </w:r>
      <w:r>
        <w:rPr>
          <w:color w:val="231F20"/>
          <w:spacing w:val="-10"/>
        </w:rPr>
        <w:t> </w:t>
      </w:r>
      <w:r>
        <w:rPr>
          <w:color w:val="231F20"/>
          <w:spacing w:val="-2"/>
        </w:rPr>
        <w:t>principales</w:t>
      </w:r>
      <w:r>
        <w:rPr>
          <w:color w:val="231F20"/>
          <w:spacing w:val="-10"/>
        </w:rPr>
        <w:t> </w:t>
      </w:r>
      <w:r>
        <w:rPr>
          <w:color w:val="231F20"/>
          <w:spacing w:val="-2"/>
        </w:rPr>
        <w:t>características</w:t>
      </w:r>
      <w:r>
        <w:rPr>
          <w:color w:val="231F20"/>
          <w:spacing w:val="-11"/>
        </w:rPr>
        <w:t> </w:t>
      </w:r>
      <w:r>
        <w:rPr>
          <w:color w:val="231F20"/>
          <w:spacing w:val="-2"/>
        </w:rPr>
        <w:t>son:</w:t>
      </w:r>
      <w:r>
        <w:rPr>
          <w:color w:val="231F20"/>
          <w:spacing w:val="-10"/>
        </w:rPr>
        <w:t> </w:t>
      </w:r>
      <w:r>
        <w:rPr>
          <w:color w:val="231F20"/>
          <w:spacing w:val="-2"/>
        </w:rPr>
        <w:t>conchas</w:t>
      </w:r>
      <w:r>
        <w:rPr>
          <w:color w:val="231F20"/>
          <w:spacing w:val="-10"/>
        </w:rPr>
        <w:t> </w:t>
      </w:r>
      <w:r>
        <w:rPr>
          <w:color w:val="231F20"/>
          <w:spacing w:val="-2"/>
        </w:rPr>
        <w:t>redondeadas, </w:t>
      </w:r>
      <w:r>
        <w:rPr>
          <w:color w:val="231F20"/>
        </w:rPr>
        <w:t>flancos</w:t>
      </w:r>
      <w:r>
        <w:rPr>
          <w:color w:val="231F20"/>
          <w:spacing w:val="-7"/>
        </w:rPr>
        <w:t> </w:t>
      </w:r>
      <w:r>
        <w:rPr>
          <w:color w:val="231F20"/>
        </w:rPr>
        <w:t>aplastados,</w:t>
      </w:r>
      <w:r>
        <w:rPr>
          <w:color w:val="231F20"/>
          <w:spacing w:val="-7"/>
        </w:rPr>
        <w:t> </w:t>
      </w:r>
      <w:r>
        <w:rPr>
          <w:color w:val="231F20"/>
        </w:rPr>
        <w:t>líneas</w:t>
      </w:r>
      <w:r>
        <w:rPr>
          <w:color w:val="231F20"/>
          <w:spacing w:val="-7"/>
        </w:rPr>
        <w:t> </w:t>
      </w:r>
      <w:r>
        <w:rPr>
          <w:color w:val="231F20"/>
        </w:rPr>
        <w:t>de</w:t>
      </w:r>
      <w:r>
        <w:rPr>
          <w:color w:val="231F20"/>
          <w:spacing w:val="-7"/>
        </w:rPr>
        <w:t> </w:t>
      </w:r>
      <w:r>
        <w:rPr>
          <w:color w:val="231F20"/>
        </w:rPr>
        <w:t>suturas</w:t>
      </w:r>
      <w:r>
        <w:rPr>
          <w:color w:val="231F20"/>
          <w:spacing w:val="-7"/>
        </w:rPr>
        <w:t> </w:t>
      </w:r>
      <w:r>
        <w:rPr>
          <w:color w:val="231F20"/>
        </w:rPr>
        <w:t>con</w:t>
      </w:r>
      <w:r>
        <w:rPr>
          <w:color w:val="231F20"/>
          <w:spacing w:val="-7"/>
        </w:rPr>
        <w:t> </w:t>
      </w:r>
      <w:r>
        <w:rPr>
          <w:color w:val="231F20"/>
        </w:rPr>
        <w:t>lóbulos</w:t>
      </w:r>
      <w:r>
        <w:rPr>
          <w:color w:val="231F20"/>
          <w:spacing w:val="-7"/>
        </w:rPr>
        <w:t> </w:t>
      </w:r>
      <w:r>
        <w:rPr>
          <w:color w:val="231F20"/>
        </w:rPr>
        <w:t>ventral y lateral poco profundos, con finas ondulaciones longitudinales en la superficie de la concha.</w:t>
      </w:r>
    </w:p>
    <w:p>
      <w:pPr>
        <w:pStyle w:val="BodyText"/>
        <w:spacing w:line="252" w:lineRule="auto" w:before="143"/>
        <w:ind w:left="162" w:right="39"/>
        <w:jc w:val="both"/>
      </w:pPr>
      <w:r>
        <w:rPr>
          <w:color w:val="231F20"/>
        </w:rPr>
        <w:t>Aunque</w:t>
      </w:r>
      <w:r>
        <w:rPr>
          <w:color w:val="231F20"/>
          <w:spacing w:val="40"/>
        </w:rPr>
        <w:t> </w:t>
      </w:r>
      <w:r>
        <w:rPr>
          <w:color w:val="231F20"/>
        </w:rPr>
        <w:t>la</w:t>
      </w:r>
      <w:r>
        <w:rPr>
          <w:color w:val="231F20"/>
          <w:spacing w:val="40"/>
        </w:rPr>
        <w:t> </w:t>
      </w:r>
      <w:r>
        <w:rPr>
          <w:color w:val="231F20"/>
        </w:rPr>
        <w:t>sistemática</w:t>
      </w:r>
      <w:r>
        <w:rPr>
          <w:color w:val="231F20"/>
          <w:spacing w:val="40"/>
        </w:rPr>
        <w:t> </w:t>
      </w:r>
      <w:r>
        <w:rPr>
          <w:color w:val="231F20"/>
        </w:rPr>
        <w:t>de</w:t>
      </w:r>
      <w:r>
        <w:rPr>
          <w:color w:val="231F20"/>
          <w:spacing w:val="40"/>
        </w:rPr>
        <w:t> </w:t>
      </w:r>
      <w:r>
        <w:rPr>
          <w:color w:val="231F20"/>
        </w:rPr>
        <w:t>esta</w:t>
      </w:r>
      <w:r>
        <w:rPr>
          <w:color w:val="231F20"/>
          <w:spacing w:val="40"/>
        </w:rPr>
        <w:t> </w:t>
      </w:r>
      <w:r>
        <w:rPr>
          <w:color w:val="231F20"/>
        </w:rPr>
        <w:t>clase</w:t>
      </w:r>
      <w:r>
        <w:rPr>
          <w:color w:val="231F20"/>
          <w:spacing w:val="40"/>
        </w:rPr>
        <w:t> </w:t>
      </w:r>
      <w:r>
        <w:rPr>
          <w:color w:val="231F20"/>
        </w:rPr>
        <w:t>de</w:t>
      </w:r>
      <w:r>
        <w:rPr>
          <w:color w:val="231F20"/>
          <w:spacing w:val="40"/>
        </w:rPr>
        <w:t> </w:t>
      </w:r>
      <w:r>
        <w:rPr>
          <w:color w:val="231F20"/>
        </w:rPr>
        <w:t>cefalópodos es compleja, como lo expresan Parent &amp; Garrido (2015), quienes refieren a taxónomos para ejemplificar “Dzik, (1984); Tintant, (1984); Rulleau, (2008); King, (2011)”, debido principalmente a las pocas variaciones morfológicas a través de los linajes; este género en específico tiene mucha importancia desde un punto de vista evolutivo, la historia de los nautiloideos triásicos </w:t>
      </w:r>
      <w:r>
        <w:rPr>
          <w:color w:val="231F20"/>
          <w:spacing w:val="-2"/>
        </w:rPr>
        <w:t>como</w:t>
      </w:r>
      <w:r>
        <w:rPr>
          <w:color w:val="231F20"/>
          <w:spacing w:val="-7"/>
        </w:rPr>
        <w:t> </w:t>
      </w:r>
      <w:r>
        <w:rPr>
          <w:color w:val="231F20"/>
          <w:spacing w:val="-2"/>
        </w:rPr>
        <w:t>indica</w:t>
      </w:r>
      <w:r>
        <w:rPr>
          <w:color w:val="231F20"/>
          <w:spacing w:val="-7"/>
        </w:rPr>
        <w:t> </w:t>
      </w:r>
      <w:r>
        <w:rPr>
          <w:color w:val="231F20"/>
          <w:spacing w:val="-2"/>
        </w:rPr>
        <w:t>Kummel(1954),</w:t>
      </w:r>
      <w:r>
        <w:rPr>
          <w:color w:val="231F20"/>
          <w:spacing w:val="-7"/>
        </w:rPr>
        <w:t> </w:t>
      </w:r>
      <w:r>
        <w:rPr>
          <w:color w:val="231F20"/>
          <w:spacing w:val="-2"/>
        </w:rPr>
        <w:t>se</w:t>
      </w:r>
      <w:r>
        <w:rPr>
          <w:color w:val="231F20"/>
          <w:spacing w:val="-7"/>
        </w:rPr>
        <w:t> </w:t>
      </w:r>
      <w:r>
        <w:rPr>
          <w:color w:val="231F20"/>
          <w:spacing w:val="-2"/>
        </w:rPr>
        <w:t>puede</w:t>
      </w:r>
      <w:r>
        <w:rPr>
          <w:color w:val="231F20"/>
          <w:spacing w:val="-7"/>
        </w:rPr>
        <w:t> </w:t>
      </w:r>
      <w:r>
        <w:rPr>
          <w:color w:val="231F20"/>
          <w:spacing w:val="-2"/>
        </w:rPr>
        <w:t>resumir</w:t>
      </w:r>
      <w:r>
        <w:rPr>
          <w:color w:val="231F20"/>
          <w:spacing w:val="-7"/>
        </w:rPr>
        <w:t> </w:t>
      </w:r>
      <w:r>
        <w:rPr>
          <w:color w:val="231F20"/>
          <w:spacing w:val="-2"/>
        </w:rPr>
        <w:t>como</w:t>
      </w:r>
      <w:r>
        <w:rPr>
          <w:color w:val="231F20"/>
          <w:spacing w:val="-7"/>
        </w:rPr>
        <w:t> </w:t>
      </w:r>
      <w:r>
        <w:rPr>
          <w:color w:val="231F20"/>
          <w:spacing w:val="-2"/>
        </w:rPr>
        <w:t>una </w:t>
      </w:r>
      <w:r>
        <w:rPr>
          <w:color w:val="231F20"/>
        </w:rPr>
        <w:t>culminación de las tendencias que comenzaron en el </w:t>
      </w:r>
      <w:r>
        <w:rPr>
          <w:color w:val="231F20"/>
          <w:spacing w:val="-2"/>
        </w:rPr>
        <w:t>Carbonífero.</w:t>
      </w:r>
    </w:p>
    <w:p>
      <w:pPr>
        <w:pStyle w:val="BodyText"/>
        <w:spacing w:line="252" w:lineRule="auto" w:before="143"/>
        <w:ind w:left="162" w:right="39"/>
        <w:jc w:val="both"/>
      </w:pPr>
      <w:r>
        <w:rPr>
          <w:color w:val="231F20"/>
        </w:rPr>
        <w:t>El alto grado de ornamentación alcanzado en algunas poblaciones</w:t>
      </w:r>
      <w:r>
        <w:rPr>
          <w:color w:val="231F20"/>
          <w:spacing w:val="-10"/>
        </w:rPr>
        <w:t> </w:t>
      </w:r>
      <w:r>
        <w:rPr>
          <w:color w:val="231F20"/>
        </w:rPr>
        <w:t>de</w:t>
      </w:r>
      <w:r>
        <w:rPr>
          <w:color w:val="231F20"/>
          <w:spacing w:val="-10"/>
        </w:rPr>
        <w:t> </w:t>
      </w:r>
      <w:r>
        <w:rPr>
          <w:color w:val="231F20"/>
        </w:rPr>
        <w:t>nautiloideos</w:t>
      </w:r>
      <w:r>
        <w:rPr>
          <w:color w:val="231F20"/>
          <w:spacing w:val="-10"/>
        </w:rPr>
        <w:t> </w:t>
      </w:r>
      <w:r>
        <w:rPr>
          <w:color w:val="231F20"/>
        </w:rPr>
        <w:t>triásicos</w:t>
      </w:r>
      <w:r>
        <w:rPr>
          <w:color w:val="231F20"/>
          <w:spacing w:val="-10"/>
        </w:rPr>
        <w:t> </w:t>
      </w:r>
      <w:r>
        <w:rPr>
          <w:color w:val="231F20"/>
        </w:rPr>
        <w:t>nunca</w:t>
      </w:r>
      <w:r>
        <w:rPr>
          <w:color w:val="231F20"/>
          <w:spacing w:val="-10"/>
        </w:rPr>
        <w:t> </w:t>
      </w:r>
      <w:r>
        <w:rPr>
          <w:color w:val="231F20"/>
        </w:rPr>
        <w:t>fue</w:t>
      </w:r>
      <w:r>
        <w:rPr>
          <w:color w:val="231F20"/>
          <w:spacing w:val="-10"/>
        </w:rPr>
        <w:t> </w:t>
      </w:r>
      <w:r>
        <w:rPr>
          <w:color w:val="231F20"/>
        </w:rPr>
        <w:t>repetido de</w:t>
      </w:r>
      <w:r>
        <w:rPr>
          <w:color w:val="231F20"/>
          <w:spacing w:val="-12"/>
        </w:rPr>
        <w:t> </w:t>
      </w:r>
      <w:r>
        <w:rPr>
          <w:color w:val="231F20"/>
        </w:rPr>
        <w:t>nuevo</w:t>
      </w:r>
      <w:r>
        <w:rPr>
          <w:color w:val="231F20"/>
          <w:spacing w:val="-12"/>
        </w:rPr>
        <w:t> </w:t>
      </w:r>
      <w:r>
        <w:rPr>
          <w:color w:val="231F20"/>
        </w:rPr>
        <w:t>en</w:t>
      </w:r>
      <w:r>
        <w:rPr>
          <w:color w:val="231F20"/>
          <w:spacing w:val="-12"/>
        </w:rPr>
        <w:t> </w:t>
      </w:r>
      <w:r>
        <w:rPr>
          <w:color w:val="231F20"/>
        </w:rPr>
        <w:t>la</w:t>
      </w:r>
      <w:r>
        <w:rPr>
          <w:color w:val="231F20"/>
          <w:spacing w:val="-12"/>
        </w:rPr>
        <w:t> </w:t>
      </w:r>
      <w:r>
        <w:rPr>
          <w:color w:val="231F20"/>
        </w:rPr>
        <w:t>evolución</w:t>
      </w:r>
      <w:r>
        <w:rPr>
          <w:color w:val="231F20"/>
          <w:spacing w:val="-12"/>
        </w:rPr>
        <w:t> </w:t>
      </w:r>
      <w:r>
        <w:rPr>
          <w:color w:val="231F20"/>
        </w:rPr>
        <w:t>de</w:t>
      </w:r>
      <w:r>
        <w:rPr>
          <w:color w:val="231F20"/>
          <w:spacing w:val="-12"/>
        </w:rPr>
        <w:t> </w:t>
      </w:r>
      <w:r>
        <w:rPr>
          <w:color w:val="231F20"/>
        </w:rPr>
        <w:t>este</w:t>
      </w:r>
      <w:r>
        <w:rPr>
          <w:color w:val="231F20"/>
          <w:spacing w:val="-12"/>
        </w:rPr>
        <w:t> </w:t>
      </w:r>
      <w:r>
        <w:rPr>
          <w:color w:val="231F20"/>
        </w:rPr>
        <w:t>grupo.</w:t>
      </w:r>
      <w:r>
        <w:rPr>
          <w:color w:val="231F20"/>
          <w:spacing w:val="-12"/>
        </w:rPr>
        <w:t> </w:t>
      </w:r>
      <w:r>
        <w:rPr>
          <w:color w:val="231F20"/>
        </w:rPr>
        <w:t>Por</w:t>
      </w:r>
      <w:r>
        <w:rPr>
          <w:color w:val="231F20"/>
          <w:spacing w:val="-12"/>
        </w:rPr>
        <w:t> </w:t>
      </w:r>
      <w:r>
        <w:rPr>
          <w:color w:val="231F20"/>
        </w:rPr>
        <w:t>último,</w:t>
      </w:r>
      <w:r>
        <w:rPr>
          <w:color w:val="231F20"/>
          <w:spacing w:val="-12"/>
        </w:rPr>
        <w:t> </w:t>
      </w:r>
      <w:r>
        <w:rPr>
          <w:color w:val="231F20"/>
        </w:rPr>
        <w:t>en</w:t>
      </w:r>
      <w:r>
        <w:rPr>
          <w:color w:val="231F20"/>
          <w:spacing w:val="-12"/>
        </w:rPr>
        <w:t> </w:t>
      </w:r>
      <w:r>
        <w:rPr>
          <w:color w:val="231F20"/>
        </w:rPr>
        <w:t>el </w:t>
      </w:r>
      <w:r>
        <w:rPr>
          <w:color w:val="231F20"/>
          <w:spacing w:val="-2"/>
        </w:rPr>
        <w:t>Jurásico</w:t>
      </w:r>
      <w:r>
        <w:rPr>
          <w:color w:val="231F20"/>
          <w:spacing w:val="-11"/>
        </w:rPr>
        <w:t> </w:t>
      </w:r>
      <w:r>
        <w:rPr>
          <w:color w:val="231F20"/>
          <w:spacing w:val="-2"/>
        </w:rPr>
        <w:t>Temprano</w:t>
      </w:r>
      <w:r>
        <w:rPr>
          <w:color w:val="231F20"/>
          <w:spacing w:val="-10"/>
        </w:rPr>
        <w:t> </w:t>
      </w:r>
      <w:r>
        <w:rPr>
          <w:color w:val="231F20"/>
          <w:spacing w:val="-2"/>
        </w:rPr>
        <w:t>nuevas</w:t>
      </w:r>
      <w:r>
        <w:rPr>
          <w:color w:val="231F20"/>
          <w:spacing w:val="-11"/>
        </w:rPr>
        <w:t> </w:t>
      </w:r>
      <w:r>
        <w:rPr>
          <w:color w:val="231F20"/>
          <w:spacing w:val="-2"/>
        </w:rPr>
        <w:t>especies</w:t>
      </w:r>
      <w:r>
        <w:rPr>
          <w:color w:val="231F20"/>
          <w:spacing w:val="-10"/>
        </w:rPr>
        <w:t> </w:t>
      </w:r>
      <w:r>
        <w:rPr>
          <w:color w:val="231F20"/>
          <w:spacing w:val="-2"/>
        </w:rPr>
        <w:t>y</w:t>
      </w:r>
      <w:r>
        <w:rPr>
          <w:color w:val="231F20"/>
          <w:spacing w:val="-11"/>
        </w:rPr>
        <w:t> </w:t>
      </w:r>
      <w:r>
        <w:rPr>
          <w:color w:val="231F20"/>
          <w:spacing w:val="-2"/>
        </w:rPr>
        <w:t>patrones</w:t>
      </w:r>
      <w:r>
        <w:rPr>
          <w:color w:val="231F20"/>
          <w:spacing w:val="-10"/>
        </w:rPr>
        <w:t> </w:t>
      </w:r>
      <w:r>
        <w:rPr>
          <w:color w:val="231F20"/>
          <w:spacing w:val="-2"/>
        </w:rPr>
        <w:t>evolutivos </w:t>
      </w:r>
      <w:r>
        <w:rPr>
          <w:color w:val="231F20"/>
        </w:rPr>
        <w:t>se establecieron rápidamente, aumentando lentamente en diversidad y abundancia (Kummel,1959), dando lugar</w:t>
      </w:r>
      <w:r>
        <w:rPr>
          <w:color w:val="231F20"/>
          <w:spacing w:val="-13"/>
        </w:rPr>
        <w:t> </w:t>
      </w:r>
      <w:r>
        <w:rPr>
          <w:color w:val="231F20"/>
        </w:rPr>
        <w:t>a</w:t>
      </w:r>
      <w:r>
        <w:rPr>
          <w:color w:val="231F20"/>
          <w:spacing w:val="-12"/>
        </w:rPr>
        <w:t> </w:t>
      </w:r>
      <w:r>
        <w:rPr>
          <w:color w:val="231F20"/>
        </w:rPr>
        <w:t>la</w:t>
      </w:r>
      <w:r>
        <w:rPr>
          <w:color w:val="231F20"/>
          <w:spacing w:val="-13"/>
        </w:rPr>
        <w:t> </w:t>
      </w:r>
      <w:r>
        <w:rPr>
          <w:color w:val="231F20"/>
        </w:rPr>
        <w:t>línea</w:t>
      </w:r>
      <w:r>
        <w:rPr>
          <w:color w:val="231F20"/>
          <w:spacing w:val="-12"/>
        </w:rPr>
        <w:t> </w:t>
      </w:r>
      <w:r>
        <w:rPr>
          <w:color w:val="231F20"/>
        </w:rPr>
        <w:t>monofilética</w:t>
      </w:r>
      <w:r>
        <w:rPr>
          <w:color w:val="231F20"/>
          <w:spacing w:val="-13"/>
        </w:rPr>
        <w:t> </w:t>
      </w:r>
      <w:r>
        <w:rPr>
          <w:color w:val="231F20"/>
        </w:rPr>
        <w:t>suborden</w:t>
      </w:r>
      <w:r>
        <w:rPr>
          <w:color w:val="231F20"/>
          <w:spacing w:val="-12"/>
        </w:rPr>
        <w:t> </w:t>
      </w:r>
      <w:r>
        <w:rPr>
          <w:color w:val="231F20"/>
        </w:rPr>
        <w:t>Nautilina,</w:t>
      </w:r>
      <w:r>
        <w:rPr>
          <w:color w:val="231F20"/>
          <w:spacing w:val="-13"/>
        </w:rPr>
        <w:t> </w:t>
      </w:r>
      <w:r>
        <w:rPr>
          <w:color w:val="231F20"/>
        </w:rPr>
        <w:t>o</w:t>
      </w:r>
      <w:r>
        <w:rPr>
          <w:color w:val="231F20"/>
          <w:spacing w:val="-12"/>
        </w:rPr>
        <w:t> </w:t>
      </w:r>
      <w:r>
        <w:rPr>
          <w:color w:val="231F20"/>
        </w:rPr>
        <w:t>mejor denominados nautiloideos post-triásicos (Fig.3).</w:t>
      </w:r>
    </w:p>
    <w:p>
      <w:pPr>
        <w:pStyle w:val="BodyText"/>
        <w:spacing w:line="252" w:lineRule="auto" w:before="143"/>
        <w:ind w:left="162" w:right="39"/>
        <w:jc w:val="both"/>
      </w:pPr>
      <w:r>
        <w:rPr>
          <w:color w:val="231F20"/>
          <w:spacing w:val="-8"/>
        </w:rPr>
        <w:t>Evans</w:t>
      </w:r>
      <w:r>
        <w:rPr>
          <w:color w:val="231F20"/>
          <w:spacing w:val="-7"/>
        </w:rPr>
        <w:t> </w:t>
      </w:r>
      <w:r>
        <w:rPr>
          <w:color w:val="231F20"/>
          <w:spacing w:val="-8"/>
        </w:rPr>
        <w:t>et</w:t>
      </w:r>
      <w:r>
        <w:rPr>
          <w:color w:val="231F20"/>
          <w:spacing w:val="-4"/>
        </w:rPr>
        <w:t> </w:t>
      </w:r>
      <w:r>
        <w:rPr>
          <w:color w:val="231F20"/>
          <w:spacing w:val="-8"/>
        </w:rPr>
        <w:t>al.</w:t>
      </w:r>
      <w:r>
        <w:rPr>
          <w:color w:val="231F20"/>
          <w:spacing w:val="-5"/>
        </w:rPr>
        <w:t> </w:t>
      </w:r>
      <w:r>
        <w:rPr>
          <w:color w:val="231F20"/>
          <w:spacing w:val="-8"/>
        </w:rPr>
        <w:t>(2014),</w:t>
      </w:r>
      <w:r>
        <w:rPr>
          <w:color w:val="231F20"/>
          <w:spacing w:val="-4"/>
        </w:rPr>
        <w:t> </w:t>
      </w:r>
      <w:r>
        <w:rPr>
          <w:color w:val="231F20"/>
          <w:spacing w:val="-8"/>
        </w:rPr>
        <w:t>recapitula</w:t>
      </w:r>
      <w:r>
        <w:rPr>
          <w:color w:val="231F20"/>
          <w:spacing w:val="-5"/>
        </w:rPr>
        <w:t> </w:t>
      </w:r>
      <w:r>
        <w:rPr>
          <w:color w:val="231F20"/>
          <w:spacing w:val="-8"/>
        </w:rPr>
        <w:t>que</w:t>
      </w:r>
      <w:r>
        <w:rPr>
          <w:color w:val="231F20"/>
          <w:spacing w:val="-4"/>
        </w:rPr>
        <w:t> </w:t>
      </w:r>
      <w:r>
        <w:rPr>
          <w:color w:val="231F20"/>
          <w:spacing w:val="-8"/>
        </w:rPr>
        <w:t>la</w:t>
      </w:r>
      <w:r>
        <w:rPr>
          <w:color w:val="231F20"/>
          <w:spacing w:val="-5"/>
        </w:rPr>
        <w:t> </w:t>
      </w:r>
      <w:r>
        <w:rPr>
          <w:color w:val="231F20"/>
          <w:spacing w:val="-8"/>
        </w:rPr>
        <w:t>designación</w:t>
      </w:r>
      <w:r>
        <w:rPr>
          <w:color w:val="231F20"/>
          <w:spacing w:val="-4"/>
        </w:rPr>
        <w:t> </w:t>
      </w:r>
      <w:r>
        <w:rPr>
          <w:i/>
          <w:color w:val="231F20"/>
          <w:spacing w:val="-8"/>
        </w:rPr>
        <w:t>Cenoceras, </w:t>
      </w:r>
      <w:r>
        <w:rPr>
          <w:color w:val="231F20"/>
          <w:spacing w:val="-6"/>
        </w:rPr>
        <w:t>se</w:t>
      </w:r>
      <w:r>
        <w:rPr>
          <w:color w:val="231F20"/>
          <w:spacing w:val="-9"/>
        </w:rPr>
        <w:t> </w:t>
      </w:r>
      <w:r>
        <w:rPr>
          <w:color w:val="231F20"/>
          <w:spacing w:val="-6"/>
        </w:rPr>
        <w:t>ha aplicado</w:t>
      </w:r>
      <w:r>
        <w:rPr>
          <w:color w:val="231F20"/>
          <w:spacing w:val="-7"/>
        </w:rPr>
        <w:t> </w:t>
      </w:r>
      <w:r>
        <w:rPr>
          <w:color w:val="231F20"/>
          <w:spacing w:val="-6"/>
        </w:rPr>
        <w:t>ampliamente de</w:t>
      </w:r>
      <w:r>
        <w:rPr>
          <w:color w:val="231F20"/>
          <w:spacing w:val="-7"/>
        </w:rPr>
        <w:t> </w:t>
      </w:r>
      <w:r>
        <w:rPr>
          <w:color w:val="231F20"/>
          <w:spacing w:val="-6"/>
        </w:rPr>
        <w:t>forma general</w:t>
      </w:r>
      <w:r>
        <w:rPr>
          <w:color w:val="231F20"/>
          <w:spacing w:val="-7"/>
        </w:rPr>
        <w:t> </w:t>
      </w:r>
      <w:r>
        <w:rPr>
          <w:color w:val="231F20"/>
          <w:spacing w:val="-6"/>
        </w:rPr>
        <w:t>a nautiloideos </w:t>
      </w:r>
      <w:r>
        <w:rPr>
          <w:color w:val="231F20"/>
        </w:rPr>
        <w:t>del</w:t>
      </w:r>
      <w:r>
        <w:rPr>
          <w:color w:val="231F20"/>
          <w:spacing w:val="19"/>
        </w:rPr>
        <w:t> </w:t>
      </w:r>
      <w:r>
        <w:rPr>
          <w:color w:val="231F20"/>
        </w:rPr>
        <w:t>Triásico</w:t>
      </w:r>
      <w:r>
        <w:rPr>
          <w:color w:val="231F20"/>
          <w:spacing w:val="22"/>
        </w:rPr>
        <w:t> </w:t>
      </w:r>
      <w:r>
        <w:rPr>
          <w:color w:val="231F20"/>
        </w:rPr>
        <w:t>Tardío</w:t>
      </w:r>
      <w:r>
        <w:rPr>
          <w:color w:val="231F20"/>
          <w:spacing w:val="22"/>
        </w:rPr>
        <w:t> </w:t>
      </w:r>
      <w:r>
        <w:rPr>
          <w:color w:val="231F20"/>
        </w:rPr>
        <w:t>y</w:t>
      </w:r>
      <w:r>
        <w:rPr>
          <w:color w:val="231F20"/>
          <w:spacing w:val="22"/>
        </w:rPr>
        <w:t> </w:t>
      </w:r>
      <w:r>
        <w:rPr>
          <w:color w:val="231F20"/>
        </w:rPr>
        <w:t>Jurásico,</w:t>
      </w:r>
      <w:r>
        <w:rPr>
          <w:color w:val="231F20"/>
          <w:spacing w:val="21"/>
        </w:rPr>
        <w:t> </w:t>
      </w:r>
      <w:r>
        <w:rPr>
          <w:color w:val="231F20"/>
        </w:rPr>
        <w:t>siendo</w:t>
      </w:r>
      <w:r>
        <w:rPr>
          <w:color w:val="231F20"/>
          <w:spacing w:val="22"/>
        </w:rPr>
        <w:t> </w:t>
      </w:r>
      <w:r>
        <w:rPr>
          <w:color w:val="231F20"/>
        </w:rPr>
        <w:t>un</w:t>
      </w:r>
      <w:r>
        <w:rPr>
          <w:color w:val="231F20"/>
          <w:spacing w:val="22"/>
        </w:rPr>
        <w:t> </w:t>
      </w:r>
      <w:r>
        <w:rPr>
          <w:color w:val="231F20"/>
        </w:rPr>
        <w:t>género</w:t>
      </w:r>
      <w:r>
        <w:rPr>
          <w:color w:val="231F20"/>
          <w:spacing w:val="22"/>
        </w:rPr>
        <w:t> </w:t>
      </w:r>
      <w:r>
        <w:rPr>
          <w:color w:val="231F20"/>
          <w:spacing w:val="-5"/>
        </w:rPr>
        <w:t>muy</w:t>
      </w:r>
    </w:p>
    <w:p>
      <w:pPr>
        <w:spacing w:line="240" w:lineRule="auto" w:before="4" w:after="25"/>
        <w:rPr>
          <w:sz w:val="15"/>
        </w:rPr>
      </w:pPr>
      <w:r>
        <w:rPr/>
        <w:br w:type="column"/>
      </w:r>
      <w:r>
        <w:rPr>
          <w:sz w:val="15"/>
        </w:rPr>
      </w:r>
    </w:p>
    <w:p>
      <w:pPr>
        <w:pStyle w:val="BodyText"/>
        <w:ind w:left="217"/>
      </w:pPr>
      <w:r>
        <w:rPr/>
        <w:drawing>
          <wp:inline distT="0" distB="0" distL="0" distR="0">
            <wp:extent cx="2828133" cy="3538728"/>
            <wp:effectExtent l="0" t="0" r="0" b="0"/>
            <wp:docPr id="19" name="Image 19"/>
            <wp:cNvGraphicFramePr>
              <a:graphicFrameLocks/>
            </wp:cNvGraphicFramePr>
            <a:graphic>
              <a:graphicData uri="http://schemas.openxmlformats.org/drawingml/2006/picture">
                <pic:pic>
                  <pic:nvPicPr>
                    <pic:cNvPr id="19" name="Image 19"/>
                    <pic:cNvPicPr/>
                  </pic:nvPicPr>
                  <pic:blipFill>
                    <a:blip r:embed="rId16" cstate="print"/>
                    <a:stretch>
                      <a:fillRect/>
                    </a:stretch>
                  </pic:blipFill>
                  <pic:spPr>
                    <a:xfrm>
                      <a:off x="0" y="0"/>
                      <a:ext cx="2828133" cy="3538728"/>
                    </a:xfrm>
                    <a:prstGeom prst="rect">
                      <a:avLst/>
                    </a:prstGeom>
                  </pic:spPr>
                </pic:pic>
              </a:graphicData>
            </a:graphic>
          </wp:inline>
        </w:drawing>
      </w:r>
      <w:r>
        <w:rPr/>
      </w:r>
    </w:p>
    <w:p>
      <w:pPr>
        <w:pStyle w:val="BodyText"/>
        <w:rPr>
          <w:sz w:val="16"/>
        </w:rPr>
      </w:pPr>
    </w:p>
    <w:p>
      <w:pPr>
        <w:pStyle w:val="BodyText"/>
        <w:spacing w:before="138"/>
        <w:rPr>
          <w:sz w:val="16"/>
        </w:rPr>
      </w:pPr>
    </w:p>
    <w:p>
      <w:pPr>
        <w:spacing w:line="249" w:lineRule="auto" w:before="1"/>
        <w:ind w:left="203" w:right="381" w:firstLine="0"/>
        <w:jc w:val="left"/>
        <w:rPr>
          <w:sz w:val="16"/>
        </w:rPr>
      </w:pPr>
      <w:r>
        <w:rPr>
          <w:b/>
          <w:color w:val="231F20"/>
          <w:sz w:val="16"/>
        </w:rPr>
        <w:t>Figura 2</w:t>
      </w:r>
      <w:r>
        <w:rPr>
          <w:color w:val="231F20"/>
          <w:sz w:val="16"/>
        </w:rPr>
        <w:t>. Diagrama ilustrando la propuesta filogenética de Nautilus,</w:t>
      </w:r>
      <w:r>
        <w:rPr>
          <w:color w:val="231F20"/>
          <w:spacing w:val="40"/>
          <w:sz w:val="16"/>
        </w:rPr>
        <w:t> </w:t>
      </w:r>
      <w:r>
        <w:rPr>
          <w:color w:val="231F20"/>
          <w:sz w:val="16"/>
        </w:rPr>
        <w:t>tomado y modificado de Saunders &amp; Landman (1987).</w:t>
      </w:r>
    </w:p>
    <w:p>
      <w:pPr>
        <w:pStyle w:val="BodyText"/>
        <w:spacing w:before="20"/>
      </w:pPr>
      <w:r>
        <w:rPr/>
        <w:drawing>
          <wp:anchor distT="0" distB="0" distL="0" distR="0" allowOverlap="1" layoutInCell="1" locked="0" behindDoc="1" simplePos="0" relativeHeight="487589888">
            <wp:simplePos x="0" y="0"/>
            <wp:positionH relativeFrom="page">
              <wp:posOffset>3982320</wp:posOffset>
            </wp:positionH>
            <wp:positionV relativeFrom="paragraph">
              <wp:posOffset>174012</wp:posOffset>
            </wp:positionV>
            <wp:extent cx="2898064" cy="2926080"/>
            <wp:effectExtent l="0" t="0" r="0" b="0"/>
            <wp:wrapTopAndBottom/>
            <wp:docPr id="20" name="Image 20"/>
            <wp:cNvGraphicFramePr>
              <a:graphicFrameLocks/>
            </wp:cNvGraphicFramePr>
            <a:graphic>
              <a:graphicData uri="http://schemas.openxmlformats.org/drawingml/2006/picture">
                <pic:pic>
                  <pic:nvPicPr>
                    <pic:cNvPr id="20" name="Image 20"/>
                    <pic:cNvPicPr/>
                  </pic:nvPicPr>
                  <pic:blipFill>
                    <a:blip r:embed="rId17" cstate="print"/>
                    <a:stretch>
                      <a:fillRect/>
                    </a:stretch>
                  </pic:blipFill>
                  <pic:spPr>
                    <a:xfrm>
                      <a:off x="0" y="0"/>
                      <a:ext cx="2898064" cy="2926080"/>
                    </a:xfrm>
                    <a:prstGeom prst="rect">
                      <a:avLst/>
                    </a:prstGeom>
                  </pic:spPr>
                </pic:pic>
              </a:graphicData>
            </a:graphic>
          </wp:anchor>
        </w:drawing>
      </w:r>
    </w:p>
    <w:p>
      <w:pPr>
        <w:pStyle w:val="BodyText"/>
        <w:spacing w:before="103"/>
        <w:rPr>
          <w:sz w:val="16"/>
        </w:rPr>
      </w:pPr>
    </w:p>
    <w:p>
      <w:pPr>
        <w:spacing w:line="249" w:lineRule="auto" w:before="0"/>
        <w:ind w:left="487" w:right="751" w:hanging="284"/>
        <w:jc w:val="both"/>
        <w:rPr>
          <w:sz w:val="16"/>
        </w:rPr>
      </w:pPr>
      <w:r>
        <w:rPr>
          <w:b/>
          <w:color w:val="231F20"/>
          <w:sz w:val="16"/>
        </w:rPr>
        <w:t>Figura 3. </w:t>
      </w:r>
      <w:r>
        <w:rPr>
          <w:color w:val="231F20"/>
          <w:sz w:val="16"/>
        </w:rPr>
        <w:t>Diagrama filogenético ilustrando la relación de los</w:t>
      </w:r>
      <w:r>
        <w:rPr>
          <w:color w:val="231F20"/>
          <w:spacing w:val="40"/>
          <w:sz w:val="16"/>
        </w:rPr>
        <w:t> </w:t>
      </w:r>
      <w:r>
        <w:rPr>
          <w:color w:val="231F20"/>
          <w:sz w:val="16"/>
        </w:rPr>
        <w:t>cenoceratidos del Liásico con las familias de nautiloideos</w:t>
      </w:r>
      <w:r>
        <w:rPr>
          <w:color w:val="231F20"/>
          <w:spacing w:val="40"/>
          <w:sz w:val="16"/>
        </w:rPr>
        <w:t> </w:t>
      </w:r>
      <w:r>
        <w:rPr>
          <w:color w:val="231F20"/>
          <w:sz w:val="16"/>
        </w:rPr>
        <w:t>triásicos. Tomado y modificado de Kummel (1959).</w:t>
      </w:r>
    </w:p>
    <w:p>
      <w:pPr>
        <w:spacing w:after="0" w:line="249" w:lineRule="auto"/>
        <w:jc w:val="both"/>
        <w:rPr>
          <w:sz w:val="16"/>
        </w:rPr>
        <w:sectPr>
          <w:type w:val="continuous"/>
          <w:pgSz w:w="12260" w:h="15560"/>
          <w:pgMar w:header="307" w:footer="336" w:top="240" w:bottom="520" w:left="1275" w:right="708"/>
          <w:cols w:num="2" w:equalWidth="0">
            <w:col w:w="4663" w:space="171"/>
            <w:col w:w="5443"/>
          </w:cols>
        </w:sectPr>
      </w:pPr>
    </w:p>
    <w:p>
      <w:pPr>
        <w:pStyle w:val="BodyText"/>
      </w:pPr>
    </w:p>
    <w:p>
      <w:pPr>
        <w:pStyle w:val="BodyText"/>
        <w:spacing w:before="70"/>
      </w:pPr>
    </w:p>
    <w:p>
      <w:pPr>
        <w:pStyle w:val="BodyText"/>
        <w:spacing w:after="0"/>
        <w:sectPr>
          <w:pgSz w:w="12260" w:h="15560"/>
          <w:pgMar w:header="373" w:footer="336" w:top="560" w:bottom="520" w:left="1275" w:right="708"/>
        </w:sectPr>
      </w:pPr>
    </w:p>
    <w:p>
      <w:pPr>
        <w:pStyle w:val="BodyText"/>
        <w:spacing w:line="252" w:lineRule="auto" w:before="96"/>
        <w:ind w:left="218" w:right="38"/>
        <w:jc w:val="both"/>
      </w:pPr>
      <w:r>
        <w:rPr>
          <w:color w:val="231F20"/>
          <w:spacing w:val="-2"/>
        </w:rPr>
        <w:t>importante</w:t>
      </w:r>
      <w:r>
        <w:rPr>
          <w:color w:val="231F20"/>
          <w:spacing w:val="-9"/>
        </w:rPr>
        <w:t> </w:t>
      </w:r>
      <w:r>
        <w:rPr>
          <w:color w:val="231F20"/>
          <w:spacing w:val="-2"/>
        </w:rPr>
        <w:t>y</w:t>
      </w:r>
      <w:r>
        <w:rPr>
          <w:color w:val="231F20"/>
          <w:spacing w:val="-9"/>
        </w:rPr>
        <w:t> </w:t>
      </w:r>
      <w:r>
        <w:rPr>
          <w:color w:val="231F20"/>
          <w:spacing w:val="-2"/>
        </w:rPr>
        <w:t>ahora</w:t>
      </w:r>
      <w:r>
        <w:rPr>
          <w:color w:val="231F20"/>
          <w:spacing w:val="-9"/>
        </w:rPr>
        <w:t> </w:t>
      </w:r>
      <w:r>
        <w:rPr>
          <w:color w:val="231F20"/>
          <w:spacing w:val="-2"/>
        </w:rPr>
        <w:t>es</w:t>
      </w:r>
      <w:r>
        <w:rPr>
          <w:color w:val="231F20"/>
          <w:spacing w:val="-9"/>
        </w:rPr>
        <w:t> </w:t>
      </w:r>
      <w:r>
        <w:rPr>
          <w:color w:val="231F20"/>
          <w:spacing w:val="-2"/>
        </w:rPr>
        <w:t>reconocido</w:t>
      </w:r>
      <w:r>
        <w:rPr>
          <w:color w:val="231F20"/>
          <w:spacing w:val="-9"/>
        </w:rPr>
        <w:t> </w:t>
      </w:r>
      <w:r>
        <w:rPr>
          <w:color w:val="231F20"/>
          <w:spacing w:val="-2"/>
        </w:rPr>
        <w:t>que</w:t>
      </w:r>
      <w:r>
        <w:rPr>
          <w:color w:val="231F20"/>
          <w:spacing w:val="-9"/>
        </w:rPr>
        <w:t> </w:t>
      </w:r>
      <w:r>
        <w:rPr>
          <w:color w:val="231F20"/>
          <w:spacing w:val="-2"/>
        </w:rPr>
        <w:t>esto</w:t>
      </w:r>
      <w:r>
        <w:rPr>
          <w:color w:val="231F20"/>
          <w:spacing w:val="-9"/>
        </w:rPr>
        <w:t> </w:t>
      </w:r>
      <w:r>
        <w:rPr>
          <w:color w:val="231F20"/>
          <w:spacing w:val="-2"/>
        </w:rPr>
        <w:t>enmascara</w:t>
      </w:r>
      <w:r>
        <w:rPr>
          <w:color w:val="231F20"/>
          <w:spacing w:val="-9"/>
        </w:rPr>
        <w:t> </w:t>
      </w:r>
      <w:r>
        <w:rPr>
          <w:color w:val="231F20"/>
          <w:spacing w:val="-2"/>
        </w:rPr>
        <w:t>una </w:t>
      </w:r>
      <w:r>
        <w:rPr>
          <w:color w:val="231F20"/>
        </w:rPr>
        <w:t>serie</w:t>
      </w:r>
      <w:r>
        <w:rPr>
          <w:color w:val="231F20"/>
          <w:spacing w:val="-3"/>
        </w:rPr>
        <w:t> </w:t>
      </w:r>
      <w:r>
        <w:rPr>
          <w:color w:val="231F20"/>
        </w:rPr>
        <w:t>de</w:t>
      </w:r>
      <w:r>
        <w:rPr>
          <w:color w:val="231F20"/>
          <w:spacing w:val="-3"/>
        </w:rPr>
        <w:t> </w:t>
      </w:r>
      <w:r>
        <w:rPr>
          <w:color w:val="231F20"/>
        </w:rPr>
        <w:t>distinciones</w:t>
      </w:r>
      <w:r>
        <w:rPr>
          <w:color w:val="231F20"/>
          <w:spacing w:val="-4"/>
        </w:rPr>
        <w:t> </w:t>
      </w:r>
      <w:r>
        <w:rPr>
          <w:color w:val="231F20"/>
        </w:rPr>
        <w:t>dentro</w:t>
      </w:r>
      <w:r>
        <w:rPr>
          <w:color w:val="231F20"/>
          <w:spacing w:val="-3"/>
        </w:rPr>
        <w:t> </w:t>
      </w:r>
      <w:r>
        <w:rPr>
          <w:color w:val="231F20"/>
        </w:rPr>
        <w:t>de</w:t>
      </w:r>
      <w:r>
        <w:rPr>
          <w:color w:val="231F20"/>
          <w:spacing w:val="-4"/>
        </w:rPr>
        <w:t> </w:t>
      </w:r>
      <w:r>
        <w:rPr>
          <w:color w:val="231F20"/>
        </w:rPr>
        <w:t>este.</w:t>
      </w:r>
      <w:r>
        <w:rPr>
          <w:color w:val="231F20"/>
          <w:spacing w:val="-3"/>
        </w:rPr>
        <w:t> </w:t>
      </w:r>
      <w:r>
        <w:rPr>
          <w:color w:val="231F20"/>
        </w:rPr>
        <w:t>Mencionan</w:t>
      </w:r>
      <w:r>
        <w:rPr>
          <w:color w:val="231F20"/>
          <w:spacing w:val="-3"/>
        </w:rPr>
        <w:t> </w:t>
      </w:r>
      <w:r>
        <w:rPr>
          <w:color w:val="231F20"/>
        </w:rPr>
        <w:t>trabajos anteriores (Hyatt 1894, Spath 1927), donde reconocen </w:t>
      </w:r>
      <w:r>
        <w:rPr>
          <w:color w:val="231F20"/>
          <w:spacing w:val="-4"/>
        </w:rPr>
        <w:t>diferentes</w:t>
      </w:r>
      <w:r>
        <w:rPr>
          <w:color w:val="231F20"/>
          <w:spacing w:val="-9"/>
        </w:rPr>
        <w:t> </w:t>
      </w:r>
      <w:r>
        <w:rPr>
          <w:color w:val="231F20"/>
          <w:spacing w:val="-4"/>
        </w:rPr>
        <w:t>morfotipos</w:t>
      </w:r>
      <w:r>
        <w:rPr>
          <w:color w:val="231F20"/>
          <w:spacing w:val="-8"/>
        </w:rPr>
        <w:t> </w:t>
      </w:r>
      <w:r>
        <w:rPr>
          <w:color w:val="231F20"/>
          <w:spacing w:val="-4"/>
        </w:rPr>
        <w:t>dentro</w:t>
      </w:r>
      <w:r>
        <w:rPr>
          <w:color w:val="231F20"/>
          <w:spacing w:val="-9"/>
        </w:rPr>
        <w:t> </w:t>
      </w:r>
      <w:r>
        <w:rPr>
          <w:color w:val="231F20"/>
          <w:spacing w:val="-4"/>
        </w:rPr>
        <w:t>del</w:t>
      </w:r>
      <w:r>
        <w:rPr>
          <w:color w:val="231F20"/>
          <w:spacing w:val="-8"/>
        </w:rPr>
        <w:t> </w:t>
      </w:r>
      <w:r>
        <w:rPr>
          <w:i/>
          <w:color w:val="231F20"/>
          <w:spacing w:val="-4"/>
        </w:rPr>
        <w:t>“complejo</w:t>
      </w:r>
      <w:r>
        <w:rPr>
          <w:i/>
          <w:color w:val="231F20"/>
          <w:spacing w:val="-9"/>
        </w:rPr>
        <w:t> </w:t>
      </w:r>
      <w:r>
        <w:rPr>
          <w:i/>
          <w:color w:val="231F20"/>
          <w:spacing w:val="-4"/>
        </w:rPr>
        <w:t>de</w:t>
      </w:r>
      <w:r>
        <w:rPr>
          <w:i/>
          <w:color w:val="231F20"/>
          <w:spacing w:val="-8"/>
        </w:rPr>
        <w:t> </w:t>
      </w:r>
      <w:r>
        <w:rPr>
          <w:i/>
          <w:color w:val="231F20"/>
          <w:spacing w:val="-4"/>
        </w:rPr>
        <w:t>Cenoceras” </w:t>
      </w:r>
      <w:r>
        <w:rPr>
          <w:color w:val="231F20"/>
          <w:spacing w:val="-4"/>
        </w:rPr>
        <w:t>y</w:t>
      </w:r>
      <w:r>
        <w:rPr>
          <w:color w:val="231F20"/>
          <w:spacing w:val="-9"/>
        </w:rPr>
        <w:t> </w:t>
      </w:r>
      <w:r>
        <w:rPr>
          <w:color w:val="231F20"/>
          <w:spacing w:val="-4"/>
        </w:rPr>
        <w:t>se</w:t>
      </w:r>
      <w:r>
        <w:rPr>
          <w:color w:val="231F20"/>
          <w:spacing w:val="-8"/>
        </w:rPr>
        <w:t> </w:t>
      </w:r>
      <w:r>
        <w:rPr>
          <w:color w:val="231F20"/>
          <w:spacing w:val="-4"/>
        </w:rPr>
        <w:t>proporcionan</w:t>
      </w:r>
      <w:r>
        <w:rPr>
          <w:color w:val="231F20"/>
          <w:spacing w:val="-9"/>
        </w:rPr>
        <w:t> </w:t>
      </w:r>
      <w:r>
        <w:rPr>
          <w:color w:val="231F20"/>
          <w:spacing w:val="-4"/>
        </w:rPr>
        <w:t>nombres</w:t>
      </w:r>
      <w:r>
        <w:rPr>
          <w:color w:val="231F20"/>
          <w:spacing w:val="-8"/>
        </w:rPr>
        <w:t> </w:t>
      </w:r>
      <w:r>
        <w:rPr>
          <w:color w:val="231F20"/>
          <w:spacing w:val="-4"/>
        </w:rPr>
        <w:t>para</w:t>
      </w:r>
      <w:r>
        <w:rPr>
          <w:color w:val="231F20"/>
          <w:spacing w:val="-9"/>
        </w:rPr>
        <w:t> </w:t>
      </w:r>
      <w:r>
        <w:rPr>
          <w:color w:val="231F20"/>
          <w:spacing w:val="-4"/>
        </w:rPr>
        <w:t>varias</w:t>
      </w:r>
      <w:r>
        <w:rPr>
          <w:color w:val="231F20"/>
          <w:spacing w:val="-8"/>
        </w:rPr>
        <w:t> </w:t>
      </w:r>
      <w:r>
        <w:rPr>
          <w:color w:val="231F20"/>
          <w:spacing w:val="-4"/>
        </w:rPr>
        <w:t>formas</w:t>
      </w:r>
      <w:r>
        <w:rPr>
          <w:color w:val="231F20"/>
          <w:spacing w:val="-9"/>
        </w:rPr>
        <w:t> </w:t>
      </w:r>
      <w:r>
        <w:rPr>
          <w:color w:val="231F20"/>
          <w:spacing w:val="-4"/>
        </w:rPr>
        <w:t>(incluyendo </w:t>
      </w:r>
      <w:r>
        <w:rPr>
          <w:i/>
          <w:color w:val="231F20"/>
        </w:rPr>
        <w:t>Digonioceras, Ophionautilus </w:t>
      </w:r>
      <w:r>
        <w:rPr>
          <w:color w:val="231F20"/>
        </w:rPr>
        <w:t>y </w:t>
      </w:r>
      <w:r>
        <w:rPr>
          <w:i/>
          <w:color w:val="231F20"/>
        </w:rPr>
        <w:t>Sphaeronautilus</w:t>
      </w:r>
      <w:r>
        <w:rPr>
          <w:color w:val="231F20"/>
        </w:rPr>
        <w:t>). En el </w:t>
      </w:r>
      <w:r>
        <w:rPr>
          <w:color w:val="231F20"/>
          <w:spacing w:val="-6"/>
        </w:rPr>
        <w:t>trabajo</w:t>
      </w:r>
      <w:r>
        <w:rPr>
          <w:color w:val="231F20"/>
          <w:spacing w:val="-9"/>
        </w:rPr>
        <w:t> </w:t>
      </w:r>
      <w:r>
        <w:rPr>
          <w:color w:val="231F20"/>
          <w:spacing w:val="-6"/>
        </w:rPr>
        <w:t>de King</w:t>
      </w:r>
      <w:r>
        <w:rPr>
          <w:color w:val="231F20"/>
          <w:spacing w:val="-7"/>
        </w:rPr>
        <w:t> </w:t>
      </w:r>
      <w:r>
        <w:rPr>
          <w:color w:val="231F20"/>
          <w:spacing w:val="-6"/>
        </w:rPr>
        <w:t>(2011), también</w:t>
      </w:r>
      <w:r>
        <w:rPr>
          <w:color w:val="231F20"/>
          <w:spacing w:val="-7"/>
        </w:rPr>
        <w:t> </w:t>
      </w:r>
      <w:r>
        <w:rPr>
          <w:color w:val="231F20"/>
          <w:spacing w:val="-6"/>
        </w:rPr>
        <w:t>se incluye</w:t>
      </w:r>
      <w:r>
        <w:rPr>
          <w:color w:val="231F20"/>
          <w:spacing w:val="-7"/>
        </w:rPr>
        <w:t> </w:t>
      </w:r>
      <w:r>
        <w:rPr>
          <w:color w:val="231F20"/>
          <w:spacing w:val="-6"/>
        </w:rPr>
        <w:t>la diferenciación </w:t>
      </w:r>
      <w:r>
        <w:rPr>
          <w:color w:val="231F20"/>
        </w:rPr>
        <w:t>establecida por Tintant (1984), quién describió tres subgéneros dentro de </w:t>
      </w:r>
      <w:r>
        <w:rPr>
          <w:i/>
          <w:color w:val="231F20"/>
        </w:rPr>
        <w:t>Cenoceras</w:t>
      </w:r>
      <w:r>
        <w:rPr>
          <w:color w:val="231F20"/>
        </w:rPr>
        <w:t>: </w:t>
      </w:r>
      <w:r>
        <w:rPr>
          <w:i/>
          <w:color w:val="231F20"/>
        </w:rPr>
        <w:t>Cenoceras (stricto sensu), Hemicenoceras </w:t>
      </w:r>
      <w:r>
        <w:rPr>
          <w:color w:val="231F20"/>
        </w:rPr>
        <w:t>y </w:t>
      </w:r>
      <w:r>
        <w:rPr>
          <w:i/>
          <w:color w:val="231F20"/>
        </w:rPr>
        <w:t>Metacenoceras</w:t>
      </w:r>
      <w:r>
        <w:rPr>
          <w:color w:val="231F20"/>
        </w:rPr>
        <w:t>; basado en diferencias</w:t>
      </w:r>
      <w:r>
        <w:rPr>
          <w:color w:val="231F20"/>
          <w:spacing w:val="-9"/>
        </w:rPr>
        <w:t> </w:t>
      </w:r>
      <w:r>
        <w:rPr>
          <w:color w:val="231F20"/>
        </w:rPr>
        <w:t>aparentemente</w:t>
      </w:r>
      <w:r>
        <w:rPr>
          <w:color w:val="231F20"/>
          <w:spacing w:val="-8"/>
        </w:rPr>
        <w:t> </w:t>
      </w:r>
      <w:r>
        <w:rPr>
          <w:color w:val="231F20"/>
        </w:rPr>
        <w:t>consistentes</w:t>
      </w:r>
      <w:r>
        <w:rPr>
          <w:color w:val="231F20"/>
          <w:spacing w:val="-9"/>
        </w:rPr>
        <w:t> </w:t>
      </w:r>
      <w:r>
        <w:rPr>
          <w:color w:val="231F20"/>
        </w:rPr>
        <w:t>en</w:t>
      </w:r>
      <w:r>
        <w:rPr>
          <w:color w:val="231F20"/>
          <w:spacing w:val="-8"/>
        </w:rPr>
        <w:t> </w:t>
      </w:r>
      <w:r>
        <w:rPr>
          <w:color w:val="231F20"/>
        </w:rPr>
        <w:t>la</w:t>
      </w:r>
      <w:r>
        <w:rPr>
          <w:color w:val="231F20"/>
          <w:spacing w:val="-8"/>
        </w:rPr>
        <w:t> </w:t>
      </w:r>
      <w:r>
        <w:rPr>
          <w:color w:val="231F20"/>
        </w:rPr>
        <w:t>forma</w:t>
      </w:r>
      <w:r>
        <w:rPr>
          <w:color w:val="231F20"/>
          <w:spacing w:val="-8"/>
        </w:rPr>
        <w:t> </w:t>
      </w:r>
      <w:r>
        <w:rPr>
          <w:color w:val="231F20"/>
        </w:rPr>
        <w:t>de</w:t>
      </w:r>
      <w:r>
        <w:rPr>
          <w:color w:val="231F20"/>
          <w:spacing w:val="-8"/>
        </w:rPr>
        <w:t> </w:t>
      </w:r>
      <w:r>
        <w:rPr>
          <w:color w:val="231F20"/>
        </w:rPr>
        <w:t>la </w:t>
      </w:r>
      <w:r>
        <w:rPr>
          <w:color w:val="231F20"/>
          <w:spacing w:val="-4"/>
        </w:rPr>
        <w:t>concha.</w:t>
      </w:r>
      <w:r>
        <w:rPr>
          <w:color w:val="231F20"/>
          <w:spacing w:val="-9"/>
        </w:rPr>
        <w:t> </w:t>
      </w:r>
      <w:r>
        <w:rPr>
          <w:i/>
          <w:color w:val="231F20"/>
          <w:spacing w:val="-4"/>
        </w:rPr>
        <w:t>Cenoceras</w:t>
      </w:r>
      <w:r>
        <w:rPr>
          <w:i/>
          <w:color w:val="231F20"/>
          <w:spacing w:val="-8"/>
        </w:rPr>
        <w:t> </w:t>
      </w:r>
      <w:r>
        <w:rPr>
          <w:color w:val="231F20"/>
          <w:spacing w:val="-4"/>
        </w:rPr>
        <w:t>para</w:t>
      </w:r>
      <w:r>
        <w:rPr>
          <w:color w:val="231F20"/>
          <w:spacing w:val="-9"/>
        </w:rPr>
        <w:t> </w:t>
      </w:r>
      <w:r>
        <w:rPr>
          <w:color w:val="231F20"/>
          <w:spacing w:val="-4"/>
        </w:rPr>
        <w:t>formas</w:t>
      </w:r>
      <w:r>
        <w:rPr>
          <w:color w:val="231F20"/>
          <w:spacing w:val="-8"/>
        </w:rPr>
        <w:t> </w:t>
      </w:r>
      <w:r>
        <w:rPr>
          <w:color w:val="231F20"/>
          <w:spacing w:val="-4"/>
        </w:rPr>
        <w:t>con</w:t>
      </w:r>
      <w:r>
        <w:rPr>
          <w:color w:val="231F20"/>
          <w:spacing w:val="-9"/>
        </w:rPr>
        <w:t> </w:t>
      </w:r>
      <w:r>
        <w:rPr>
          <w:color w:val="231F20"/>
          <w:spacing w:val="-4"/>
        </w:rPr>
        <w:t>conchas</w:t>
      </w:r>
      <w:r>
        <w:rPr>
          <w:color w:val="231F20"/>
          <w:spacing w:val="-8"/>
        </w:rPr>
        <w:t> </w:t>
      </w:r>
      <w:r>
        <w:rPr>
          <w:color w:val="231F20"/>
          <w:spacing w:val="-4"/>
        </w:rPr>
        <w:t>relativamente </w:t>
      </w:r>
      <w:r>
        <w:rPr>
          <w:color w:val="231F20"/>
        </w:rPr>
        <w:t>robustas, involutas que poseen un adorno en espiral en las</w:t>
      </w:r>
      <w:r>
        <w:rPr>
          <w:color w:val="231F20"/>
          <w:spacing w:val="-13"/>
        </w:rPr>
        <w:t> </w:t>
      </w:r>
      <w:r>
        <w:rPr>
          <w:color w:val="231F20"/>
        </w:rPr>
        <w:t>superficies</w:t>
      </w:r>
      <w:r>
        <w:rPr>
          <w:color w:val="231F20"/>
          <w:spacing w:val="-12"/>
        </w:rPr>
        <w:t> </w:t>
      </w:r>
      <w:r>
        <w:rPr>
          <w:color w:val="231F20"/>
        </w:rPr>
        <w:t>ventrales</w:t>
      </w:r>
      <w:r>
        <w:rPr>
          <w:color w:val="231F20"/>
          <w:spacing w:val="-13"/>
        </w:rPr>
        <w:t> </w:t>
      </w:r>
      <w:r>
        <w:rPr>
          <w:color w:val="231F20"/>
        </w:rPr>
        <w:t>y</w:t>
      </w:r>
      <w:r>
        <w:rPr>
          <w:color w:val="231F20"/>
          <w:spacing w:val="-12"/>
        </w:rPr>
        <w:t> </w:t>
      </w:r>
      <w:r>
        <w:rPr>
          <w:color w:val="231F20"/>
        </w:rPr>
        <w:t>laterales;</w:t>
      </w:r>
      <w:r>
        <w:rPr>
          <w:color w:val="231F20"/>
          <w:spacing w:val="-12"/>
        </w:rPr>
        <w:t> </w:t>
      </w:r>
      <w:r>
        <w:rPr>
          <w:i/>
          <w:color w:val="231F20"/>
        </w:rPr>
        <w:t>Hemicenoceras</w:t>
      </w:r>
      <w:r>
        <w:rPr>
          <w:i/>
          <w:color w:val="231F20"/>
          <w:spacing w:val="-13"/>
        </w:rPr>
        <w:t> </w:t>
      </w:r>
      <w:r>
        <w:rPr>
          <w:color w:val="231F20"/>
        </w:rPr>
        <w:t>para </w:t>
      </w:r>
      <w:r>
        <w:rPr>
          <w:color w:val="231F20"/>
          <w:spacing w:val="-2"/>
        </w:rPr>
        <w:t>formas</w:t>
      </w:r>
      <w:r>
        <w:rPr>
          <w:color w:val="231F20"/>
          <w:spacing w:val="-11"/>
        </w:rPr>
        <w:t> </w:t>
      </w:r>
      <w:r>
        <w:rPr>
          <w:color w:val="231F20"/>
          <w:spacing w:val="-2"/>
        </w:rPr>
        <w:t>comprimidas</w:t>
      </w:r>
      <w:r>
        <w:rPr>
          <w:color w:val="231F20"/>
          <w:spacing w:val="-10"/>
        </w:rPr>
        <w:t> </w:t>
      </w:r>
      <w:r>
        <w:rPr>
          <w:color w:val="231F20"/>
          <w:spacing w:val="-2"/>
        </w:rPr>
        <w:t>que</w:t>
      </w:r>
      <w:r>
        <w:rPr>
          <w:color w:val="231F20"/>
          <w:spacing w:val="-11"/>
        </w:rPr>
        <w:t> </w:t>
      </w:r>
      <w:r>
        <w:rPr>
          <w:color w:val="231F20"/>
          <w:spacing w:val="-2"/>
        </w:rPr>
        <w:t>poseen</w:t>
      </w:r>
      <w:r>
        <w:rPr>
          <w:color w:val="231F20"/>
          <w:spacing w:val="-10"/>
        </w:rPr>
        <w:t> </w:t>
      </w:r>
      <w:r>
        <w:rPr>
          <w:color w:val="231F20"/>
          <w:spacing w:val="-2"/>
        </w:rPr>
        <w:t>adornos</w:t>
      </w:r>
      <w:r>
        <w:rPr>
          <w:color w:val="231F20"/>
          <w:spacing w:val="-11"/>
        </w:rPr>
        <w:t> </w:t>
      </w:r>
      <w:r>
        <w:rPr>
          <w:color w:val="231F20"/>
          <w:spacing w:val="-2"/>
        </w:rPr>
        <w:t>en</w:t>
      </w:r>
      <w:r>
        <w:rPr>
          <w:color w:val="231F20"/>
          <w:spacing w:val="-10"/>
        </w:rPr>
        <w:t> </w:t>
      </w:r>
      <w:r>
        <w:rPr>
          <w:color w:val="231F20"/>
          <w:spacing w:val="-2"/>
        </w:rPr>
        <w:t>espiral</w:t>
      </w:r>
      <w:r>
        <w:rPr>
          <w:color w:val="231F20"/>
          <w:spacing w:val="-11"/>
        </w:rPr>
        <w:t> </w:t>
      </w:r>
      <w:r>
        <w:rPr>
          <w:color w:val="231F20"/>
          <w:spacing w:val="-2"/>
        </w:rPr>
        <w:t>que</w:t>
      </w:r>
      <w:r>
        <w:rPr>
          <w:color w:val="231F20"/>
          <w:spacing w:val="-10"/>
        </w:rPr>
        <w:t> </w:t>
      </w:r>
      <w:r>
        <w:rPr>
          <w:color w:val="231F20"/>
          <w:spacing w:val="-2"/>
        </w:rPr>
        <w:t>se </w:t>
      </w:r>
      <w:r>
        <w:rPr>
          <w:color w:val="231F20"/>
          <w:spacing w:val="-4"/>
        </w:rPr>
        <w:t>limita</w:t>
      </w:r>
      <w:r>
        <w:rPr>
          <w:color w:val="231F20"/>
          <w:spacing w:val="-9"/>
        </w:rPr>
        <w:t> </w:t>
      </w:r>
      <w:r>
        <w:rPr>
          <w:color w:val="231F20"/>
          <w:spacing w:val="-4"/>
        </w:rPr>
        <w:t>principalmente</w:t>
      </w:r>
      <w:r>
        <w:rPr>
          <w:color w:val="231F20"/>
          <w:spacing w:val="-8"/>
        </w:rPr>
        <w:t> </w:t>
      </w:r>
      <w:r>
        <w:rPr>
          <w:color w:val="231F20"/>
          <w:spacing w:val="-4"/>
        </w:rPr>
        <w:t>para</w:t>
      </w:r>
      <w:r>
        <w:rPr>
          <w:color w:val="231F20"/>
          <w:spacing w:val="-9"/>
        </w:rPr>
        <w:t> </w:t>
      </w:r>
      <w:r>
        <w:rPr>
          <w:color w:val="231F20"/>
          <w:spacing w:val="-4"/>
        </w:rPr>
        <w:t>el</w:t>
      </w:r>
      <w:r>
        <w:rPr>
          <w:color w:val="231F20"/>
          <w:spacing w:val="-8"/>
        </w:rPr>
        <w:t> </w:t>
      </w:r>
      <w:r>
        <w:rPr>
          <w:color w:val="231F20"/>
          <w:spacing w:val="-4"/>
        </w:rPr>
        <w:t>área</w:t>
      </w:r>
      <w:r>
        <w:rPr>
          <w:color w:val="231F20"/>
          <w:spacing w:val="-9"/>
        </w:rPr>
        <w:t> </w:t>
      </w:r>
      <w:r>
        <w:rPr>
          <w:color w:val="231F20"/>
          <w:spacing w:val="-4"/>
        </w:rPr>
        <w:t>ventral</w:t>
      </w:r>
      <w:r>
        <w:rPr>
          <w:color w:val="231F20"/>
          <w:spacing w:val="-8"/>
        </w:rPr>
        <w:t> </w:t>
      </w:r>
      <w:r>
        <w:rPr>
          <w:color w:val="231F20"/>
          <w:spacing w:val="-4"/>
        </w:rPr>
        <w:t>y</w:t>
      </w:r>
      <w:r>
        <w:rPr>
          <w:color w:val="231F20"/>
          <w:spacing w:val="-9"/>
        </w:rPr>
        <w:t> </w:t>
      </w:r>
      <w:r>
        <w:rPr>
          <w:i/>
          <w:color w:val="231F20"/>
          <w:spacing w:val="-4"/>
        </w:rPr>
        <w:t>Metacenoceras </w:t>
      </w:r>
      <w:r>
        <w:rPr>
          <w:color w:val="231F20"/>
          <w:spacing w:val="-6"/>
        </w:rPr>
        <w:t>para</w:t>
      </w:r>
      <w:r>
        <w:rPr>
          <w:color w:val="231F20"/>
          <w:spacing w:val="-7"/>
        </w:rPr>
        <w:t> </w:t>
      </w:r>
      <w:r>
        <w:rPr>
          <w:color w:val="231F20"/>
          <w:spacing w:val="-6"/>
        </w:rPr>
        <w:t>formas con</w:t>
      </w:r>
      <w:r>
        <w:rPr>
          <w:color w:val="231F20"/>
          <w:spacing w:val="-7"/>
        </w:rPr>
        <w:t> </w:t>
      </w:r>
      <w:r>
        <w:rPr>
          <w:color w:val="231F20"/>
          <w:spacing w:val="-6"/>
        </w:rPr>
        <w:t>un vientre</w:t>
      </w:r>
      <w:r>
        <w:rPr>
          <w:color w:val="231F20"/>
          <w:spacing w:val="-7"/>
        </w:rPr>
        <w:t> </w:t>
      </w:r>
      <w:r>
        <w:rPr>
          <w:color w:val="231F20"/>
          <w:spacing w:val="-6"/>
        </w:rPr>
        <w:t>aplanado y</w:t>
      </w:r>
      <w:r>
        <w:rPr>
          <w:color w:val="231F20"/>
          <w:spacing w:val="-7"/>
        </w:rPr>
        <w:t> </w:t>
      </w:r>
      <w:r>
        <w:rPr>
          <w:color w:val="231F20"/>
          <w:spacing w:val="-6"/>
        </w:rPr>
        <w:t>líneas de</w:t>
      </w:r>
      <w:r>
        <w:rPr>
          <w:color w:val="231F20"/>
          <w:spacing w:val="-7"/>
        </w:rPr>
        <w:t> </w:t>
      </w:r>
      <w:r>
        <w:rPr>
          <w:color w:val="231F20"/>
          <w:spacing w:val="-6"/>
        </w:rPr>
        <w:t>crecimiento </w:t>
      </w:r>
      <w:r>
        <w:rPr>
          <w:color w:val="231F20"/>
        </w:rPr>
        <w:t>finas</w:t>
      </w:r>
      <w:r>
        <w:rPr>
          <w:color w:val="231F20"/>
          <w:spacing w:val="-9"/>
        </w:rPr>
        <w:t> </w:t>
      </w:r>
      <w:r>
        <w:rPr>
          <w:color w:val="231F20"/>
        </w:rPr>
        <w:t>transversales.</w:t>
      </w:r>
    </w:p>
    <w:p>
      <w:pPr>
        <w:pStyle w:val="BodyText"/>
        <w:spacing w:before="162"/>
      </w:pPr>
    </w:p>
    <w:p>
      <w:pPr>
        <w:pStyle w:val="Heading1"/>
        <w:spacing w:line="252" w:lineRule="auto"/>
        <w:ind w:left="222"/>
      </w:pPr>
      <w:r>
        <w:rPr>
          <w:color w:val="231F20"/>
        </w:rPr>
        <w:t>PALEONTOLOGÍA SISTEMÁTICA DE LOS NAUTILOIDEOS TRIÁSICOS</w:t>
      </w:r>
    </w:p>
    <w:p>
      <w:pPr>
        <w:pStyle w:val="BodyText"/>
        <w:spacing w:line="252" w:lineRule="auto" w:before="170"/>
        <w:ind w:left="218" w:right="42"/>
        <w:jc w:val="both"/>
      </w:pPr>
      <w:r>
        <w:rPr>
          <w:color w:val="231F20"/>
        </w:rPr>
        <w:t>Se incluye la revisión de los ejemplares identificados por Geyer (1973),</w:t>
      </w:r>
      <w:r>
        <w:rPr>
          <w:color w:val="231F20"/>
          <w:spacing w:val="40"/>
        </w:rPr>
        <w:t> </w:t>
      </w:r>
      <w:r>
        <w:rPr>
          <w:color w:val="231F20"/>
        </w:rPr>
        <w:t>en cercanías a las Cuevas de Tuluní en el nivel de </w:t>
      </w:r>
      <w:r>
        <w:rPr>
          <w:i/>
          <w:color w:val="231F20"/>
        </w:rPr>
        <w:t>Calizas con Monotis </w:t>
      </w:r>
      <w:r>
        <w:rPr>
          <w:color w:val="231F20"/>
        </w:rPr>
        <w:t>de la formación triásica, además se presenta el nuevo material recolectado de la misma localidad. En líneas generales, la sistemática utilizada en este trabajo está basada en</w:t>
      </w:r>
      <w:r>
        <w:rPr>
          <w:color w:val="231F20"/>
          <w:spacing w:val="40"/>
        </w:rPr>
        <w:t> </w:t>
      </w:r>
      <w:r>
        <w:rPr>
          <w:color w:val="231F20"/>
        </w:rPr>
        <w:t>las propuestas de Kummel (1954, 1959), Géczy (1961) y Tintant (1987). La clasificación taxonómica fue realizada</w:t>
      </w:r>
      <w:r>
        <w:rPr>
          <w:color w:val="231F20"/>
          <w:spacing w:val="-2"/>
        </w:rPr>
        <w:t> </w:t>
      </w:r>
      <w:r>
        <w:rPr>
          <w:color w:val="231F20"/>
        </w:rPr>
        <w:t>por</w:t>
      </w:r>
      <w:r>
        <w:rPr>
          <w:color w:val="231F20"/>
          <w:spacing w:val="-2"/>
        </w:rPr>
        <w:t> </w:t>
      </w:r>
      <w:r>
        <w:rPr>
          <w:color w:val="231F20"/>
        </w:rPr>
        <w:t>comparaciones</w:t>
      </w:r>
      <w:r>
        <w:rPr>
          <w:color w:val="231F20"/>
          <w:spacing w:val="-2"/>
        </w:rPr>
        <w:t> </w:t>
      </w:r>
      <w:r>
        <w:rPr>
          <w:color w:val="231F20"/>
        </w:rPr>
        <w:t>con</w:t>
      </w:r>
      <w:r>
        <w:rPr>
          <w:color w:val="231F20"/>
          <w:spacing w:val="-2"/>
        </w:rPr>
        <w:t> </w:t>
      </w:r>
      <w:r>
        <w:rPr>
          <w:color w:val="231F20"/>
        </w:rPr>
        <w:t>cenoceratidos</w:t>
      </w:r>
      <w:r>
        <w:rPr>
          <w:color w:val="231F20"/>
          <w:spacing w:val="-2"/>
        </w:rPr>
        <w:t> </w:t>
      </w:r>
      <w:r>
        <w:rPr>
          <w:color w:val="231F20"/>
        </w:rPr>
        <w:t>de</w:t>
      </w:r>
      <w:r>
        <w:rPr>
          <w:color w:val="231F20"/>
          <w:spacing w:val="-2"/>
        </w:rPr>
        <w:t> </w:t>
      </w:r>
      <w:r>
        <w:rPr>
          <w:color w:val="231F20"/>
        </w:rPr>
        <w:t>otras partes del mundo con base en los trabajos de Branger (2004), King(2011) y</w:t>
      </w:r>
      <w:r>
        <w:rPr>
          <w:color w:val="231F20"/>
          <w:spacing w:val="40"/>
        </w:rPr>
        <w:t> </w:t>
      </w:r>
      <w:r>
        <w:rPr>
          <w:color w:val="231F20"/>
        </w:rPr>
        <w:t>Parent &amp; Garrido (2015), ya que estos incluyen especímenes con cierta semejanza a los nautiloideos presentados aquí.</w:t>
      </w:r>
    </w:p>
    <w:p>
      <w:pPr>
        <w:pStyle w:val="BodyText"/>
        <w:spacing w:before="163"/>
      </w:pPr>
    </w:p>
    <w:p>
      <w:pPr>
        <w:pStyle w:val="Heading2"/>
        <w:spacing w:line="369" w:lineRule="auto"/>
        <w:ind w:right="1234"/>
        <w:jc w:val="both"/>
        <w:rPr>
          <w:i w:val="0"/>
        </w:rPr>
      </w:pPr>
      <w:r>
        <w:rPr>
          <w:color w:val="231F20"/>
        </w:rPr>
        <w:t>Género: Oxynautilus Mojsisovics, 1902 Oxynautilus? sp. </w:t>
      </w:r>
      <w:r>
        <w:rPr>
          <w:i w:val="0"/>
          <w:color w:val="231F20"/>
        </w:rPr>
        <w:t>Geyer,1973</w:t>
      </w:r>
    </w:p>
    <w:p>
      <w:pPr>
        <w:spacing w:line="252" w:lineRule="auto" w:before="58"/>
        <w:ind w:left="219" w:right="40" w:firstLine="0"/>
        <w:jc w:val="both"/>
        <w:rPr>
          <w:i/>
          <w:sz w:val="20"/>
        </w:rPr>
      </w:pPr>
      <w:r>
        <w:rPr>
          <w:color w:val="231F20"/>
          <w:sz w:val="20"/>
        </w:rPr>
        <w:t>“</w:t>
      </w:r>
      <w:r>
        <w:rPr>
          <w:i/>
          <w:color w:val="231F20"/>
          <w:sz w:val="20"/>
        </w:rPr>
        <w:t>In den Monotis-Kalken von Chaparral fanden sich </w:t>
      </w:r>
      <w:r>
        <w:rPr>
          <w:i/>
          <w:color w:val="231F20"/>
          <w:spacing w:val="9"/>
          <w:sz w:val="20"/>
        </w:rPr>
        <w:t>insgesamt</w:t>
      </w:r>
      <w:r>
        <w:rPr>
          <w:i/>
          <w:color w:val="231F20"/>
          <w:spacing w:val="9"/>
          <w:sz w:val="20"/>
        </w:rPr>
        <w:t> </w:t>
      </w:r>
      <w:r>
        <w:rPr>
          <w:i/>
          <w:color w:val="231F20"/>
          <w:sz w:val="20"/>
        </w:rPr>
        <w:t>5 Reste von </w:t>
      </w:r>
      <w:r>
        <w:rPr>
          <w:i/>
          <w:color w:val="231F20"/>
          <w:spacing w:val="9"/>
          <w:sz w:val="20"/>
        </w:rPr>
        <w:t>Nautiloideen.</w:t>
      </w:r>
      <w:r>
        <w:rPr>
          <w:i/>
          <w:color w:val="231F20"/>
          <w:spacing w:val="9"/>
          <w:sz w:val="20"/>
        </w:rPr>
        <w:t> </w:t>
      </w:r>
      <w:r>
        <w:rPr>
          <w:i/>
          <w:color w:val="231F20"/>
          <w:sz w:val="20"/>
        </w:rPr>
        <w:t>Sie gehören anscheinend alle der gleichen Art an. Das am besten erhaltene Exemplar ist etwa parallel zur Medianlinie aufgespalten und in seinen Konturen aus einer Platte feinkristallinen Kalksteins leicht herausgewittert. Eine weitere präparative Freilegung war nicht möglich.</w:t>
      </w:r>
      <w:r>
        <w:rPr>
          <w:i/>
          <w:color w:val="231F20"/>
          <w:spacing w:val="80"/>
          <w:sz w:val="20"/>
        </w:rPr>
        <w:t> </w:t>
      </w:r>
      <w:r>
        <w:rPr>
          <w:i/>
          <w:color w:val="231F20"/>
          <w:sz w:val="20"/>
        </w:rPr>
        <w:t>Das Gehause besitzt einen Durchmesser von 14,8 cm und vor der Mündung eine mediane Windungshöhe von 6,8</w:t>
      </w:r>
      <w:r>
        <w:rPr>
          <w:i/>
          <w:color w:val="231F20"/>
          <w:spacing w:val="-13"/>
          <w:sz w:val="20"/>
        </w:rPr>
        <w:t> </w:t>
      </w:r>
      <w:r>
        <w:rPr>
          <w:i/>
          <w:color w:val="231F20"/>
          <w:sz w:val="20"/>
        </w:rPr>
        <w:t>cm.</w:t>
      </w:r>
      <w:r>
        <w:rPr>
          <w:i/>
          <w:color w:val="231F20"/>
          <w:spacing w:val="-12"/>
          <w:sz w:val="20"/>
        </w:rPr>
        <w:t> </w:t>
      </w:r>
      <w:r>
        <w:rPr>
          <w:i/>
          <w:color w:val="231F20"/>
          <w:sz w:val="20"/>
        </w:rPr>
        <w:t>Die</w:t>
      </w:r>
      <w:r>
        <w:rPr>
          <w:i/>
          <w:color w:val="231F20"/>
          <w:spacing w:val="-13"/>
          <w:sz w:val="20"/>
        </w:rPr>
        <w:t> </w:t>
      </w:r>
      <w:r>
        <w:rPr>
          <w:i/>
          <w:color w:val="231F20"/>
          <w:sz w:val="20"/>
        </w:rPr>
        <w:t>Vollform</w:t>
      </w:r>
      <w:r>
        <w:rPr>
          <w:i/>
          <w:color w:val="231F20"/>
          <w:spacing w:val="-12"/>
          <w:sz w:val="20"/>
        </w:rPr>
        <w:t> </w:t>
      </w:r>
      <w:r>
        <w:rPr>
          <w:i/>
          <w:color w:val="231F20"/>
          <w:sz w:val="20"/>
        </w:rPr>
        <w:t>ergibt</w:t>
      </w:r>
      <w:r>
        <w:rPr>
          <w:i/>
          <w:color w:val="231F20"/>
          <w:spacing w:val="-13"/>
          <w:sz w:val="20"/>
        </w:rPr>
        <w:t> </w:t>
      </w:r>
      <w:r>
        <w:rPr>
          <w:i/>
          <w:color w:val="231F20"/>
          <w:sz w:val="20"/>
        </w:rPr>
        <w:t>zweifellos</w:t>
      </w:r>
      <w:r>
        <w:rPr>
          <w:i/>
          <w:color w:val="231F20"/>
          <w:spacing w:val="-12"/>
          <w:sz w:val="20"/>
        </w:rPr>
        <w:t> </w:t>
      </w:r>
      <w:r>
        <w:rPr>
          <w:i/>
          <w:color w:val="231F20"/>
          <w:sz w:val="20"/>
        </w:rPr>
        <w:t>ein</w:t>
      </w:r>
      <w:r>
        <w:rPr>
          <w:i/>
          <w:color w:val="231F20"/>
          <w:spacing w:val="-13"/>
          <w:sz w:val="20"/>
        </w:rPr>
        <w:t> </w:t>
      </w:r>
      <w:r>
        <w:rPr>
          <w:i/>
          <w:color w:val="231F20"/>
          <w:sz w:val="20"/>
        </w:rPr>
        <w:t>stark</w:t>
      </w:r>
      <w:r>
        <w:rPr>
          <w:i/>
          <w:color w:val="231F20"/>
          <w:spacing w:val="-12"/>
          <w:sz w:val="20"/>
        </w:rPr>
        <w:t> </w:t>
      </w:r>
      <w:r>
        <w:rPr>
          <w:i/>
          <w:color w:val="231F20"/>
          <w:sz w:val="20"/>
        </w:rPr>
        <w:t>involutes </w:t>
      </w:r>
      <w:r>
        <w:rPr>
          <w:i/>
          <w:color w:val="231F20"/>
          <w:spacing w:val="-2"/>
          <w:sz w:val="20"/>
        </w:rPr>
        <w:t>Gehäuse. Der Windungsquerschnitt ist nicht feststellbar, </w:t>
      </w:r>
      <w:r>
        <w:rPr>
          <w:i/>
          <w:color w:val="231F20"/>
          <w:sz w:val="20"/>
        </w:rPr>
        <w:t>doch dürfte ursprünglich eine eher schmale Externseite vorgelegen haben. Der Sipho ist nicht zu beobachten. </w:t>
      </w:r>
      <w:r>
        <w:rPr>
          <w:i/>
          <w:color w:val="231F20"/>
          <w:spacing w:val="-2"/>
          <w:sz w:val="20"/>
        </w:rPr>
        <w:t>Die</w:t>
      </w:r>
      <w:r>
        <w:rPr>
          <w:i/>
          <w:color w:val="231F20"/>
          <w:spacing w:val="-11"/>
          <w:sz w:val="20"/>
        </w:rPr>
        <w:t> </w:t>
      </w:r>
      <w:r>
        <w:rPr>
          <w:i/>
          <w:color w:val="231F20"/>
          <w:spacing w:val="-2"/>
          <w:sz w:val="20"/>
        </w:rPr>
        <w:t>Kammerscheidewände</w:t>
      </w:r>
      <w:r>
        <w:rPr>
          <w:i/>
          <w:color w:val="231F20"/>
          <w:spacing w:val="-10"/>
          <w:sz w:val="20"/>
        </w:rPr>
        <w:t> </w:t>
      </w:r>
      <w:r>
        <w:rPr>
          <w:i/>
          <w:color w:val="231F20"/>
          <w:spacing w:val="-2"/>
          <w:sz w:val="20"/>
        </w:rPr>
        <w:t>biegen</w:t>
      </w:r>
      <w:r>
        <w:rPr>
          <w:i/>
          <w:color w:val="231F20"/>
          <w:spacing w:val="-11"/>
          <w:sz w:val="20"/>
        </w:rPr>
        <w:t> </w:t>
      </w:r>
      <w:r>
        <w:rPr>
          <w:i/>
          <w:color w:val="231F20"/>
          <w:spacing w:val="-2"/>
          <w:sz w:val="20"/>
        </w:rPr>
        <w:t>in</w:t>
      </w:r>
      <w:r>
        <w:rPr>
          <w:i/>
          <w:color w:val="231F20"/>
          <w:spacing w:val="-10"/>
          <w:sz w:val="20"/>
        </w:rPr>
        <w:t> </w:t>
      </w:r>
      <w:r>
        <w:rPr>
          <w:i/>
          <w:color w:val="231F20"/>
          <w:spacing w:val="-2"/>
          <w:sz w:val="20"/>
        </w:rPr>
        <w:t>einem</w:t>
      </w:r>
      <w:r>
        <w:rPr>
          <w:i/>
          <w:color w:val="231F20"/>
          <w:spacing w:val="-11"/>
          <w:sz w:val="20"/>
        </w:rPr>
        <w:t> </w:t>
      </w:r>
      <w:r>
        <w:rPr>
          <w:i/>
          <w:color w:val="231F20"/>
          <w:spacing w:val="-2"/>
          <w:sz w:val="20"/>
        </w:rPr>
        <w:t>weiten</w:t>
      </w:r>
      <w:r>
        <w:rPr>
          <w:i/>
          <w:color w:val="231F20"/>
          <w:spacing w:val="-10"/>
          <w:sz w:val="20"/>
        </w:rPr>
        <w:t> </w:t>
      </w:r>
      <w:r>
        <w:rPr>
          <w:i/>
          <w:color w:val="231F20"/>
          <w:spacing w:val="-2"/>
          <w:sz w:val="20"/>
        </w:rPr>
        <w:t>Bogen nach</w:t>
      </w:r>
      <w:r>
        <w:rPr>
          <w:i/>
          <w:color w:val="231F20"/>
          <w:spacing w:val="-3"/>
          <w:sz w:val="20"/>
        </w:rPr>
        <w:t> </w:t>
      </w:r>
      <w:r>
        <w:rPr>
          <w:i/>
          <w:color w:val="231F20"/>
          <w:spacing w:val="-2"/>
          <w:sz w:val="20"/>
        </w:rPr>
        <w:t>hinten aus; die Lobenlinie dürfte über einen breiten</w:t>
      </w:r>
    </w:p>
    <w:p>
      <w:pPr>
        <w:spacing w:line="254" w:lineRule="auto" w:before="92"/>
        <w:ind w:left="219" w:right="694" w:firstLine="0"/>
        <w:jc w:val="both"/>
        <w:rPr>
          <w:sz w:val="20"/>
        </w:rPr>
      </w:pPr>
      <w:r>
        <w:rPr/>
        <w:br w:type="column"/>
      </w:r>
      <w:r>
        <w:rPr>
          <w:i/>
          <w:color w:val="231F20"/>
          <w:sz w:val="20"/>
        </w:rPr>
        <w:t>Laterallobus und einen ziemlich spitz vorspringenden </w:t>
      </w:r>
      <w:r>
        <w:rPr>
          <w:i/>
          <w:color w:val="231F20"/>
          <w:spacing w:val="-4"/>
          <w:sz w:val="20"/>
        </w:rPr>
        <w:t>Ventrallobus</w:t>
      </w:r>
      <w:r>
        <w:rPr>
          <w:i/>
          <w:color w:val="231F20"/>
          <w:spacing w:val="-5"/>
          <w:sz w:val="20"/>
        </w:rPr>
        <w:t> </w:t>
      </w:r>
      <w:r>
        <w:rPr>
          <w:i/>
          <w:color w:val="231F20"/>
          <w:spacing w:val="-4"/>
          <w:sz w:val="20"/>
        </w:rPr>
        <w:t>verfügen;</w:t>
      </w:r>
      <w:r>
        <w:rPr>
          <w:i/>
          <w:color w:val="231F20"/>
          <w:spacing w:val="-5"/>
          <w:sz w:val="20"/>
        </w:rPr>
        <w:t> </w:t>
      </w:r>
      <w:r>
        <w:rPr>
          <w:i/>
          <w:color w:val="231F20"/>
          <w:spacing w:val="-4"/>
          <w:sz w:val="20"/>
        </w:rPr>
        <w:t>über</w:t>
      </w:r>
      <w:r>
        <w:rPr>
          <w:i/>
          <w:color w:val="231F20"/>
          <w:spacing w:val="-5"/>
          <w:sz w:val="20"/>
        </w:rPr>
        <w:t> </w:t>
      </w:r>
      <w:r>
        <w:rPr>
          <w:i/>
          <w:color w:val="231F20"/>
          <w:spacing w:val="-4"/>
          <w:sz w:val="20"/>
        </w:rPr>
        <w:t>Umbilikal-</w:t>
      </w:r>
      <w:r>
        <w:rPr>
          <w:i/>
          <w:color w:val="231F20"/>
          <w:spacing w:val="-5"/>
          <w:sz w:val="20"/>
        </w:rPr>
        <w:t> </w:t>
      </w:r>
      <w:r>
        <w:rPr>
          <w:i/>
          <w:color w:val="231F20"/>
          <w:spacing w:val="-4"/>
          <w:sz w:val="20"/>
        </w:rPr>
        <w:t>und</w:t>
      </w:r>
      <w:r>
        <w:rPr>
          <w:i/>
          <w:color w:val="231F20"/>
          <w:spacing w:val="-5"/>
          <w:sz w:val="20"/>
        </w:rPr>
        <w:t> </w:t>
      </w:r>
      <w:r>
        <w:rPr>
          <w:i/>
          <w:color w:val="231F20"/>
          <w:spacing w:val="-4"/>
          <w:sz w:val="20"/>
        </w:rPr>
        <w:t>Annularlobus </w:t>
      </w:r>
      <w:r>
        <w:rPr>
          <w:i/>
          <w:color w:val="231F20"/>
          <w:sz w:val="20"/>
        </w:rPr>
        <w:t>sind keine Aussagen möglich. Die Schalenmündung ist angedeutet;</w:t>
      </w:r>
      <w:r>
        <w:rPr>
          <w:i/>
          <w:color w:val="231F20"/>
          <w:spacing w:val="-9"/>
          <w:sz w:val="20"/>
        </w:rPr>
        <w:t> </w:t>
      </w:r>
      <w:r>
        <w:rPr>
          <w:i/>
          <w:color w:val="231F20"/>
          <w:sz w:val="20"/>
        </w:rPr>
        <w:t>die</w:t>
      </w:r>
      <w:r>
        <w:rPr>
          <w:i/>
          <w:color w:val="231F20"/>
          <w:spacing w:val="-9"/>
          <w:sz w:val="20"/>
        </w:rPr>
        <w:t> </w:t>
      </w:r>
      <w:r>
        <w:rPr>
          <w:i/>
          <w:color w:val="231F20"/>
          <w:sz w:val="20"/>
        </w:rPr>
        <w:t>Wohnkammer</w:t>
      </w:r>
      <w:r>
        <w:rPr>
          <w:i/>
          <w:color w:val="231F20"/>
          <w:spacing w:val="-9"/>
          <w:sz w:val="20"/>
        </w:rPr>
        <w:t> </w:t>
      </w:r>
      <w:r>
        <w:rPr>
          <w:i/>
          <w:color w:val="231F20"/>
          <w:sz w:val="20"/>
        </w:rPr>
        <w:t>verfügt</w:t>
      </w:r>
      <w:r>
        <w:rPr>
          <w:i/>
          <w:color w:val="231F20"/>
          <w:spacing w:val="-9"/>
          <w:sz w:val="20"/>
        </w:rPr>
        <w:t> </w:t>
      </w:r>
      <w:r>
        <w:rPr>
          <w:i/>
          <w:color w:val="231F20"/>
          <w:sz w:val="20"/>
        </w:rPr>
        <w:t>demnach</w:t>
      </w:r>
      <w:r>
        <w:rPr>
          <w:i/>
          <w:color w:val="231F20"/>
          <w:spacing w:val="-9"/>
          <w:sz w:val="20"/>
        </w:rPr>
        <w:t> </w:t>
      </w:r>
      <w:r>
        <w:rPr>
          <w:i/>
          <w:color w:val="231F20"/>
          <w:sz w:val="20"/>
        </w:rPr>
        <w:t>über</w:t>
      </w:r>
      <w:r>
        <w:rPr>
          <w:i/>
          <w:color w:val="231F20"/>
          <w:spacing w:val="-9"/>
          <w:sz w:val="20"/>
        </w:rPr>
        <w:t> </w:t>
      </w:r>
      <w:r>
        <w:rPr>
          <w:i/>
          <w:color w:val="231F20"/>
          <w:sz w:val="20"/>
        </w:rPr>
        <w:t>ein Drittel des letzten Umgangs. Alle beobachtbaren oder zu</w:t>
      </w:r>
      <w:r>
        <w:rPr>
          <w:i/>
          <w:color w:val="231F20"/>
          <w:spacing w:val="-9"/>
          <w:sz w:val="20"/>
        </w:rPr>
        <w:t> </w:t>
      </w:r>
      <w:r>
        <w:rPr>
          <w:i/>
          <w:color w:val="231F20"/>
          <w:sz w:val="20"/>
        </w:rPr>
        <w:t>vermutenden</w:t>
      </w:r>
      <w:r>
        <w:rPr>
          <w:i/>
          <w:color w:val="231F20"/>
          <w:spacing w:val="-9"/>
          <w:sz w:val="20"/>
        </w:rPr>
        <w:t> </w:t>
      </w:r>
      <w:r>
        <w:rPr>
          <w:i/>
          <w:color w:val="231F20"/>
          <w:sz w:val="20"/>
        </w:rPr>
        <w:t>Merkmale</w:t>
      </w:r>
      <w:r>
        <w:rPr>
          <w:i/>
          <w:color w:val="231F20"/>
          <w:spacing w:val="-9"/>
          <w:sz w:val="20"/>
        </w:rPr>
        <w:t> </w:t>
      </w:r>
      <w:r>
        <w:rPr>
          <w:i/>
          <w:color w:val="231F20"/>
          <w:sz w:val="20"/>
        </w:rPr>
        <w:t>sprechen</w:t>
      </w:r>
      <w:r>
        <w:rPr>
          <w:i/>
          <w:color w:val="231F20"/>
          <w:spacing w:val="-9"/>
          <w:sz w:val="20"/>
        </w:rPr>
        <w:t> </w:t>
      </w:r>
      <w:r>
        <w:rPr>
          <w:i/>
          <w:color w:val="231F20"/>
          <w:sz w:val="20"/>
        </w:rPr>
        <w:t>am</w:t>
      </w:r>
      <w:r>
        <w:rPr>
          <w:i/>
          <w:color w:val="231F20"/>
          <w:spacing w:val="-9"/>
          <w:sz w:val="20"/>
        </w:rPr>
        <w:t> </w:t>
      </w:r>
      <w:r>
        <w:rPr>
          <w:i/>
          <w:color w:val="231F20"/>
          <w:sz w:val="20"/>
        </w:rPr>
        <w:t>ehesten</w:t>
      </w:r>
      <w:r>
        <w:rPr>
          <w:i/>
          <w:color w:val="231F20"/>
          <w:spacing w:val="-9"/>
          <w:sz w:val="20"/>
        </w:rPr>
        <w:t> </w:t>
      </w:r>
      <w:r>
        <w:rPr>
          <w:i/>
          <w:color w:val="231F20"/>
          <w:sz w:val="20"/>
        </w:rPr>
        <w:t>für</w:t>
      </w:r>
      <w:r>
        <w:rPr>
          <w:i/>
          <w:color w:val="231F20"/>
          <w:spacing w:val="-9"/>
          <w:sz w:val="20"/>
        </w:rPr>
        <w:t> </w:t>
      </w:r>
      <w:r>
        <w:rPr>
          <w:i/>
          <w:color w:val="231F20"/>
          <w:sz w:val="20"/>
        </w:rPr>
        <w:t>eine </w:t>
      </w:r>
      <w:r>
        <w:rPr>
          <w:i/>
          <w:color w:val="231F20"/>
          <w:spacing w:val="-6"/>
          <w:sz w:val="20"/>
        </w:rPr>
        <w:t>Zuordnung</w:t>
      </w:r>
      <w:r>
        <w:rPr>
          <w:i/>
          <w:color w:val="231F20"/>
          <w:spacing w:val="-9"/>
          <w:sz w:val="20"/>
        </w:rPr>
        <w:t> </w:t>
      </w:r>
      <w:r>
        <w:rPr>
          <w:i/>
          <w:color w:val="231F20"/>
          <w:spacing w:val="-6"/>
          <w:sz w:val="20"/>
        </w:rPr>
        <w:t>der vorliegenden</w:t>
      </w:r>
      <w:r>
        <w:rPr>
          <w:i/>
          <w:color w:val="231F20"/>
          <w:spacing w:val="-7"/>
          <w:sz w:val="20"/>
        </w:rPr>
        <w:t> </w:t>
      </w:r>
      <w:r>
        <w:rPr>
          <w:i/>
          <w:color w:val="231F20"/>
          <w:spacing w:val="-6"/>
          <w:sz w:val="20"/>
        </w:rPr>
        <w:t>Form zum</w:t>
      </w:r>
      <w:r>
        <w:rPr>
          <w:i/>
          <w:color w:val="231F20"/>
          <w:spacing w:val="-7"/>
          <w:sz w:val="20"/>
        </w:rPr>
        <w:t> </w:t>
      </w:r>
      <w:r>
        <w:rPr>
          <w:i/>
          <w:color w:val="231F20"/>
          <w:spacing w:val="-6"/>
          <w:sz w:val="20"/>
        </w:rPr>
        <w:t>Genus Oxynautilus, </w:t>
      </w:r>
      <w:r>
        <w:rPr>
          <w:i/>
          <w:color w:val="231F20"/>
          <w:sz w:val="20"/>
        </w:rPr>
        <w:t>das aus dem Norium von Europa und Nordamerika beschrieben</w:t>
      </w:r>
      <w:r>
        <w:rPr>
          <w:i/>
          <w:color w:val="231F20"/>
          <w:spacing w:val="-7"/>
          <w:sz w:val="20"/>
        </w:rPr>
        <w:t> </w:t>
      </w:r>
      <w:r>
        <w:rPr>
          <w:i/>
          <w:color w:val="231F20"/>
          <w:sz w:val="20"/>
        </w:rPr>
        <w:t>ist.”</w:t>
      </w:r>
      <w:r>
        <w:rPr>
          <w:color w:val="231F20"/>
          <w:sz w:val="20"/>
        </w:rPr>
        <w:t>.</w:t>
      </w:r>
    </w:p>
    <w:p>
      <w:pPr>
        <w:pStyle w:val="BodyText"/>
        <w:spacing w:before="158"/>
      </w:pPr>
    </w:p>
    <w:p>
      <w:pPr>
        <w:pStyle w:val="BodyText"/>
        <w:spacing w:line="254" w:lineRule="auto"/>
        <w:ind w:left="219" w:right="694"/>
        <w:jc w:val="both"/>
      </w:pPr>
      <w:r>
        <w:rPr>
          <w:color w:val="231F20"/>
        </w:rPr>
        <w:t>En</w:t>
      </w:r>
      <w:r>
        <w:rPr>
          <w:color w:val="231F20"/>
          <w:spacing w:val="-5"/>
        </w:rPr>
        <w:t> </w:t>
      </w:r>
      <w:r>
        <w:rPr>
          <w:color w:val="231F20"/>
        </w:rPr>
        <w:t>las</w:t>
      </w:r>
      <w:r>
        <w:rPr>
          <w:color w:val="231F20"/>
          <w:spacing w:val="-5"/>
        </w:rPr>
        <w:t> </w:t>
      </w:r>
      <w:r>
        <w:rPr>
          <w:i/>
          <w:color w:val="231F20"/>
        </w:rPr>
        <w:t>calizas</w:t>
      </w:r>
      <w:r>
        <w:rPr>
          <w:i/>
          <w:color w:val="231F20"/>
          <w:spacing w:val="-5"/>
        </w:rPr>
        <w:t> </w:t>
      </w:r>
      <w:r>
        <w:rPr>
          <w:i/>
          <w:color w:val="231F20"/>
        </w:rPr>
        <w:t>con</w:t>
      </w:r>
      <w:r>
        <w:rPr>
          <w:i/>
          <w:color w:val="231F20"/>
          <w:spacing w:val="-5"/>
        </w:rPr>
        <w:t> </w:t>
      </w:r>
      <w:r>
        <w:rPr>
          <w:i/>
          <w:color w:val="231F20"/>
        </w:rPr>
        <w:t>Monotis</w:t>
      </w:r>
      <w:r>
        <w:rPr>
          <w:i/>
          <w:color w:val="231F20"/>
          <w:spacing w:val="-4"/>
        </w:rPr>
        <w:t> </w:t>
      </w:r>
      <w:r>
        <w:rPr>
          <w:color w:val="231F20"/>
        </w:rPr>
        <w:t>de</w:t>
      </w:r>
      <w:r>
        <w:rPr>
          <w:color w:val="231F20"/>
          <w:spacing w:val="-5"/>
        </w:rPr>
        <w:t> </w:t>
      </w:r>
      <w:r>
        <w:rPr>
          <w:color w:val="231F20"/>
        </w:rPr>
        <w:t>Chaparral,</w:t>
      </w:r>
      <w:r>
        <w:rPr>
          <w:color w:val="231F20"/>
          <w:spacing w:val="-5"/>
        </w:rPr>
        <w:t> </w:t>
      </w:r>
      <w:r>
        <w:rPr>
          <w:color w:val="231F20"/>
        </w:rPr>
        <w:t>se</w:t>
      </w:r>
      <w:r>
        <w:rPr>
          <w:color w:val="231F20"/>
          <w:spacing w:val="-5"/>
        </w:rPr>
        <w:t> </w:t>
      </w:r>
      <w:r>
        <w:rPr>
          <w:color w:val="231F20"/>
        </w:rPr>
        <w:t>encontro</w:t>
      </w:r>
      <w:r>
        <w:rPr>
          <w:color w:val="231F20"/>
          <w:spacing w:val="-5"/>
        </w:rPr>
        <w:t> </w:t>
      </w:r>
      <w:r>
        <w:rPr>
          <w:color w:val="231F20"/>
        </w:rPr>
        <w:t>un total de 5 restos de nautiloideos. Aparentemente todos </w:t>
      </w:r>
      <w:r>
        <w:rPr>
          <w:color w:val="231F20"/>
          <w:spacing w:val="-4"/>
        </w:rPr>
        <w:t>pertenecen al mismo tipo. El espécimen mejor conservado </w:t>
      </w:r>
      <w:r>
        <w:rPr>
          <w:color w:val="231F20"/>
        </w:rPr>
        <w:t>está</w:t>
      </w:r>
      <w:r>
        <w:rPr>
          <w:color w:val="231F20"/>
          <w:spacing w:val="-1"/>
        </w:rPr>
        <w:t> </w:t>
      </w:r>
      <w:r>
        <w:rPr>
          <w:color w:val="231F20"/>
        </w:rPr>
        <w:t>dividido</w:t>
      </w:r>
      <w:r>
        <w:rPr>
          <w:color w:val="231F20"/>
          <w:spacing w:val="-1"/>
        </w:rPr>
        <w:t> </w:t>
      </w:r>
      <w:r>
        <w:rPr>
          <w:color w:val="231F20"/>
        </w:rPr>
        <w:t>aproximadamente</w:t>
      </w:r>
      <w:r>
        <w:rPr>
          <w:color w:val="231F20"/>
          <w:spacing w:val="-1"/>
        </w:rPr>
        <w:t> </w:t>
      </w:r>
      <w:r>
        <w:rPr>
          <w:color w:val="231F20"/>
        </w:rPr>
        <w:t>paralelamente</w:t>
      </w:r>
      <w:r>
        <w:rPr>
          <w:color w:val="231F20"/>
          <w:spacing w:val="-1"/>
        </w:rPr>
        <w:t> </w:t>
      </w:r>
      <w:r>
        <w:rPr>
          <w:color w:val="231F20"/>
        </w:rPr>
        <w:t>a</w:t>
      </w:r>
      <w:r>
        <w:rPr>
          <w:color w:val="231F20"/>
          <w:spacing w:val="-1"/>
        </w:rPr>
        <w:t> </w:t>
      </w:r>
      <w:r>
        <w:rPr>
          <w:color w:val="231F20"/>
        </w:rPr>
        <w:t>la</w:t>
      </w:r>
      <w:r>
        <w:rPr>
          <w:color w:val="231F20"/>
          <w:spacing w:val="-1"/>
        </w:rPr>
        <w:t> </w:t>
      </w:r>
      <w:r>
        <w:rPr>
          <w:color w:val="231F20"/>
        </w:rPr>
        <w:t>línea media y sus contornos consisten en una placa de piedra </w:t>
      </w:r>
      <w:r>
        <w:rPr>
          <w:color w:val="231F20"/>
          <w:spacing w:val="-2"/>
        </w:rPr>
        <w:t>caliza</w:t>
      </w:r>
      <w:r>
        <w:rPr>
          <w:color w:val="231F20"/>
          <w:spacing w:val="-11"/>
        </w:rPr>
        <w:t> </w:t>
      </w:r>
      <w:r>
        <w:rPr>
          <w:color w:val="231F20"/>
          <w:spacing w:val="-2"/>
        </w:rPr>
        <w:t>finamente</w:t>
      </w:r>
      <w:r>
        <w:rPr>
          <w:color w:val="231F20"/>
          <w:spacing w:val="-10"/>
        </w:rPr>
        <w:t> </w:t>
      </w:r>
      <w:r>
        <w:rPr>
          <w:color w:val="231F20"/>
          <w:spacing w:val="-2"/>
        </w:rPr>
        <w:t>cristalina.</w:t>
      </w:r>
      <w:r>
        <w:rPr>
          <w:color w:val="231F20"/>
          <w:spacing w:val="-11"/>
        </w:rPr>
        <w:t> </w:t>
      </w:r>
      <w:r>
        <w:rPr>
          <w:color w:val="231F20"/>
          <w:spacing w:val="-2"/>
        </w:rPr>
        <w:t>No</w:t>
      </w:r>
      <w:r>
        <w:rPr>
          <w:color w:val="231F20"/>
          <w:spacing w:val="-10"/>
        </w:rPr>
        <w:t> </w:t>
      </w:r>
      <w:r>
        <w:rPr>
          <w:color w:val="231F20"/>
          <w:spacing w:val="-2"/>
        </w:rPr>
        <w:t>fue</w:t>
      </w:r>
      <w:r>
        <w:rPr>
          <w:color w:val="231F20"/>
          <w:spacing w:val="-11"/>
        </w:rPr>
        <w:t> </w:t>
      </w:r>
      <w:r>
        <w:rPr>
          <w:color w:val="231F20"/>
          <w:spacing w:val="-2"/>
        </w:rPr>
        <w:t>posible</w:t>
      </w:r>
      <w:r>
        <w:rPr>
          <w:color w:val="231F20"/>
          <w:spacing w:val="-10"/>
        </w:rPr>
        <w:t> </w:t>
      </w:r>
      <w:r>
        <w:rPr>
          <w:color w:val="231F20"/>
          <w:spacing w:val="-2"/>
        </w:rPr>
        <w:t>otra</w:t>
      </w:r>
      <w:r>
        <w:rPr>
          <w:color w:val="231F20"/>
          <w:spacing w:val="-11"/>
        </w:rPr>
        <w:t> </w:t>
      </w:r>
      <w:r>
        <w:rPr>
          <w:color w:val="231F20"/>
          <w:spacing w:val="-2"/>
        </w:rPr>
        <w:t>exposición </w:t>
      </w:r>
      <w:r>
        <w:rPr>
          <w:color w:val="231F20"/>
        </w:rPr>
        <w:t>preparatoria.</w:t>
      </w:r>
      <w:r>
        <w:rPr>
          <w:color w:val="231F20"/>
          <w:spacing w:val="21"/>
        </w:rPr>
        <w:t> </w:t>
      </w:r>
      <w:r>
        <w:rPr>
          <w:color w:val="231F20"/>
        </w:rPr>
        <w:t>La</w:t>
      </w:r>
      <w:r>
        <w:rPr>
          <w:color w:val="231F20"/>
          <w:spacing w:val="21"/>
        </w:rPr>
        <w:t> </w:t>
      </w:r>
      <w:r>
        <w:rPr>
          <w:color w:val="231F20"/>
        </w:rPr>
        <w:t>concha</w:t>
      </w:r>
      <w:r>
        <w:rPr>
          <w:color w:val="231F20"/>
          <w:spacing w:val="21"/>
        </w:rPr>
        <w:t> </w:t>
      </w:r>
      <w:r>
        <w:rPr>
          <w:color w:val="231F20"/>
        </w:rPr>
        <w:t>tiene</w:t>
      </w:r>
      <w:r>
        <w:rPr>
          <w:color w:val="231F20"/>
          <w:spacing w:val="21"/>
        </w:rPr>
        <w:t> </w:t>
      </w:r>
      <w:r>
        <w:rPr>
          <w:color w:val="231F20"/>
        </w:rPr>
        <w:t>un</w:t>
      </w:r>
      <w:r>
        <w:rPr>
          <w:color w:val="231F20"/>
          <w:spacing w:val="21"/>
        </w:rPr>
        <w:t> </w:t>
      </w:r>
      <w:r>
        <w:rPr>
          <w:color w:val="231F20"/>
        </w:rPr>
        <w:t>diámetro</w:t>
      </w:r>
      <w:r>
        <w:rPr>
          <w:color w:val="231F20"/>
          <w:spacing w:val="21"/>
        </w:rPr>
        <w:t> </w:t>
      </w:r>
      <w:r>
        <w:rPr>
          <w:color w:val="231F20"/>
        </w:rPr>
        <w:t>de</w:t>
      </w:r>
      <w:r>
        <w:rPr>
          <w:color w:val="231F20"/>
          <w:spacing w:val="21"/>
        </w:rPr>
        <w:t> </w:t>
      </w:r>
      <w:r>
        <w:rPr>
          <w:color w:val="231F20"/>
        </w:rPr>
        <w:t>14,8</w:t>
      </w:r>
      <w:r>
        <w:rPr>
          <w:color w:val="231F20"/>
          <w:spacing w:val="21"/>
        </w:rPr>
        <w:t> </w:t>
      </w:r>
      <w:r>
        <w:rPr>
          <w:color w:val="231F20"/>
        </w:rPr>
        <w:t>cm y una altura media de 6,8 cm delante del peristoma. La forma completa indudablemente resulta en una concha </w:t>
      </w:r>
      <w:r>
        <w:rPr>
          <w:color w:val="231F20"/>
          <w:spacing w:val="-4"/>
        </w:rPr>
        <w:t>fuertemente involuta. La sección transversal del devanado </w:t>
      </w:r>
      <w:r>
        <w:rPr>
          <w:color w:val="231F20"/>
        </w:rPr>
        <w:t>no</w:t>
      </w:r>
      <w:r>
        <w:rPr>
          <w:color w:val="231F20"/>
          <w:spacing w:val="-2"/>
        </w:rPr>
        <w:t> </w:t>
      </w:r>
      <w:r>
        <w:rPr>
          <w:color w:val="231F20"/>
        </w:rPr>
        <w:t>es</w:t>
      </w:r>
      <w:r>
        <w:rPr>
          <w:color w:val="231F20"/>
          <w:spacing w:val="-2"/>
        </w:rPr>
        <w:t> </w:t>
      </w:r>
      <w:r>
        <w:rPr>
          <w:color w:val="231F20"/>
        </w:rPr>
        <w:t>detectable,</w:t>
      </w:r>
      <w:r>
        <w:rPr>
          <w:color w:val="231F20"/>
          <w:spacing w:val="-2"/>
        </w:rPr>
        <w:t> </w:t>
      </w:r>
      <w:r>
        <w:rPr>
          <w:color w:val="231F20"/>
        </w:rPr>
        <w:t>pero</w:t>
      </w:r>
      <w:r>
        <w:rPr>
          <w:color w:val="231F20"/>
          <w:spacing w:val="-2"/>
        </w:rPr>
        <w:t> </w:t>
      </w:r>
      <w:r>
        <w:rPr>
          <w:color w:val="231F20"/>
        </w:rPr>
        <w:t>originalmente</w:t>
      </w:r>
      <w:r>
        <w:rPr>
          <w:color w:val="231F20"/>
          <w:spacing w:val="-2"/>
        </w:rPr>
        <w:t> </w:t>
      </w:r>
      <w:r>
        <w:rPr>
          <w:color w:val="231F20"/>
        </w:rPr>
        <w:t>debería</w:t>
      </w:r>
      <w:r>
        <w:rPr>
          <w:color w:val="231F20"/>
          <w:spacing w:val="-2"/>
        </w:rPr>
        <w:t> </w:t>
      </w:r>
      <w:r>
        <w:rPr>
          <w:color w:val="231F20"/>
        </w:rPr>
        <w:t>ser</w:t>
      </w:r>
      <w:r>
        <w:rPr>
          <w:color w:val="231F20"/>
          <w:spacing w:val="-2"/>
        </w:rPr>
        <w:t> </w:t>
      </w:r>
      <w:r>
        <w:rPr>
          <w:color w:val="231F20"/>
        </w:rPr>
        <w:t>un</w:t>
      </w:r>
      <w:r>
        <w:rPr>
          <w:color w:val="231F20"/>
          <w:spacing w:val="-2"/>
        </w:rPr>
        <w:t> </w:t>
      </w:r>
      <w:r>
        <w:rPr>
          <w:color w:val="231F20"/>
        </w:rPr>
        <w:t>lado externo bastante estrecho. El sifón no es observable. La </w:t>
      </w:r>
      <w:r>
        <w:rPr>
          <w:color w:val="231F20"/>
          <w:spacing w:val="-4"/>
        </w:rPr>
        <w:t>pared</w:t>
      </w:r>
      <w:r>
        <w:rPr>
          <w:color w:val="231F20"/>
          <w:spacing w:val="-9"/>
        </w:rPr>
        <w:t> </w:t>
      </w:r>
      <w:r>
        <w:rPr>
          <w:color w:val="231F20"/>
          <w:spacing w:val="-4"/>
        </w:rPr>
        <w:t>divisoria</w:t>
      </w:r>
      <w:r>
        <w:rPr>
          <w:color w:val="231F20"/>
          <w:spacing w:val="-8"/>
        </w:rPr>
        <w:t> </w:t>
      </w:r>
      <w:r>
        <w:rPr>
          <w:color w:val="231F20"/>
          <w:spacing w:val="-4"/>
        </w:rPr>
        <w:t>de</w:t>
      </w:r>
      <w:r>
        <w:rPr>
          <w:color w:val="231F20"/>
          <w:spacing w:val="-9"/>
        </w:rPr>
        <w:t> </w:t>
      </w:r>
      <w:r>
        <w:rPr>
          <w:color w:val="231F20"/>
          <w:spacing w:val="-4"/>
        </w:rPr>
        <w:t>la</w:t>
      </w:r>
      <w:r>
        <w:rPr>
          <w:color w:val="231F20"/>
          <w:spacing w:val="-8"/>
        </w:rPr>
        <w:t> </w:t>
      </w:r>
      <w:r>
        <w:rPr>
          <w:color w:val="231F20"/>
          <w:spacing w:val="-4"/>
        </w:rPr>
        <w:t>cámara</w:t>
      </w:r>
      <w:r>
        <w:rPr>
          <w:color w:val="231F20"/>
          <w:spacing w:val="-9"/>
        </w:rPr>
        <w:t> </w:t>
      </w:r>
      <w:r>
        <w:rPr>
          <w:color w:val="231F20"/>
          <w:spacing w:val="-4"/>
        </w:rPr>
        <w:t>se</w:t>
      </w:r>
      <w:r>
        <w:rPr>
          <w:color w:val="231F20"/>
          <w:spacing w:val="-8"/>
        </w:rPr>
        <w:t> </w:t>
      </w:r>
      <w:r>
        <w:rPr>
          <w:color w:val="231F20"/>
          <w:spacing w:val="-4"/>
        </w:rPr>
        <w:t>convierte</w:t>
      </w:r>
      <w:r>
        <w:rPr>
          <w:color w:val="231F20"/>
          <w:spacing w:val="-9"/>
        </w:rPr>
        <w:t> </w:t>
      </w:r>
      <w:r>
        <w:rPr>
          <w:color w:val="231F20"/>
          <w:spacing w:val="-4"/>
        </w:rPr>
        <w:t>en</w:t>
      </w:r>
      <w:r>
        <w:rPr>
          <w:color w:val="231F20"/>
          <w:spacing w:val="-8"/>
        </w:rPr>
        <w:t> </w:t>
      </w:r>
      <w:r>
        <w:rPr>
          <w:color w:val="231F20"/>
          <w:spacing w:val="-4"/>
        </w:rPr>
        <w:t>un</w:t>
      </w:r>
      <w:r>
        <w:rPr>
          <w:color w:val="231F20"/>
          <w:spacing w:val="-9"/>
        </w:rPr>
        <w:t> </w:t>
      </w:r>
      <w:r>
        <w:rPr>
          <w:color w:val="231F20"/>
          <w:spacing w:val="-4"/>
        </w:rPr>
        <w:t>amplio</w:t>
      </w:r>
      <w:r>
        <w:rPr>
          <w:color w:val="231F20"/>
          <w:spacing w:val="-8"/>
        </w:rPr>
        <w:t> </w:t>
      </w:r>
      <w:r>
        <w:rPr>
          <w:color w:val="231F20"/>
          <w:spacing w:val="-4"/>
        </w:rPr>
        <w:t>arco </w:t>
      </w:r>
      <w:r>
        <w:rPr>
          <w:color w:val="231F20"/>
        </w:rPr>
        <w:t>en</w:t>
      </w:r>
      <w:r>
        <w:rPr>
          <w:color w:val="231F20"/>
          <w:spacing w:val="-13"/>
        </w:rPr>
        <w:t> </w:t>
      </w:r>
      <w:r>
        <w:rPr>
          <w:color w:val="231F20"/>
        </w:rPr>
        <w:t>la</w:t>
      </w:r>
      <w:r>
        <w:rPr>
          <w:color w:val="231F20"/>
          <w:spacing w:val="-12"/>
        </w:rPr>
        <w:t> </w:t>
      </w:r>
      <w:r>
        <w:rPr>
          <w:color w:val="231F20"/>
        </w:rPr>
        <w:t>parte</w:t>
      </w:r>
      <w:r>
        <w:rPr>
          <w:color w:val="231F20"/>
          <w:spacing w:val="-13"/>
        </w:rPr>
        <w:t> </w:t>
      </w:r>
      <w:r>
        <w:rPr>
          <w:color w:val="231F20"/>
        </w:rPr>
        <w:t>trasera;</w:t>
      </w:r>
      <w:r>
        <w:rPr>
          <w:color w:val="231F20"/>
          <w:spacing w:val="-12"/>
        </w:rPr>
        <w:t> </w:t>
      </w:r>
      <w:r>
        <w:rPr>
          <w:color w:val="231F20"/>
        </w:rPr>
        <w:t>la</w:t>
      </w:r>
      <w:r>
        <w:rPr>
          <w:color w:val="231F20"/>
          <w:spacing w:val="-13"/>
        </w:rPr>
        <w:t> </w:t>
      </w:r>
      <w:r>
        <w:rPr>
          <w:color w:val="231F20"/>
        </w:rPr>
        <w:t>línea</w:t>
      </w:r>
      <w:r>
        <w:rPr>
          <w:color w:val="231F20"/>
          <w:spacing w:val="-12"/>
        </w:rPr>
        <w:t> </w:t>
      </w:r>
      <w:r>
        <w:rPr>
          <w:color w:val="231F20"/>
        </w:rPr>
        <w:t>de</w:t>
      </w:r>
      <w:r>
        <w:rPr>
          <w:color w:val="231F20"/>
          <w:spacing w:val="-13"/>
        </w:rPr>
        <w:t> </w:t>
      </w:r>
      <w:r>
        <w:rPr>
          <w:color w:val="231F20"/>
        </w:rPr>
        <w:t>sutura</w:t>
      </w:r>
      <w:r>
        <w:rPr>
          <w:color w:val="231F20"/>
          <w:spacing w:val="-12"/>
        </w:rPr>
        <w:t> </w:t>
      </w:r>
      <w:r>
        <w:rPr>
          <w:color w:val="231F20"/>
        </w:rPr>
        <w:t>debe</w:t>
      </w:r>
      <w:r>
        <w:rPr>
          <w:color w:val="231F20"/>
          <w:spacing w:val="-13"/>
        </w:rPr>
        <w:t> </w:t>
      </w:r>
      <w:r>
        <w:rPr>
          <w:color w:val="231F20"/>
        </w:rPr>
        <w:t>tener</w:t>
      </w:r>
      <w:r>
        <w:rPr>
          <w:color w:val="231F20"/>
          <w:spacing w:val="-12"/>
        </w:rPr>
        <w:t> </w:t>
      </w:r>
      <w:r>
        <w:rPr>
          <w:color w:val="231F20"/>
        </w:rPr>
        <w:t>un</w:t>
      </w:r>
      <w:r>
        <w:rPr>
          <w:color w:val="231F20"/>
          <w:spacing w:val="-13"/>
        </w:rPr>
        <w:t> </w:t>
      </w:r>
      <w:r>
        <w:rPr>
          <w:color w:val="231F20"/>
        </w:rPr>
        <w:t>amplio lóbulo lateral y un lóbulo ventral bastante puntiagudo. </w:t>
      </w:r>
      <w:r>
        <w:rPr>
          <w:color w:val="231F20"/>
          <w:spacing w:val="-2"/>
        </w:rPr>
        <w:t>Acerca</w:t>
      </w:r>
      <w:r>
        <w:rPr>
          <w:color w:val="231F20"/>
          <w:spacing w:val="-11"/>
        </w:rPr>
        <w:t> </w:t>
      </w:r>
      <w:r>
        <w:rPr>
          <w:color w:val="231F20"/>
          <w:spacing w:val="-2"/>
        </w:rPr>
        <w:t>de</w:t>
      </w:r>
      <w:r>
        <w:rPr>
          <w:color w:val="231F20"/>
          <w:spacing w:val="-10"/>
        </w:rPr>
        <w:t> </w:t>
      </w:r>
      <w:r>
        <w:rPr>
          <w:color w:val="231F20"/>
          <w:spacing w:val="-2"/>
        </w:rPr>
        <w:t>los</w:t>
      </w:r>
      <w:r>
        <w:rPr>
          <w:color w:val="231F20"/>
          <w:spacing w:val="-11"/>
        </w:rPr>
        <w:t> </w:t>
      </w:r>
      <w:r>
        <w:rPr>
          <w:color w:val="231F20"/>
          <w:spacing w:val="-2"/>
        </w:rPr>
        <w:t>lóbulos</w:t>
      </w:r>
      <w:r>
        <w:rPr>
          <w:color w:val="231F20"/>
          <w:spacing w:val="-10"/>
        </w:rPr>
        <w:t> </w:t>
      </w:r>
      <w:r>
        <w:rPr>
          <w:color w:val="231F20"/>
          <w:spacing w:val="-2"/>
        </w:rPr>
        <w:t>umbilicales</w:t>
      </w:r>
      <w:r>
        <w:rPr>
          <w:color w:val="231F20"/>
          <w:spacing w:val="-11"/>
        </w:rPr>
        <w:t> </w:t>
      </w:r>
      <w:r>
        <w:rPr>
          <w:color w:val="231F20"/>
          <w:spacing w:val="-2"/>
        </w:rPr>
        <w:t>y</w:t>
      </w:r>
      <w:r>
        <w:rPr>
          <w:color w:val="231F20"/>
          <w:spacing w:val="-10"/>
        </w:rPr>
        <w:t> </w:t>
      </w:r>
      <w:r>
        <w:rPr>
          <w:color w:val="231F20"/>
          <w:spacing w:val="-2"/>
        </w:rPr>
        <w:t>anulares</w:t>
      </w:r>
      <w:r>
        <w:rPr>
          <w:color w:val="231F20"/>
          <w:spacing w:val="-11"/>
        </w:rPr>
        <w:t> </w:t>
      </w:r>
      <w:r>
        <w:rPr>
          <w:color w:val="231F20"/>
          <w:spacing w:val="-2"/>
        </w:rPr>
        <w:t>no</w:t>
      </w:r>
      <w:r>
        <w:rPr>
          <w:color w:val="231F20"/>
          <w:spacing w:val="-10"/>
        </w:rPr>
        <w:t> </w:t>
      </w:r>
      <w:r>
        <w:rPr>
          <w:color w:val="231F20"/>
          <w:spacing w:val="-2"/>
        </w:rPr>
        <w:t>es</w:t>
      </w:r>
      <w:r>
        <w:rPr>
          <w:color w:val="231F20"/>
          <w:spacing w:val="-11"/>
        </w:rPr>
        <w:t> </w:t>
      </w:r>
      <w:r>
        <w:rPr>
          <w:color w:val="231F20"/>
          <w:spacing w:val="-2"/>
        </w:rPr>
        <w:t>posible </w:t>
      </w:r>
      <w:r>
        <w:rPr>
          <w:color w:val="231F20"/>
        </w:rPr>
        <w:t>hacer descripciones. El peristoma de la concha está indicado;</w:t>
      </w:r>
      <w:r>
        <w:rPr>
          <w:color w:val="231F20"/>
          <w:spacing w:val="-13"/>
        </w:rPr>
        <w:t> </w:t>
      </w:r>
      <w:r>
        <w:rPr>
          <w:color w:val="231F20"/>
        </w:rPr>
        <w:t>la</w:t>
      </w:r>
      <w:r>
        <w:rPr>
          <w:color w:val="231F20"/>
          <w:spacing w:val="-12"/>
        </w:rPr>
        <w:t> </w:t>
      </w:r>
      <w:r>
        <w:rPr>
          <w:color w:val="231F20"/>
        </w:rPr>
        <w:t>cámara</w:t>
      </w:r>
      <w:r>
        <w:rPr>
          <w:color w:val="231F20"/>
          <w:spacing w:val="-13"/>
        </w:rPr>
        <w:t> </w:t>
      </w:r>
      <w:r>
        <w:rPr>
          <w:color w:val="231F20"/>
        </w:rPr>
        <w:t>de</w:t>
      </w:r>
      <w:r>
        <w:rPr>
          <w:color w:val="231F20"/>
          <w:spacing w:val="-12"/>
        </w:rPr>
        <w:t> </w:t>
      </w:r>
      <w:r>
        <w:rPr>
          <w:color w:val="231F20"/>
        </w:rPr>
        <w:t>habitación,</w:t>
      </w:r>
      <w:r>
        <w:rPr>
          <w:color w:val="231F20"/>
          <w:spacing w:val="-13"/>
        </w:rPr>
        <w:t> </w:t>
      </w:r>
      <w:r>
        <w:rPr>
          <w:color w:val="231F20"/>
        </w:rPr>
        <w:t>por</w:t>
      </w:r>
      <w:r>
        <w:rPr>
          <w:color w:val="231F20"/>
          <w:spacing w:val="-12"/>
        </w:rPr>
        <w:t> </w:t>
      </w:r>
      <w:r>
        <w:rPr>
          <w:color w:val="231F20"/>
        </w:rPr>
        <w:t>lo</w:t>
      </w:r>
      <w:r>
        <w:rPr>
          <w:color w:val="231F20"/>
          <w:spacing w:val="-13"/>
        </w:rPr>
        <w:t> </w:t>
      </w:r>
      <w:r>
        <w:rPr>
          <w:color w:val="231F20"/>
        </w:rPr>
        <w:t>tanto,</w:t>
      </w:r>
      <w:r>
        <w:rPr>
          <w:color w:val="231F20"/>
          <w:spacing w:val="-12"/>
        </w:rPr>
        <w:t> </w:t>
      </w:r>
      <w:r>
        <w:rPr>
          <w:color w:val="231F20"/>
        </w:rPr>
        <w:t>tiene</w:t>
      </w:r>
      <w:r>
        <w:rPr>
          <w:color w:val="231F20"/>
          <w:spacing w:val="-13"/>
        </w:rPr>
        <w:t> </w:t>
      </w:r>
      <w:r>
        <w:rPr>
          <w:color w:val="231F20"/>
        </w:rPr>
        <w:t>más de</w:t>
      </w:r>
      <w:r>
        <w:rPr>
          <w:color w:val="231F20"/>
          <w:spacing w:val="-12"/>
        </w:rPr>
        <w:t> </w:t>
      </w:r>
      <w:r>
        <w:rPr>
          <w:color w:val="231F20"/>
        </w:rPr>
        <w:t>un</w:t>
      </w:r>
      <w:r>
        <w:rPr>
          <w:color w:val="231F20"/>
          <w:spacing w:val="-12"/>
        </w:rPr>
        <w:t> </w:t>
      </w:r>
      <w:r>
        <w:rPr>
          <w:color w:val="231F20"/>
        </w:rPr>
        <w:t>tercio</w:t>
      </w:r>
      <w:r>
        <w:rPr>
          <w:color w:val="231F20"/>
          <w:spacing w:val="-12"/>
        </w:rPr>
        <w:t> </w:t>
      </w:r>
      <w:r>
        <w:rPr>
          <w:color w:val="231F20"/>
        </w:rPr>
        <w:t>del</w:t>
      </w:r>
      <w:r>
        <w:rPr>
          <w:color w:val="231F20"/>
          <w:spacing w:val="-12"/>
        </w:rPr>
        <w:t> </w:t>
      </w:r>
      <w:r>
        <w:rPr>
          <w:color w:val="231F20"/>
        </w:rPr>
        <w:t>último</w:t>
      </w:r>
      <w:r>
        <w:rPr>
          <w:color w:val="231F20"/>
          <w:spacing w:val="-12"/>
        </w:rPr>
        <w:t> </w:t>
      </w:r>
      <w:r>
        <w:rPr>
          <w:color w:val="231F20"/>
        </w:rPr>
        <w:t>tramo.</w:t>
      </w:r>
      <w:r>
        <w:rPr>
          <w:color w:val="231F20"/>
          <w:spacing w:val="-12"/>
        </w:rPr>
        <w:t> </w:t>
      </w:r>
      <w:r>
        <w:rPr>
          <w:color w:val="231F20"/>
        </w:rPr>
        <w:t>Es</w:t>
      </w:r>
      <w:r>
        <w:rPr>
          <w:color w:val="231F20"/>
          <w:spacing w:val="-12"/>
        </w:rPr>
        <w:t> </w:t>
      </w:r>
      <w:r>
        <w:rPr>
          <w:color w:val="231F20"/>
        </w:rPr>
        <w:t>más</w:t>
      </w:r>
      <w:r>
        <w:rPr>
          <w:color w:val="231F20"/>
          <w:spacing w:val="-12"/>
        </w:rPr>
        <w:t> </w:t>
      </w:r>
      <w:r>
        <w:rPr>
          <w:color w:val="231F20"/>
        </w:rPr>
        <w:t>probable</w:t>
      </w:r>
      <w:r>
        <w:rPr>
          <w:color w:val="231F20"/>
          <w:spacing w:val="-12"/>
        </w:rPr>
        <w:t> </w:t>
      </w:r>
      <w:r>
        <w:rPr>
          <w:color w:val="231F20"/>
        </w:rPr>
        <w:t>que</w:t>
      </w:r>
      <w:r>
        <w:rPr>
          <w:color w:val="231F20"/>
          <w:spacing w:val="-12"/>
        </w:rPr>
        <w:t> </w:t>
      </w:r>
      <w:r>
        <w:rPr>
          <w:color w:val="231F20"/>
        </w:rPr>
        <w:t>todas </w:t>
      </w:r>
      <w:r>
        <w:rPr>
          <w:color w:val="231F20"/>
          <w:spacing w:val="-2"/>
        </w:rPr>
        <w:t>las</w:t>
      </w:r>
      <w:r>
        <w:rPr>
          <w:color w:val="231F20"/>
          <w:spacing w:val="-11"/>
        </w:rPr>
        <w:t> </w:t>
      </w:r>
      <w:r>
        <w:rPr>
          <w:color w:val="231F20"/>
          <w:spacing w:val="-2"/>
        </w:rPr>
        <w:t>características</w:t>
      </w:r>
      <w:r>
        <w:rPr>
          <w:color w:val="231F20"/>
          <w:spacing w:val="-10"/>
        </w:rPr>
        <w:t> </w:t>
      </w:r>
      <w:r>
        <w:rPr>
          <w:color w:val="231F20"/>
          <w:spacing w:val="-2"/>
        </w:rPr>
        <w:t>observables</w:t>
      </w:r>
      <w:r>
        <w:rPr>
          <w:color w:val="231F20"/>
          <w:spacing w:val="-11"/>
        </w:rPr>
        <w:t> </w:t>
      </w:r>
      <w:r>
        <w:rPr>
          <w:color w:val="231F20"/>
          <w:spacing w:val="-2"/>
        </w:rPr>
        <w:t>o</w:t>
      </w:r>
      <w:r>
        <w:rPr>
          <w:color w:val="231F20"/>
          <w:spacing w:val="-10"/>
        </w:rPr>
        <w:t> </w:t>
      </w:r>
      <w:r>
        <w:rPr>
          <w:color w:val="231F20"/>
          <w:spacing w:val="-2"/>
        </w:rPr>
        <w:t>sospechosas</w:t>
      </w:r>
      <w:r>
        <w:rPr>
          <w:color w:val="231F20"/>
          <w:spacing w:val="-11"/>
        </w:rPr>
        <w:t> </w:t>
      </w:r>
      <w:r>
        <w:rPr>
          <w:color w:val="231F20"/>
          <w:spacing w:val="-2"/>
        </w:rPr>
        <w:t>sugieran</w:t>
      </w:r>
      <w:r>
        <w:rPr>
          <w:color w:val="231F20"/>
          <w:spacing w:val="-10"/>
        </w:rPr>
        <w:t> </w:t>
      </w:r>
      <w:r>
        <w:rPr>
          <w:color w:val="231F20"/>
          <w:spacing w:val="-2"/>
        </w:rPr>
        <w:t>una </w:t>
      </w:r>
      <w:r>
        <w:rPr>
          <w:color w:val="231F20"/>
          <w:spacing w:val="-4"/>
        </w:rPr>
        <w:t>asociación</w:t>
      </w:r>
      <w:r>
        <w:rPr>
          <w:color w:val="231F20"/>
          <w:spacing w:val="-9"/>
        </w:rPr>
        <w:t> </w:t>
      </w:r>
      <w:r>
        <w:rPr>
          <w:color w:val="231F20"/>
          <w:spacing w:val="-4"/>
        </w:rPr>
        <w:t>de</w:t>
      </w:r>
      <w:r>
        <w:rPr>
          <w:color w:val="231F20"/>
          <w:spacing w:val="-8"/>
        </w:rPr>
        <w:t> </w:t>
      </w:r>
      <w:r>
        <w:rPr>
          <w:color w:val="231F20"/>
          <w:spacing w:val="-4"/>
        </w:rPr>
        <w:t>la</w:t>
      </w:r>
      <w:r>
        <w:rPr>
          <w:color w:val="231F20"/>
          <w:spacing w:val="-9"/>
        </w:rPr>
        <w:t> </w:t>
      </w:r>
      <w:r>
        <w:rPr>
          <w:color w:val="231F20"/>
          <w:spacing w:val="-4"/>
        </w:rPr>
        <w:t>presente</w:t>
      </w:r>
      <w:r>
        <w:rPr>
          <w:color w:val="231F20"/>
          <w:spacing w:val="-8"/>
        </w:rPr>
        <w:t> </w:t>
      </w:r>
      <w:r>
        <w:rPr>
          <w:color w:val="231F20"/>
          <w:spacing w:val="-4"/>
        </w:rPr>
        <w:t>forma</w:t>
      </w:r>
      <w:r>
        <w:rPr>
          <w:color w:val="231F20"/>
          <w:spacing w:val="-9"/>
        </w:rPr>
        <w:t> </w:t>
      </w:r>
      <w:r>
        <w:rPr>
          <w:color w:val="231F20"/>
          <w:spacing w:val="-4"/>
        </w:rPr>
        <w:t>con</w:t>
      </w:r>
      <w:r>
        <w:rPr>
          <w:color w:val="231F20"/>
          <w:spacing w:val="-8"/>
        </w:rPr>
        <w:t> </w:t>
      </w:r>
      <w:r>
        <w:rPr>
          <w:color w:val="231F20"/>
          <w:spacing w:val="-4"/>
        </w:rPr>
        <w:t>el</w:t>
      </w:r>
      <w:r>
        <w:rPr>
          <w:color w:val="231F20"/>
          <w:spacing w:val="-9"/>
        </w:rPr>
        <w:t> </w:t>
      </w:r>
      <w:r>
        <w:rPr>
          <w:color w:val="231F20"/>
          <w:spacing w:val="-4"/>
        </w:rPr>
        <w:t>género</w:t>
      </w:r>
      <w:r>
        <w:rPr>
          <w:color w:val="231F20"/>
          <w:spacing w:val="-8"/>
        </w:rPr>
        <w:t> </w:t>
      </w:r>
      <w:r>
        <w:rPr>
          <w:i/>
          <w:color w:val="231F20"/>
          <w:spacing w:val="-4"/>
        </w:rPr>
        <w:t>Oxynautilus</w:t>
      </w:r>
      <w:r>
        <w:rPr>
          <w:color w:val="231F20"/>
          <w:spacing w:val="-4"/>
        </w:rPr>
        <w:t>, </w:t>
      </w:r>
      <w:r>
        <w:rPr>
          <w:color w:val="231F20"/>
        </w:rPr>
        <w:t>descrito en el Noriano de Europa y América del Norte. (Geyer,</w:t>
      </w:r>
      <w:r>
        <w:rPr>
          <w:color w:val="231F20"/>
          <w:spacing w:val="-10"/>
        </w:rPr>
        <w:t> </w:t>
      </w:r>
      <w:r>
        <w:rPr>
          <w:color w:val="231F20"/>
        </w:rPr>
        <w:t>1973,</w:t>
      </w:r>
      <w:r>
        <w:rPr>
          <w:color w:val="231F20"/>
          <w:spacing w:val="-10"/>
        </w:rPr>
        <w:t> </w:t>
      </w:r>
      <w:r>
        <w:rPr>
          <w:color w:val="231F20"/>
        </w:rPr>
        <w:t>pp.28-29,trad.).</w:t>
      </w:r>
    </w:p>
    <w:p>
      <w:pPr>
        <w:pStyle w:val="BodyText"/>
        <w:spacing w:before="144"/>
      </w:pPr>
    </w:p>
    <w:p>
      <w:pPr>
        <w:spacing w:line="372" w:lineRule="auto" w:before="0"/>
        <w:ind w:left="219" w:right="1796" w:firstLine="0"/>
        <w:jc w:val="left"/>
        <w:rPr>
          <w:b/>
          <w:sz w:val="20"/>
        </w:rPr>
      </w:pPr>
      <w:r>
        <w:rPr>
          <w:b/>
          <w:color w:val="231F20"/>
          <w:sz w:val="20"/>
        </w:rPr>
        <w:t>Clase:</w:t>
      </w:r>
      <w:r>
        <w:rPr>
          <w:b/>
          <w:color w:val="231F20"/>
          <w:spacing w:val="-9"/>
          <w:sz w:val="20"/>
        </w:rPr>
        <w:t> </w:t>
      </w:r>
      <w:r>
        <w:rPr>
          <w:b/>
          <w:i/>
          <w:color w:val="231F20"/>
          <w:sz w:val="20"/>
        </w:rPr>
        <w:t>Cephalopoda</w:t>
      </w:r>
      <w:r>
        <w:rPr>
          <w:b/>
          <w:i/>
          <w:color w:val="231F20"/>
          <w:spacing w:val="-10"/>
          <w:sz w:val="20"/>
        </w:rPr>
        <w:t> </w:t>
      </w:r>
      <w:r>
        <w:rPr>
          <w:b/>
          <w:color w:val="231F20"/>
          <w:sz w:val="20"/>
        </w:rPr>
        <w:t>Cuvier,</w:t>
      </w:r>
      <w:r>
        <w:rPr>
          <w:b/>
          <w:color w:val="231F20"/>
          <w:spacing w:val="-9"/>
          <w:sz w:val="20"/>
        </w:rPr>
        <w:t> </w:t>
      </w:r>
      <w:r>
        <w:rPr>
          <w:b/>
          <w:color w:val="231F20"/>
          <w:sz w:val="20"/>
        </w:rPr>
        <w:t>1797 Orden: </w:t>
      </w:r>
      <w:r>
        <w:rPr>
          <w:b/>
          <w:i/>
          <w:color w:val="231F20"/>
          <w:sz w:val="20"/>
        </w:rPr>
        <w:t>Nautilida </w:t>
      </w:r>
      <w:r>
        <w:rPr>
          <w:b/>
          <w:color w:val="231F20"/>
          <w:sz w:val="20"/>
        </w:rPr>
        <w:t>Agassiz, 1847</w:t>
      </w:r>
    </w:p>
    <w:p>
      <w:pPr>
        <w:spacing w:line="372" w:lineRule="auto" w:before="0"/>
        <w:ind w:left="219" w:right="285" w:firstLine="0"/>
        <w:jc w:val="left"/>
        <w:rPr>
          <w:b/>
          <w:sz w:val="20"/>
        </w:rPr>
      </w:pPr>
      <w:r>
        <w:rPr>
          <w:b/>
          <w:color w:val="231F20"/>
          <w:sz w:val="20"/>
        </w:rPr>
        <w:t>Familia:</w:t>
      </w:r>
      <w:r>
        <w:rPr>
          <w:b/>
          <w:i/>
          <w:color w:val="231F20"/>
          <w:sz w:val="20"/>
        </w:rPr>
        <w:t>Cenoceratidae </w:t>
      </w:r>
      <w:r>
        <w:rPr>
          <w:b/>
          <w:color w:val="231F20"/>
          <w:sz w:val="20"/>
        </w:rPr>
        <w:t>Tintant &amp; Kabamba, 1825 Género: </w:t>
      </w:r>
      <w:r>
        <w:rPr>
          <w:b/>
          <w:i/>
          <w:color w:val="231F20"/>
          <w:sz w:val="20"/>
        </w:rPr>
        <w:t>Cenoceras </w:t>
      </w:r>
      <w:r>
        <w:rPr>
          <w:b/>
          <w:color w:val="231F20"/>
          <w:sz w:val="20"/>
        </w:rPr>
        <w:t>Hyatt, 1883</w:t>
      </w:r>
    </w:p>
    <w:p>
      <w:pPr>
        <w:pStyle w:val="Heading2"/>
        <w:spacing w:line="229" w:lineRule="exact"/>
      </w:pPr>
      <w:r>
        <w:rPr>
          <w:color w:val="231F20"/>
        </w:rPr>
        <w:t>Ver</w:t>
      </w:r>
      <w:r>
        <w:rPr>
          <w:color w:val="231F20"/>
          <w:spacing w:val="-2"/>
        </w:rPr>
        <w:t> </w:t>
      </w:r>
      <w:r>
        <w:rPr>
          <w:color w:val="231F20"/>
        </w:rPr>
        <w:t>Lámina</w:t>
      </w:r>
      <w:r>
        <w:rPr>
          <w:color w:val="231F20"/>
          <w:spacing w:val="-1"/>
        </w:rPr>
        <w:t> </w:t>
      </w:r>
      <w:r>
        <w:rPr>
          <w:color w:val="231F20"/>
          <w:spacing w:val="-5"/>
        </w:rPr>
        <w:t>1.</w:t>
      </w:r>
    </w:p>
    <w:p>
      <w:pPr>
        <w:pStyle w:val="BodyText"/>
        <w:spacing w:line="254" w:lineRule="auto" w:before="182"/>
        <w:ind w:left="218" w:right="694"/>
        <w:jc w:val="both"/>
      </w:pPr>
      <w:r>
        <w:rPr>
          <w:color w:val="231F20"/>
        </w:rPr>
        <w:t>Se recolectaron 5 muestras de cenoceratidos de las cuales</w:t>
      </w:r>
      <w:r>
        <w:rPr>
          <w:color w:val="231F20"/>
          <w:spacing w:val="-12"/>
        </w:rPr>
        <w:t> </w:t>
      </w:r>
      <w:r>
        <w:rPr>
          <w:color w:val="231F20"/>
        </w:rPr>
        <w:t>3</w:t>
      </w:r>
      <w:r>
        <w:rPr>
          <w:color w:val="231F20"/>
          <w:spacing w:val="-12"/>
        </w:rPr>
        <w:t> </w:t>
      </w:r>
      <w:r>
        <w:rPr>
          <w:color w:val="231F20"/>
        </w:rPr>
        <w:t>se</w:t>
      </w:r>
      <w:r>
        <w:rPr>
          <w:color w:val="231F20"/>
          <w:spacing w:val="-12"/>
        </w:rPr>
        <w:t> </w:t>
      </w:r>
      <w:r>
        <w:rPr>
          <w:color w:val="231F20"/>
        </w:rPr>
        <w:t>prepararon.</w:t>
      </w:r>
      <w:r>
        <w:rPr>
          <w:color w:val="231F20"/>
          <w:spacing w:val="-12"/>
        </w:rPr>
        <w:t> </w:t>
      </w:r>
      <w:r>
        <w:rPr>
          <w:color w:val="231F20"/>
        </w:rPr>
        <w:t>La</w:t>
      </w:r>
      <w:r>
        <w:rPr>
          <w:color w:val="231F20"/>
          <w:spacing w:val="-12"/>
        </w:rPr>
        <w:t> </w:t>
      </w:r>
      <w:r>
        <w:rPr>
          <w:color w:val="231F20"/>
        </w:rPr>
        <w:t>ocurrencia</w:t>
      </w:r>
      <w:r>
        <w:rPr>
          <w:color w:val="231F20"/>
          <w:spacing w:val="-12"/>
        </w:rPr>
        <w:t> </w:t>
      </w:r>
      <w:r>
        <w:rPr>
          <w:color w:val="231F20"/>
        </w:rPr>
        <w:t>de</w:t>
      </w:r>
      <w:r>
        <w:rPr>
          <w:color w:val="231F20"/>
          <w:spacing w:val="-12"/>
        </w:rPr>
        <w:t> </w:t>
      </w:r>
      <w:r>
        <w:rPr>
          <w:color w:val="231F20"/>
        </w:rPr>
        <w:t>los</w:t>
      </w:r>
      <w:r>
        <w:rPr>
          <w:color w:val="231F20"/>
          <w:spacing w:val="-12"/>
        </w:rPr>
        <w:t> </w:t>
      </w:r>
      <w:r>
        <w:rPr>
          <w:color w:val="231F20"/>
        </w:rPr>
        <w:t>nautiloideos se da en diferentes niveles a lo largo de la columna estratigráfica y una de las muestras se encontró en el mismo punto en el que Geyer (1973), identificó los restos de </w:t>
      </w:r>
      <w:r>
        <w:rPr>
          <w:i/>
          <w:color w:val="231F20"/>
        </w:rPr>
        <w:t>Oxynautilus?sp.</w:t>
      </w:r>
      <w:r>
        <w:rPr>
          <w:color w:val="231F20"/>
        </w:rPr>
        <w:t>. El material corresponde a ejemplares del mismo género pero de diferentes tallas, un espécimen pequeño, uno mediano y un fragmento</w:t>
      </w:r>
      <w:r>
        <w:rPr>
          <w:color w:val="231F20"/>
          <w:spacing w:val="80"/>
        </w:rPr>
        <w:t> </w:t>
      </w:r>
      <w:r>
        <w:rPr>
          <w:color w:val="231F20"/>
        </w:rPr>
        <w:t>de uno relativamente más grande. Las características morfológicas corresponden a formas moderadamente involutas.</w:t>
      </w:r>
      <w:r>
        <w:rPr>
          <w:color w:val="231F20"/>
          <w:spacing w:val="-9"/>
        </w:rPr>
        <w:t> </w:t>
      </w:r>
      <w:r>
        <w:rPr>
          <w:color w:val="231F20"/>
        </w:rPr>
        <w:t>Se</w:t>
      </w:r>
      <w:r>
        <w:rPr>
          <w:color w:val="231F20"/>
          <w:spacing w:val="-9"/>
        </w:rPr>
        <w:t> </w:t>
      </w:r>
      <w:r>
        <w:rPr>
          <w:color w:val="231F20"/>
        </w:rPr>
        <w:t>realizaron</w:t>
      </w:r>
      <w:r>
        <w:rPr>
          <w:color w:val="231F20"/>
          <w:spacing w:val="-9"/>
        </w:rPr>
        <w:t> </w:t>
      </w:r>
      <w:r>
        <w:rPr>
          <w:color w:val="231F20"/>
        </w:rPr>
        <w:t>las</w:t>
      </w:r>
      <w:r>
        <w:rPr>
          <w:color w:val="231F20"/>
          <w:spacing w:val="-9"/>
        </w:rPr>
        <w:t> </w:t>
      </w:r>
      <w:r>
        <w:rPr>
          <w:color w:val="231F20"/>
        </w:rPr>
        <w:t>mediciones,</w:t>
      </w:r>
      <w:r>
        <w:rPr>
          <w:color w:val="231F20"/>
          <w:spacing w:val="-9"/>
        </w:rPr>
        <w:t> </w:t>
      </w:r>
      <w:r>
        <w:rPr>
          <w:color w:val="231F20"/>
        </w:rPr>
        <w:t>obteniendo</w:t>
      </w:r>
      <w:r>
        <w:rPr>
          <w:color w:val="231F20"/>
          <w:spacing w:val="-9"/>
        </w:rPr>
        <w:t> </w:t>
      </w:r>
      <w:r>
        <w:rPr>
          <w:color w:val="231F20"/>
        </w:rPr>
        <w:t>para el</w:t>
      </w:r>
      <w:r>
        <w:rPr>
          <w:color w:val="231F20"/>
          <w:spacing w:val="13"/>
        </w:rPr>
        <w:t> </w:t>
      </w:r>
      <w:r>
        <w:rPr>
          <w:color w:val="231F20"/>
        </w:rPr>
        <w:t>ejemplar</w:t>
      </w:r>
      <w:r>
        <w:rPr>
          <w:color w:val="231F20"/>
          <w:spacing w:val="15"/>
        </w:rPr>
        <w:t> </w:t>
      </w:r>
      <w:r>
        <w:rPr>
          <w:color w:val="231F20"/>
        </w:rPr>
        <w:t>pequeño</w:t>
      </w:r>
      <w:r>
        <w:rPr>
          <w:color w:val="231F20"/>
          <w:spacing w:val="15"/>
        </w:rPr>
        <w:t> </w:t>
      </w:r>
      <w:r>
        <w:rPr>
          <w:color w:val="231F20"/>
        </w:rPr>
        <w:t>un</w:t>
      </w:r>
      <w:r>
        <w:rPr>
          <w:color w:val="231F20"/>
          <w:spacing w:val="15"/>
        </w:rPr>
        <w:t> </w:t>
      </w:r>
      <w:r>
        <w:rPr>
          <w:color w:val="231F20"/>
        </w:rPr>
        <w:t>diámetro</w:t>
      </w:r>
      <w:r>
        <w:rPr>
          <w:color w:val="231F20"/>
          <w:spacing w:val="15"/>
        </w:rPr>
        <w:t> </w:t>
      </w:r>
      <w:r>
        <w:rPr>
          <w:color w:val="231F20"/>
        </w:rPr>
        <w:t>total</w:t>
      </w:r>
      <w:r>
        <w:rPr>
          <w:color w:val="231F20"/>
          <w:spacing w:val="15"/>
        </w:rPr>
        <w:t> </w:t>
      </w:r>
      <w:r>
        <w:rPr>
          <w:color w:val="231F20"/>
        </w:rPr>
        <w:t>de</w:t>
      </w:r>
      <w:r>
        <w:rPr>
          <w:color w:val="231F20"/>
          <w:spacing w:val="15"/>
        </w:rPr>
        <w:t> </w:t>
      </w:r>
      <w:r>
        <w:rPr>
          <w:color w:val="231F20"/>
        </w:rPr>
        <w:t>la</w:t>
      </w:r>
      <w:r>
        <w:rPr>
          <w:color w:val="231F20"/>
          <w:spacing w:val="15"/>
        </w:rPr>
        <w:t> </w:t>
      </w:r>
      <w:r>
        <w:rPr>
          <w:color w:val="231F20"/>
        </w:rPr>
        <w:t>concha</w:t>
      </w:r>
      <w:r>
        <w:rPr>
          <w:color w:val="231F20"/>
          <w:spacing w:val="16"/>
        </w:rPr>
        <w:t> </w:t>
      </w:r>
      <w:r>
        <w:rPr>
          <w:color w:val="231F20"/>
          <w:spacing w:val="-5"/>
        </w:rPr>
        <w:t>de</w:t>
      </w:r>
    </w:p>
    <w:p>
      <w:pPr>
        <w:pStyle w:val="BodyText"/>
        <w:spacing w:after="0" w:line="254" w:lineRule="auto"/>
        <w:jc w:val="both"/>
        <w:sectPr>
          <w:type w:val="continuous"/>
          <w:pgSz w:w="12260" w:h="15560"/>
          <w:pgMar w:header="373" w:footer="336" w:top="240" w:bottom="520" w:left="1275" w:right="708"/>
          <w:cols w:num="2" w:equalWidth="0">
            <w:col w:w="4743" w:space="133"/>
            <w:col w:w="5401"/>
          </w:cols>
        </w:sectPr>
      </w:pPr>
    </w:p>
    <w:p>
      <w:pPr>
        <w:pStyle w:val="BodyText"/>
        <w:spacing w:before="68"/>
      </w:pPr>
    </w:p>
    <w:p>
      <w:pPr>
        <w:pStyle w:val="BodyText"/>
        <w:spacing w:after="0"/>
        <w:sectPr>
          <w:pgSz w:w="12260" w:h="15560"/>
          <w:pgMar w:header="307" w:footer="336" w:top="800" w:bottom="520" w:left="1275" w:right="708"/>
        </w:sectPr>
      </w:pPr>
    </w:p>
    <w:p>
      <w:pPr>
        <w:pStyle w:val="BodyText"/>
        <w:spacing w:line="254" w:lineRule="auto" w:before="91"/>
        <w:ind w:left="162" w:right="38"/>
        <w:jc w:val="both"/>
      </w:pPr>
      <w:r>
        <w:rPr>
          <w:color w:val="231F20"/>
        </w:rPr>
        <w:t>50</w:t>
      </w:r>
      <w:r>
        <w:rPr>
          <w:color w:val="231F20"/>
          <w:spacing w:val="-13"/>
        </w:rPr>
        <w:t> </w:t>
      </w:r>
      <w:r>
        <w:rPr>
          <w:color w:val="231F20"/>
        </w:rPr>
        <w:t>mm,</w:t>
      </w:r>
      <w:r>
        <w:rPr>
          <w:color w:val="231F20"/>
          <w:spacing w:val="-12"/>
        </w:rPr>
        <w:t> </w:t>
      </w:r>
      <w:r>
        <w:rPr>
          <w:color w:val="231F20"/>
        </w:rPr>
        <w:t>un</w:t>
      </w:r>
      <w:r>
        <w:rPr>
          <w:color w:val="231F20"/>
          <w:spacing w:val="-13"/>
        </w:rPr>
        <w:t> </w:t>
      </w:r>
      <w:r>
        <w:rPr>
          <w:color w:val="231F20"/>
        </w:rPr>
        <w:t>diámetro</w:t>
      </w:r>
      <w:r>
        <w:rPr>
          <w:color w:val="231F20"/>
          <w:spacing w:val="-12"/>
        </w:rPr>
        <w:t> </w:t>
      </w:r>
      <w:r>
        <w:rPr>
          <w:color w:val="231F20"/>
        </w:rPr>
        <w:t>de</w:t>
      </w:r>
      <w:r>
        <w:rPr>
          <w:color w:val="231F20"/>
          <w:spacing w:val="-13"/>
        </w:rPr>
        <w:t> </w:t>
      </w:r>
      <w:r>
        <w:rPr>
          <w:color w:val="231F20"/>
        </w:rPr>
        <w:t>la</w:t>
      </w:r>
      <w:r>
        <w:rPr>
          <w:color w:val="231F20"/>
          <w:spacing w:val="-12"/>
        </w:rPr>
        <w:t> </w:t>
      </w:r>
      <w:r>
        <w:rPr>
          <w:color w:val="231F20"/>
        </w:rPr>
        <w:t>vuelta</w:t>
      </w:r>
      <w:r>
        <w:rPr>
          <w:color w:val="231F20"/>
          <w:spacing w:val="-13"/>
        </w:rPr>
        <w:t> </w:t>
      </w:r>
      <w:r>
        <w:rPr>
          <w:color w:val="231F20"/>
        </w:rPr>
        <w:t>de</w:t>
      </w:r>
      <w:r>
        <w:rPr>
          <w:color w:val="231F20"/>
          <w:spacing w:val="-12"/>
        </w:rPr>
        <w:t> </w:t>
      </w:r>
      <w:r>
        <w:rPr>
          <w:color w:val="231F20"/>
        </w:rPr>
        <w:t>33</w:t>
      </w:r>
      <w:r>
        <w:rPr>
          <w:color w:val="231F20"/>
          <w:spacing w:val="-13"/>
        </w:rPr>
        <w:t> </w:t>
      </w:r>
      <w:r>
        <w:rPr>
          <w:color w:val="231F20"/>
        </w:rPr>
        <w:t>mm</w:t>
      </w:r>
      <w:r>
        <w:rPr>
          <w:color w:val="231F20"/>
          <w:spacing w:val="-12"/>
        </w:rPr>
        <w:t> </w:t>
      </w:r>
      <w:r>
        <w:rPr>
          <w:color w:val="231F20"/>
        </w:rPr>
        <w:t>y</w:t>
      </w:r>
      <w:r>
        <w:rPr>
          <w:color w:val="231F20"/>
          <w:spacing w:val="-13"/>
        </w:rPr>
        <w:t> </w:t>
      </w:r>
      <w:r>
        <w:rPr>
          <w:color w:val="231F20"/>
        </w:rPr>
        <w:t>un</w:t>
      </w:r>
      <w:r>
        <w:rPr>
          <w:color w:val="231F20"/>
          <w:spacing w:val="-12"/>
        </w:rPr>
        <w:t> </w:t>
      </w:r>
      <w:r>
        <w:rPr>
          <w:color w:val="231F20"/>
        </w:rPr>
        <w:t>diámetro umbilical de 12 mm, con 22 mm de altura de la sección de la vuelta. Para el ejemplar mediano, únicamente fue posible medir su diámetro total de la concha 115 mm y el ancho de la cámara 78mm. Por último, el ejemplar más grande es un fragmento de concha que incluye parte de la vuelta y zona umbilical diferenciada, sus medidas</w:t>
      </w:r>
      <w:r>
        <w:rPr>
          <w:color w:val="231F20"/>
          <w:spacing w:val="-7"/>
        </w:rPr>
        <w:t> </w:t>
      </w:r>
      <w:r>
        <w:rPr>
          <w:color w:val="231F20"/>
        </w:rPr>
        <w:t>son</w:t>
      </w:r>
      <w:r>
        <w:rPr>
          <w:color w:val="231F20"/>
          <w:spacing w:val="-6"/>
        </w:rPr>
        <w:t> </w:t>
      </w:r>
      <w:r>
        <w:rPr>
          <w:color w:val="231F20"/>
        </w:rPr>
        <w:t>:</w:t>
      </w:r>
      <w:r>
        <w:rPr>
          <w:color w:val="231F20"/>
          <w:spacing w:val="-6"/>
        </w:rPr>
        <w:t> </w:t>
      </w:r>
      <w:r>
        <w:rPr>
          <w:color w:val="231F20"/>
        </w:rPr>
        <w:t>93</w:t>
      </w:r>
      <w:r>
        <w:rPr>
          <w:color w:val="231F20"/>
          <w:spacing w:val="-6"/>
        </w:rPr>
        <w:t> </w:t>
      </w:r>
      <w:r>
        <w:rPr>
          <w:color w:val="231F20"/>
        </w:rPr>
        <w:t>mm</w:t>
      </w:r>
      <w:r>
        <w:rPr>
          <w:color w:val="231F20"/>
          <w:spacing w:val="-6"/>
        </w:rPr>
        <w:t> </w:t>
      </w:r>
      <w:r>
        <w:rPr>
          <w:color w:val="231F20"/>
        </w:rPr>
        <w:t>para</w:t>
      </w:r>
      <w:r>
        <w:rPr>
          <w:color w:val="231F20"/>
          <w:spacing w:val="-6"/>
        </w:rPr>
        <w:t> </w:t>
      </w:r>
      <w:r>
        <w:rPr>
          <w:color w:val="231F20"/>
        </w:rPr>
        <w:t>la</w:t>
      </w:r>
      <w:r>
        <w:rPr>
          <w:color w:val="231F20"/>
          <w:spacing w:val="-6"/>
        </w:rPr>
        <w:t> </w:t>
      </w:r>
      <w:r>
        <w:rPr>
          <w:color w:val="231F20"/>
        </w:rPr>
        <w:t>altura</w:t>
      </w:r>
      <w:r>
        <w:rPr>
          <w:color w:val="231F20"/>
          <w:spacing w:val="-6"/>
        </w:rPr>
        <w:t> </w:t>
      </w:r>
      <w:r>
        <w:rPr>
          <w:color w:val="231F20"/>
        </w:rPr>
        <w:t>de</w:t>
      </w:r>
      <w:r>
        <w:rPr>
          <w:color w:val="231F20"/>
          <w:spacing w:val="-6"/>
        </w:rPr>
        <w:t> </w:t>
      </w:r>
      <w:r>
        <w:rPr>
          <w:color w:val="231F20"/>
        </w:rPr>
        <w:t>la</w:t>
      </w:r>
      <w:r>
        <w:rPr>
          <w:color w:val="231F20"/>
          <w:spacing w:val="-6"/>
        </w:rPr>
        <w:t> </w:t>
      </w:r>
      <w:r>
        <w:rPr>
          <w:color w:val="231F20"/>
        </w:rPr>
        <w:t>vuelta</w:t>
      </w:r>
      <w:r>
        <w:rPr>
          <w:color w:val="231F20"/>
          <w:spacing w:val="-6"/>
        </w:rPr>
        <w:t> </w:t>
      </w:r>
      <w:r>
        <w:rPr>
          <w:color w:val="231F20"/>
        </w:rPr>
        <w:t>y</w:t>
      </w:r>
      <w:r>
        <w:rPr>
          <w:color w:val="231F20"/>
          <w:spacing w:val="-6"/>
        </w:rPr>
        <w:t> </w:t>
      </w:r>
      <w:r>
        <w:rPr>
          <w:color w:val="231F20"/>
        </w:rPr>
        <w:t>para</w:t>
      </w:r>
      <w:r>
        <w:rPr>
          <w:color w:val="231F20"/>
          <w:spacing w:val="-6"/>
        </w:rPr>
        <w:t> </w:t>
      </w:r>
      <w:r>
        <w:rPr>
          <w:color w:val="231F20"/>
        </w:rPr>
        <w:t>el diámetro</w:t>
      </w:r>
      <w:r>
        <w:rPr>
          <w:color w:val="231F20"/>
          <w:spacing w:val="-5"/>
        </w:rPr>
        <w:t> </w:t>
      </w:r>
      <w:r>
        <w:rPr>
          <w:color w:val="231F20"/>
        </w:rPr>
        <w:t>110</w:t>
      </w:r>
      <w:r>
        <w:rPr>
          <w:color w:val="231F20"/>
          <w:spacing w:val="-5"/>
        </w:rPr>
        <w:t> </w:t>
      </w:r>
      <w:r>
        <w:rPr>
          <w:color w:val="231F20"/>
        </w:rPr>
        <w:t>mm,</w:t>
      </w:r>
      <w:r>
        <w:rPr>
          <w:color w:val="231F20"/>
          <w:spacing w:val="-5"/>
        </w:rPr>
        <w:t> </w:t>
      </w:r>
      <w:r>
        <w:rPr>
          <w:color w:val="231F20"/>
        </w:rPr>
        <w:t>con</w:t>
      </w:r>
      <w:r>
        <w:rPr>
          <w:color w:val="231F20"/>
          <w:spacing w:val="-5"/>
        </w:rPr>
        <w:t> </w:t>
      </w:r>
      <w:r>
        <w:rPr>
          <w:color w:val="231F20"/>
        </w:rPr>
        <w:t>una</w:t>
      </w:r>
      <w:r>
        <w:rPr>
          <w:color w:val="231F20"/>
          <w:spacing w:val="-5"/>
        </w:rPr>
        <w:t> </w:t>
      </w:r>
      <w:r>
        <w:rPr>
          <w:color w:val="231F20"/>
        </w:rPr>
        <w:t>zona</w:t>
      </w:r>
      <w:r>
        <w:rPr>
          <w:color w:val="231F20"/>
          <w:spacing w:val="-5"/>
        </w:rPr>
        <w:t> </w:t>
      </w:r>
      <w:r>
        <w:rPr>
          <w:color w:val="231F20"/>
        </w:rPr>
        <w:t>umbilical</w:t>
      </w:r>
      <w:r>
        <w:rPr>
          <w:color w:val="231F20"/>
          <w:spacing w:val="-5"/>
        </w:rPr>
        <w:t> </w:t>
      </w:r>
      <w:r>
        <w:rPr>
          <w:color w:val="231F20"/>
        </w:rPr>
        <w:t>de</w:t>
      </w:r>
      <w:r>
        <w:rPr>
          <w:color w:val="231F20"/>
          <w:spacing w:val="-5"/>
        </w:rPr>
        <w:t> </w:t>
      </w:r>
      <w:r>
        <w:rPr>
          <w:color w:val="231F20"/>
        </w:rPr>
        <w:t>36mm.</w:t>
      </w:r>
      <w:r>
        <w:rPr>
          <w:color w:val="231F20"/>
          <w:spacing w:val="-5"/>
        </w:rPr>
        <w:t> </w:t>
      </w:r>
      <w:r>
        <w:rPr>
          <w:color w:val="231F20"/>
        </w:rPr>
        <w:t>Es importante</w:t>
      </w:r>
      <w:r>
        <w:rPr>
          <w:color w:val="231F20"/>
          <w:spacing w:val="-6"/>
        </w:rPr>
        <w:t> </w:t>
      </w:r>
      <w:r>
        <w:rPr>
          <w:color w:val="231F20"/>
        </w:rPr>
        <w:t>reiterar</w:t>
      </w:r>
      <w:r>
        <w:rPr>
          <w:color w:val="231F20"/>
          <w:spacing w:val="-6"/>
        </w:rPr>
        <w:t> </w:t>
      </w:r>
      <w:r>
        <w:rPr>
          <w:color w:val="231F20"/>
        </w:rPr>
        <w:t>que</w:t>
      </w:r>
      <w:r>
        <w:rPr>
          <w:color w:val="231F20"/>
          <w:spacing w:val="-6"/>
        </w:rPr>
        <w:t> </w:t>
      </w:r>
      <w:r>
        <w:rPr>
          <w:color w:val="231F20"/>
        </w:rPr>
        <w:t>los</w:t>
      </w:r>
      <w:r>
        <w:rPr>
          <w:color w:val="231F20"/>
          <w:spacing w:val="-6"/>
        </w:rPr>
        <w:t> </w:t>
      </w:r>
      <w:r>
        <w:rPr>
          <w:color w:val="231F20"/>
        </w:rPr>
        <w:t>valores</w:t>
      </w:r>
      <w:r>
        <w:rPr>
          <w:color w:val="231F20"/>
          <w:spacing w:val="-6"/>
        </w:rPr>
        <w:t> </w:t>
      </w:r>
      <w:r>
        <w:rPr>
          <w:color w:val="231F20"/>
        </w:rPr>
        <w:t>de</w:t>
      </w:r>
      <w:r>
        <w:rPr>
          <w:color w:val="231F20"/>
          <w:spacing w:val="-6"/>
        </w:rPr>
        <w:t> </w:t>
      </w:r>
      <w:r>
        <w:rPr>
          <w:color w:val="231F20"/>
        </w:rPr>
        <w:t>este</w:t>
      </w:r>
      <w:r>
        <w:rPr>
          <w:color w:val="231F20"/>
          <w:spacing w:val="-6"/>
        </w:rPr>
        <w:t> </w:t>
      </w:r>
      <w:r>
        <w:rPr>
          <w:color w:val="231F20"/>
        </w:rPr>
        <w:t>último</w:t>
      </w:r>
      <w:r>
        <w:rPr>
          <w:color w:val="231F20"/>
          <w:spacing w:val="-6"/>
        </w:rPr>
        <w:t> </w:t>
      </w:r>
      <w:r>
        <w:rPr>
          <w:color w:val="231F20"/>
        </w:rPr>
        <w:t>no</w:t>
      </w:r>
      <w:r>
        <w:rPr>
          <w:color w:val="231F20"/>
          <w:spacing w:val="-6"/>
        </w:rPr>
        <w:t> </w:t>
      </w:r>
      <w:r>
        <w:rPr>
          <w:color w:val="231F20"/>
        </w:rPr>
        <w:t>son del</w:t>
      </w:r>
      <w:r>
        <w:rPr>
          <w:color w:val="231F20"/>
          <w:spacing w:val="-7"/>
        </w:rPr>
        <w:t> </w:t>
      </w:r>
      <w:r>
        <w:rPr>
          <w:color w:val="231F20"/>
        </w:rPr>
        <w:t>ejemplar</w:t>
      </w:r>
      <w:r>
        <w:rPr>
          <w:color w:val="231F20"/>
          <w:spacing w:val="-7"/>
        </w:rPr>
        <w:t> </w:t>
      </w:r>
      <w:r>
        <w:rPr>
          <w:color w:val="231F20"/>
        </w:rPr>
        <w:t>completo.</w:t>
      </w:r>
      <w:r>
        <w:rPr>
          <w:color w:val="231F20"/>
          <w:spacing w:val="-7"/>
        </w:rPr>
        <w:t> </w:t>
      </w:r>
      <w:r>
        <w:rPr>
          <w:color w:val="231F20"/>
        </w:rPr>
        <w:t>La</w:t>
      </w:r>
      <w:r>
        <w:rPr>
          <w:color w:val="231F20"/>
          <w:spacing w:val="-7"/>
        </w:rPr>
        <w:t> </w:t>
      </w:r>
      <w:r>
        <w:rPr>
          <w:color w:val="231F20"/>
        </w:rPr>
        <w:t>zona</w:t>
      </w:r>
      <w:r>
        <w:rPr>
          <w:color w:val="231F20"/>
          <w:spacing w:val="-7"/>
        </w:rPr>
        <w:t> </w:t>
      </w:r>
      <w:r>
        <w:rPr>
          <w:color w:val="231F20"/>
        </w:rPr>
        <w:t>umbilical</w:t>
      </w:r>
      <w:r>
        <w:rPr>
          <w:color w:val="231F20"/>
          <w:spacing w:val="-7"/>
        </w:rPr>
        <w:t> </w:t>
      </w:r>
      <w:r>
        <w:rPr>
          <w:color w:val="231F20"/>
        </w:rPr>
        <w:t>está</w:t>
      </w:r>
      <w:r>
        <w:rPr>
          <w:color w:val="231F20"/>
          <w:spacing w:val="-7"/>
        </w:rPr>
        <w:t> </w:t>
      </w:r>
      <w:r>
        <w:rPr>
          <w:color w:val="231F20"/>
        </w:rPr>
        <w:t>muy</w:t>
      </w:r>
      <w:r>
        <w:rPr>
          <w:color w:val="231F20"/>
          <w:spacing w:val="-7"/>
        </w:rPr>
        <w:t> </w:t>
      </w:r>
      <w:r>
        <w:rPr>
          <w:color w:val="231F20"/>
        </w:rPr>
        <w:t>bien expuesta en el molde pequeño, parcialmente amplia y profunda, mientras que en el fragmento de nautiloideo adulto, se observa un margen umbilical redondeado. A los dos ejemplares menores se les observa incompleta</w:t>
      </w:r>
      <w:r>
        <w:rPr>
          <w:color w:val="231F20"/>
          <w:spacing w:val="40"/>
        </w:rPr>
        <w:t> </w:t>
      </w:r>
      <w:r>
        <w:rPr>
          <w:color w:val="231F20"/>
        </w:rPr>
        <w:t>la</w:t>
      </w:r>
      <w:r>
        <w:rPr>
          <w:color w:val="231F20"/>
          <w:spacing w:val="40"/>
        </w:rPr>
        <w:t> </w:t>
      </w:r>
      <w:r>
        <w:rPr>
          <w:color w:val="231F20"/>
        </w:rPr>
        <w:t>sutura</w:t>
      </w:r>
      <w:r>
        <w:rPr>
          <w:color w:val="231F20"/>
          <w:spacing w:val="40"/>
        </w:rPr>
        <w:t> </w:t>
      </w:r>
      <w:r>
        <w:rPr>
          <w:color w:val="231F20"/>
        </w:rPr>
        <w:t>y</w:t>
      </w:r>
      <w:r>
        <w:rPr>
          <w:color w:val="231F20"/>
          <w:spacing w:val="40"/>
        </w:rPr>
        <w:t> </w:t>
      </w:r>
      <w:r>
        <w:rPr>
          <w:color w:val="231F20"/>
        </w:rPr>
        <w:t>por</w:t>
      </w:r>
      <w:r>
        <w:rPr>
          <w:color w:val="231F20"/>
          <w:spacing w:val="40"/>
        </w:rPr>
        <w:t> </w:t>
      </w:r>
      <w:r>
        <w:rPr>
          <w:color w:val="231F20"/>
        </w:rPr>
        <w:t>el</w:t>
      </w:r>
      <w:r>
        <w:rPr>
          <w:color w:val="231F20"/>
          <w:spacing w:val="40"/>
        </w:rPr>
        <w:t> </w:t>
      </w:r>
      <w:r>
        <w:rPr>
          <w:color w:val="231F20"/>
        </w:rPr>
        <w:t>contrario</w:t>
      </w:r>
      <w:r>
        <w:rPr>
          <w:color w:val="231F20"/>
          <w:spacing w:val="40"/>
        </w:rPr>
        <w:t> </w:t>
      </w:r>
      <w:r>
        <w:rPr>
          <w:color w:val="231F20"/>
        </w:rPr>
        <w:t>en</w:t>
      </w:r>
      <w:r>
        <w:rPr>
          <w:color w:val="231F20"/>
          <w:spacing w:val="40"/>
        </w:rPr>
        <w:t> </w:t>
      </w:r>
      <w:r>
        <w:rPr>
          <w:color w:val="231F20"/>
        </w:rPr>
        <w:t>el</w:t>
      </w:r>
      <w:r>
        <w:rPr>
          <w:color w:val="231F20"/>
          <w:spacing w:val="40"/>
        </w:rPr>
        <w:t> </w:t>
      </w:r>
      <w:r>
        <w:rPr>
          <w:color w:val="231F20"/>
        </w:rPr>
        <w:t>fragmento</w:t>
      </w:r>
      <w:r>
        <w:rPr>
          <w:color w:val="231F20"/>
          <w:spacing w:val="40"/>
        </w:rPr>
        <w:t> </w:t>
      </w:r>
      <w:r>
        <w:rPr>
          <w:color w:val="231F20"/>
        </w:rPr>
        <w:t>grande se</w:t>
      </w:r>
      <w:r>
        <w:rPr>
          <w:color w:val="231F20"/>
          <w:spacing w:val="-2"/>
        </w:rPr>
        <w:t> </w:t>
      </w:r>
      <w:r>
        <w:rPr>
          <w:color w:val="231F20"/>
        </w:rPr>
        <w:t>observó</w:t>
      </w:r>
      <w:r>
        <w:rPr>
          <w:color w:val="231F20"/>
          <w:spacing w:val="-2"/>
        </w:rPr>
        <w:t> </w:t>
      </w:r>
      <w:r>
        <w:rPr>
          <w:color w:val="231F20"/>
        </w:rPr>
        <w:t>más</w:t>
      </w:r>
      <w:r>
        <w:rPr>
          <w:color w:val="231F20"/>
          <w:spacing w:val="-2"/>
        </w:rPr>
        <w:t> </w:t>
      </w:r>
      <w:r>
        <w:rPr>
          <w:color w:val="231F20"/>
        </w:rPr>
        <w:t>completa</w:t>
      </w:r>
      <w:r>
        <w:rPr>
          <w:color w:val="231F20"/>
          <w:spacing w:val="-2"/>
        </w:rPr>
        <w:t> </w:t>
      </w:r>
      <w:r>
        <w:rPr>
          <w:color w:val="231F20"/>
        </w:rPr>
        <w:t>y</w:t>
      </w:r>
      <w:r>
        <w:rPr>
          <w:color w:val="231F20"/>
          <w:spacing w:val="-2"/>
        </w:rPr>
        <w:t> </w:t>
      </w:r>
      <w:r>
        <w:rPr>
          <w:color w:val="231F20"/>
        </w:rPr>
        <w:t>continua,</w:t>
      </w:r>
      <w:r>
        <w:rPr>
          <w:color w:val="231F20"/>
          <w:spacing w:val="-2"/>
        </w:rPr>
        <w:t> </w:t>
      </w:r>
      <w:r>
        <w:rPr>
          <w:color w:val="231F20"/>
        </w:rPr>
        <w:t>como</w:t>
      </w:r>
      <w:r>
        <w:rPr>
          <w:color w:val="231F20"/>
          <w:spacing w:val="-2"/>
        </w:rPr>
        <w:t> </w:t>
      </w:r>
      <w:r>
        <w:rPr>
          <w:color w:val="231F20"/>
        </w:rPr>
        <w:t>una</w:t>
      </w:r>
      <w:r>
        <w:rPr>
          <w:color w:val="231F20"/>
          <w:spacing w:val="-2"/>
        </w:rPr>
        <w:t> </w:t>
      </w:r>
      <w:r>
        <w:rPr>
          <w:color w:val="231F20"/>
        </w:rPr>
        <w:t>línea</w:t>
      </w:r>
      <w:r>
        <w:rPr>
          <w:color w:val="231F20"/>
          <w:spacing w:val="-2"/>
        </w:rPr>
        <w:t> </w:t>
      </w:r>
      <w:r>
        <w:rPr>
          <w:color w:val="231F20"/>
        </w:rPr>
        <w:t>de sutura</w:t>
      </w:r>
      <w:r>
        <w:rPr>
          <w:color w:val="231F20"/>
          <w:spacing w:val="-7"/>
        </w:rPr>
        <w:t> </w:t>
      </w:r>
      <w:r>
        <w:rPr>
          <w:color w:val="231F20"/>
        </w:rPr>
        <w:t>simple,</w:t>
      </w:r>
      <w:r>
        <w:rPr>
          <w:color w:val="231F20"/>
          <w:spacing w:val="-7"/>
        </w:rPr>
        <w:t> </w:t>
      </w:r>
      <w:r>
        <w:rPr>
          <w:color w:val="231F20"/>
        </w:rPr>
        <w:t>ligeramente</w:t>
      </w:r>
      <w:r>
        <w:rPr>
          <w:color w:val="231F20"/>
          <w:spacing w:val="-7"/>
        </w:rPr>
        <w:t> </w:t>
      </w:r>
      <w:r>
        <w:rPr>
          <w:color w:val="231F20"/>
        </w:rPr>
        <w:t>sinuosa</w:t>
      </w:r>
      <w:r>
        <w:rPr>
          <w:color w:val="231F20"/>
          <w:spacing w:val="-7"/>
        </w:rPr>
        <w:t> </w:t>
      </w:r>
      <w:r>
        <w:rPr>
          <w:color w:val="231F20"/>
        </w:rPr>
        <w:t>hacia</w:t>
      </w:r>
      <w:r>
        <w:rPr>
          <w:color w:val="231F20"/>
          <w:spacing w:val="-7"/>
        </w:rPr>
        <w:t> </w:t>
      </w:r>
      <w:r>
        <w:rPr>
          <w:color w:val="231F20"/>
        </w:rPr>
        <w:t>la</w:t>
      </w:r>
      <w:r>
        <w:rPr>
          <w:color w:val="231F20"/>
          <w:spacing w:val="-7"/>
        </w:rPr>
        <w:t> </w:t>
      </w:r>
      <w:r>
        <w:rPr>
          <w:color w:val="231F20"/>
        </w:rPr>
        <w:t>parte</w:t>
      </w:r>
      <w:r>
        <w:rPr>
          <w:color w:val="231F20"/>
          <w:spacing w:val="-7"/>
        </w:rPr>
        <w:t> </w:t>
      </w:r>
      <w:r>
        <w:rPr>
          <w:color w:val="231F20"/>
        </w:rPr>
        <w:t>ventral (Fig.4).</w:t>
      </w:r>
      <w:r>
        <w:rPr>
          <w:color w:val="231F20"/>
          <w:spacing w:val="-3"/>
        </w:rPr>
        <w:t> </w:t>
      </w:r>
      <w:r>
        <w:rPr>
          <w:color w:val="231F20"/>
        </w:rPr>
        <w:t>El</w:t>
      </w:r>
      <w:r>
        <w:rPr>
          <w:color w:val="231F20"/>
          <w:spacing w:val="-3"/>
        </w:rPr>
        <w:t> </w:t>
      </w:r>
      <w:r>
        <w:rPr>
          <w:color w:val="231F20"/>
        </w:rPr>
        <w:t>sifón</w:t>
      </w:r>
      <w:r>
        <w:rPr>
          <w:color w:val="231F20"/>
          <w:spacing w:val="-3"/>
        </w:rPr>
        <w:t> </w:t>
      </w:r>
      <w:r>
        <w:rPr>
          <w:color w:val="231F20"/>
        </w:rPr>
        <w:t>únicamente</w:t>
      </w:r>
      <w:r>
        <w:rPr>
          <w:color w:val="231F20"/>
          <w:spacing w:val="-3"/>
        </w:rPr>
        <w:t> </w:t>
      </w:r>
      <w:r>
        <w:rPr>
          <w:color w:val="231F20"/>
        </w:rPr>
        <w:t>se</w:t>
      </w:r>
      <w:r>
        <w:rPr>
          <w:color w:val="231F20"/>
          <w:spacing w:val="-3"/>
        </w:rPr>
        <w:t> </w:t>
      </w:r>
      <w:r>
        <w:rPr>
          <w:color w:val="231F20"/>
        </w:rPr>
        <w:t>observa</w:t>
      </w:r>
      <w:r>
        <w:rPr>
          <w:color w:val="231F20"/>
          <w:spacing w:val="-3"/>
        </w:rPr>
        <w:t> </w:t>
      </w:r>
      <w:r>
        <w:rPr>
          <w:color w:val="231F20"/>
        </w:rPr>
        <w:t>en</w:t>
      </w:r>
      <w:r>
        <w:rPr>
          <w:color w:val="231F20"/>
          <w:spacing w:val="-3"/>
        </w:rPr>
        <w:t> </w:t>
      </w:r>
      <w:r>
        <w:rPr>
          <w:color w:val="231F20"/>
        </w:rPr>
        <w:t>el</w:t>
      </w:r>
      <w:r>
        <w:rPr>
          <w:color w:val="231F20"/>
          <w:spacing w:val="-3"/>
        </w:rPr>
        <w:t> </w:t>
      </w:r>
      <w:r>
        <w:rPr>
          <w:color w:val="231F20"/>
        </w:rPr>
        <w:t>espécimen pequeño,</w:t>
      </w:r>
      <w:r>
        <w:rPr>
          <w:color w:val="231F20"/>
          <w:spacing w:val="-10"/>
        </w:rPr>
        <w:t> </w:t>
      </w:r>
      <w:r>
        <w:rPr>
          <w:color w:val="231F20"/>
        </w:rPr>
        <w:t>su</w:t>
      </w:r>
      <w:r>
        <w:rPr>
          <w:color w:val="231F20"/>
          <w:spacing w:val="-10"/>
        </w:rPr>
        <w:t> </w:t>
      </w:r>
      <w:r>
        <w:rPr>
          <w:color w:val="231F20"/>
        </w:rPr>
        <w:t>posición</w:t>
      </w:r>
      <w:r>
        <w:rPr>
          <w:color w:val="231F20"/>
          <w:spacing w:val="72"/>
        </w:rPr>
        <w:t> </w:t>
      </w:r>
      <w:r>
        <w:rPr>
          <w:color w:val="231F20"/>
        </w:rPr>
        <w:t>es</w:t>
      </w:r>
      <w:r>
        <w:rPr>
          <w:color w:val="231F20"/>
          <w:spacing w:val="-10"/>
        </w:rPr>
        <w:t> </w:t>
      </w:r>
      <w:r>
        <w:rPr>
          <w:color w:val="231F20"/>
        </w:rPr>
        <w:t>en</w:t>
      </w:r>
      <w:r>
        <w:rPr>
          <w:color w:val="231F20"/>
          <w:spacing w:val="-10"/>
        </w:rPr>
        <w:t> </w:t>
      </w:r>
      <w:r>
        <w:rPr>
          <w:color w:val="231F20"/>
        </w:rPr>
        <w:t>la</w:t>
      </w:r>
      <w:r>
        <w:rPr>
          <w:color w:val="231F20"/>
          <w:spacing w:val="-10"/>
        </w:rPr>
        <w:t> </w:t>
      </w:r>
      <w:r>
        <w:rPr>
          <w:color w:val="231F20"/>
        </w:rPr>
        <w:t>parte</w:t>
      </w:r>
      <w:r>
        <w:rPr>
          <w:color w:val="231F20"/>
          <w:spacing w:val="-10"/>
        </w:rPr>
        <w:t> </w:t>
      </w:r>
      <w:r>
        <w:rPr>
          <w:color w:val="231F20"/>
        </w:rPr>
        <w:t>central</w:t>
      </w:r>
      <w:r>
        <w:rPr>
          <w:color w:val="231F20"/>
          <w:spacing w:val="-10"/>
        </w:rPr>
        <w:t> </w:t>
      </w:r>
      <w:r>
        <w:rPr>
          <w:color w:val="231F20"/>
        </w:rPr>
        <w:t>de</w:t>
      </w:r>
      <w:r>
        <w:rPr>
          <w:color w:val="231F20"/>
          <w:spacing w:val="-10"/>
        </w:rPr>
        <w:t> </w:t>
      </w:r>
      <w:r>
        <w:rPr>
          <w:color w:val="231F20"/>
        </w:rPr>
        <w:t>la</w:t>
      </w:r>
      <w:r>
        <w:rPr>
          <w:color w:val="231F20"/>
          <w:spacing w:val="-10"/>
        </w:rPr>
        <w:t> </w:t>
      </w:r>
      <w:r>
        <w:rPr>
          <w:color w:val="231F20"/>
        </w:rPr>
        <w:t>sección de</w:t>
      </w:r>
      <w:r>
        <w:rPr>
          <w:color w:val="231F20"/>
          <w:spacing w:val="-6"/>
        </w:rPr>
        <w:t> </w:t>
      </w:r>
      <w:r>
        <w:rPr>
          <w:color w:val="231F20"/>
        </w:rPr>
        <w:t>la</w:t>
      </w:r>
      <w:r>
        <w:rPr>
          <w:color w:val="231F20"/>
          <w:spacing w:val="-6"/>
        </w:rPr>
        <w:t> </w:t>
      </w:r>
      <w:r>
        <w:rPr>
          <w:color w:val="231F20"/>
        </w:rPr>
        <w:t>vuelta.</w:t>
      </w:r>
      <w:r>
        <w:rPr>
          <w:color w:val="231F20"/>
          <w:spacing w:val="-6"/>
        </w:rPr>
        <w:t> </w:t>
      </w:r>
      <w:r>
        <w:rPr>
          <w:color w:val="231F20"/>
        </w:rPr>
        <w:t>La</w:t>
      </w:r>
      <w:r>
        <w:rPr>
          <w:color w:val="231F20"/>
          <w:spacing w:val="-6"/>
        </w:rPr>
        <w:t> </w:t>
      </w:r>
      <w:r>
        <w:rPr>
          <w:color w:val="231F20"/>
        </w:rPr>
        <w:t>forma</w:t>
      </w:r>
      <w:r>
        <w:rPr>
          <w:color w:val="231F20"/>
          <w:spacing w:val="-6"/>
        </w:rPr>
        <w:t> </w:t>
      </w:r>
      <w:r>
        <w:rPr>
          <w:color w:val="231F20"/>
        </w:rPr>
        <w:t>de</w:t>
      </w:r>
      <w:r>
        <w:rPr>
          <w:color w:val="231F20"/>
          <w:spacing w:val="-6"/>
        </w:rPr>
        <w:t> </w:t>
      </w:r>
      <w:r>
        <w:rPr>
          <w:color w:val="231F20"/>
        </w:rPr>
        <w:t>la</w:t>
      </w:r>
      <w:r>
        <w:rPr>
          <w:color w:val="231F20"/>
          <w:spacing w:val="-6"/>
        </w:rPr>
        <w:t> </w:t>
      </w:r>
      <w:r>
        <w:rPr>
          <w:color w:val="231F20"/>
        </w:rPr>
        <w:t>sección</w:t>
      </w:r>
      <w:r>
        <w:rPr>
          <w:color w:val="231F20"/>
          <w:spacing w:val="-6"/>
        </w:rPr>
        <w:t> </w:t>
      </w:r>
      <w:r>
        <w:rPr>
          <w:color w:val="231F20"/>
        </w:rPr>
        <w:t>de</w:t>
      </w:r>
      <w:r>
        <w:rPr>
          <w:color w:val="231F20"/>
          <w:spacing w:val="-6"/>
        </w:rPr>
        <w:t> </w:t>
      </w:r>
      <w:r>
        <w:rPr>
          <w:color w:val="231F20"/>
        </w:rPr>
        <w:t>la</w:t>
      </w:r>
      <w:r>
        <w:rPr>
          <w:color w:val="231F20"/>
          <w:spacing w:val="-6"/>
        </w:rPr>
        <w:t> </w:t>
      </w:r>
      <w:r>
        <w:rPr>
          <w:color w:val="231F20"/>
        </w:rPr>
        <w:t>vuelta</w:t>
      </w:r>
      <w:r>
        <w:rPr>
          <w:color w:val="231F20"/>
          <w:spacing w:val="-6"/>
        </w:rPr>
        <w:t> </w:t>
      </w:r>
      <w:r>
        <w:rPr>
          <w:color w:val="231F20"/>
        </w:rPr>
        <w:t>de</w:t>
      </w:r>
      <w:r>
        <w:rPr>
          <w:color w:val="231F20"/>
          <w:spacing w:val="-6"/>
        </w:rPr>
        <w:t> </w:t>
      </w:r>
      <w:r>
        <w:rPr>
          <w:color w:val="231F20"/>
        </w:rPr>
        <w:t>estos nautiloideos es levemente aplanada y sutilmente más ancha que alta.</w:t>
      </w:r>
    </w:p>
    <w:p>
      <w:pPr>
        <w:pStyle w:val="BodyText"/>
        <w:spacing w:before="134"/>
      </w:pPr>
      <w:r>
        <w:rPr/>
        <w:drawing>
          <wp:anchor distT="0" distB="0" distL="0" distR="0" allowOverlap="1" layoutInCell="1" locked="0" behindDoc="1" simplePos="0" relativeHeight="487590400">
            <wp:simplePos x="0" y="0"/>
            <wp:positionH relativeFrom="page">
              <wp:posOffset>912847</wp:posOffset>
            </wp:positionH>
            <wp:positionV relativeFrom="paragraph">
              <wp:posOffset>246792</wp:posOffset>
            </wp:positionV>
            <wp:extent cx="2837973" cy="1356455"/>
            <wp:effectExtent l="0" t="0" r="0" b="0"/>
            <wp:wrapTopAndBottom/>
            <wp:docPr id="21" name="Image 21"/>
            <wp:cNvGraphicFramePr>
              <a:graphicFrameLocks/>
            </wp:cNvGraphicFramePr>
            <a:graphic>
              <a:graphicData uri="http://schemas.openxmlformats.org/drawingml/2006/picture">
                <pic:pic>
                  <pic:nvPicPr>
                    <pic:cNvPr id="21" name="Image 21"/>
                    <pic:cNvPicPr/>
                  </pic:nvPicPr>
                  <pic:blipFill>
                    <a:blip r:embed="rId18" cstate="print"/>
                    <a:stretch>
                      <a:fillRect/>
                    </a:stretch>
                  </pic:blipFill>
                  <pic:spPr>
                    <a:xfrm>
                      <a:off x="0" y="0"/>
                      <a:ext cx="2837973" cy="1356455"/>
                    </a:xfrm>
                    <a:prstGeom prst="rect">
                      <a:avLst/>
                    </a:prstGeom>
                  </pic:spPr>
                </pic:pic>
              </a:graphicData>
            </a:graphic>
          </wp:anchor>
        </w:drawing>
      </w:r>
    </w:p>
    <w:p>
      <w:pPr>
        <w:spacing w:line="256" w:lineRule="auto" w:before="221"/>
        <w:ind w:left="162" w:right="38" w:firstLine="0"/>
        <w:jc w:val="both"/>
        <w:rPr>
          <w:sz w:val="16"/>
        </w:rPr>
      </w:pPr>
      <w:r>
        <w:rPr>
          <w:b/>
          <w:color w:val="231F20"/>
          <w:sz w:val="16"/>
        </w:rPr>
        <w:t>Figura 4. </w:t>
      </w:r>
      <w:r>
        <w:rPr>
          <w:color w:val="231F20"/>
          <w:sz w:val="16"/>
        </w:rPr>
        <w:t>Línea de sutura simple del ejemplar grande de Cenoceras</w:t>
      </w:r>
      <w:r>
        <w:rPr>
          <w:color w:val="231F20"/>
          <w:spacing w:val="40"/>
          <w:sz w:val="16"/>
        </w:rPr>
        <w:t> </w:t>
      </w:r>
      <w:r>
        <w:rPr>
          <w:color w:val="231F20"/>
          <w:sz w:val="16"/>
        </w:rPr>
        <w:t>sp.,</w:t>
      </w:r>
      <w:r>
        <w:rPr>
          <w:color w:val="231F20"/>
          <w:spacing w:val="15"/>
          <w:sz w:val="16"/>
        </w:rPr>
        <w:t> </w:t>
      </w:r>
      <w:r>
        <w:rPr>
          <w:color w:val="231F20"/>
          <w:sz w:val="16"/>
        </w:rPr>
        <w:t>es</w:t>
      </w:r>
      <w:r>
        <w:rPr>
          <w:color w:val="231F20"/>
          <w:spacing w:val="15"/>
          <w:sz w:val="16"/>
        </w:rPr>
        <w:t> </w:t>
      </w:r>
      <w:r>
        <w:rPr>
          <w:color w:val="231F20"/>
          <w:sz w:val="16"/>
        </w:rPr>
        <w:t>levemente</w:t>
      </w:r>
      <w:r>
        <w:rPr>
          <w:color w:val="231F20"/>
          <w:spacing w:val="15"/>
          <w:sz w:val="16"/>
        </w:rPr>
        <w:t> </w:t>
      </w:r>
      <w:r>
        <w:rPr>
          <w:color w:val="231F20"/>
          <w:sz w:val="16"/>
        </w:rPr>
        <w:t>sinuosa,obsérvese</w:t>
      </w:r>
      <w:r>
        <w:rPr>
          <w:color w:val="231F20"/>
          <w:spacing w:val="15"/>
          <w:sz w:val="16"/>
        </w:rPr>
        <w:t> </w:t>
      </w:r>
      <w:r>
        <w:rPr>
          <w:color w:val="231F20"/>
          <w:sz w:val="16"/>
        </w:rPr>
        <w:t>las</w:t>
      </w:r>
      <w:r>
        <w:rPr>
          <w:color w:val="231F20"/>
          <w:spacing w:val="15"/>
          <w:sz w:val="16"/>
        </w:rPr>
        <w:t> </w:t>
      </w:r>
      <w:r>
        <w:rPr>
          <w:color w:val="231F20"/>
          <w:sz w:val="16"/>
        </w:rPr>
        <w:t>inflexiones</w:t>
      </w:r>
      <w:r>
        <w:rPr>
          <w:color w:val="231F20"/>
          <w:spacing w:val="15"/>
          <w:sz w:val="16"/>
        </w:rPr>
        <w:t> </w:t>
      </w:r>
      <w:r>
        <w:rPr>
          <w:color w:val="231F20"/>
          <w:sz w:val="16"/>
        </w:rPr>
        <w:t>de</w:t>
      </w:r>
      <w:r>
        <w:rPr>
          <w:color w:val="231F20"/>
          <w:spacing w:val="15"/>
          <w:sz w:val="16"/>
        </w:rPr>
        <w:t> </w:t>
      </w:r>
      <w:r>
        <w:rPr>
          <w:color w:val="231F20"/>
          <w:sz w:val="16"/>
        </w:rPr>
        <w:t>la</w:t>
      </w:r>
      <w:r>
        <w:rPr>
          <w:color w:val="231F20"/>
          <w:spacing w:val="15"/>
          <w:sz w:val="16"/>
        </w:rPr>
        <w:t> </w:t>
      </w:r>
      <w:r>
        <w:rPr>
          <w:color w:val="231F20"/>
          <w:sz w:val="16"/>
        </w:rPr>
        <w:t>linea:</w:t>
      </w:r>
      <w:r>
        <w:rPr>
          <w:color w:val="231F20"/>
          <w:spacing w:val="15"/>
          <w:sz w:val="16"/>
        </w:rPr>
        <w:t> </w:t>
      </w:r>
      <w:r>
        <w:rPr>
          <w:color w:val="231F20"/>
          <w:sz w:val="16"/>
        </w:rPr>
        <w:t>silla</w:t>
      </w:r>
      <w:r>
        <w:rPr>
          <w:color w:val="231F20"/>
          <w:spacing w:val="40"/>
          <w:sz w:val="16"/>
        </w:rPr>
        <w:t> </w:t>
      </w:r>
      <w:r>
        <w:rPr>
          <w:color w:val="231F20"/>
          <w:sz w:val="16"/>
        </w:rPr>
        <w:t>y lóbulo.Escala 10mm.</w:t>
      </w:r>
    </w:p>
    <w:p>
      <w:pPr>
        <w:pStyle w:val="BodyText"/>
        <w:spacing w:before="109"/>
        <w:rPr>
          <w:sz w:val="16"/>
        </w:rPr>
      </w:pPr>
    </w:p>
    <w:p>
      <w:pPr>
        <w:pStyle w:val="Heading1"/>
        <w:jc w:val="both"/>
      </w:pPr>
      <w:r>
        <w:rPr>
          <w:color w:val="231F20"/>
        </w:rPr>
        <w:t>DISCUSIÓN</w:t>
      </w:r>
      <w:r>
        <w:rPr>
          <w:color w:val="231F20"/>
          <w:spacing w:val="32"/>
        </w:rPr>
        <w:t> </w:t>
      </w:r>
      <w:r>
        <w:rPr>
          <w:color w:val="231F20"/>
        </w:rPr>
        <w:t>DE</w:t>
      </w:r>
      <w:r>
        <w:rPr>
          <w:color w:val="231F20"/>
          <w:spacing w:val="32"/>
        </w:rPr>
        <w:t> </w:t>
      </w:r>
      <w:r>
        <w:rPr>
          <w:color w:val="231F20"/>
          <w:spacing w:val="-2"/>
        </w:rPr>
        <w:t>RESULTADOS</w:t>
      </w:r>
    </w:p>
    <w:p>
      <w:pPr>
        <w:pStyle w:val="BodyText"/>
        <w:spacing w:line="254" w:lineRule="auto" w:before="184"/>
        <w:ind w:left="162" w:right="38"/>
        <w:jc w:val="both"/>
      </w:pPr>
      <w:r>
        <w:rPr>
          <w:color w:val="231F20"/>
        </w:rPr>
        <w:t>El género </w:t>
      </w:r>
      <w:r>
        <w:rPr>
          <w:i/>
          <w:color w:val="231F20"/>
        </w:rPr>
        <w:t>Cenoceras </w:t>
      </w:r>
      <w:r>
        <w:rPr>
          <w:color w:val="231F20"/>
        </w:rPr>
        <w:t>aparece en la parte Superior del </w:t>
      </w:r>
      <w:r>
        <w:rPr>
          <w:color w:val="231F20"/>
          <w:spacing w:val="-8"/>
        </w:rPr>
        <w:t>Triásico,</w:t>
      </w:r>
      <w:r>
        <w:rPr>
          <w:color w:val="231F20"/>
          <w:spacing w:val="-7"/>
        </w:rPr>
        <w:t> </w:t>
      </w:r>
      <w:r>
        <w:rPr>
          <w:color w:val="231F20"/>
          <w:spacing w:val="-8"/>
        </w:rPr>
        <w:t>y</w:t>
      </w:r>
      <w:r>
        <w:rPr>
          <w:color w:val="231F20"/>
          <w:spacing w:val="-4"/>
        </w:rPr>
        <w:t> </w:t>
      </w:r>
      <w:r>
        <w:rPr>
          <w:color w:val="231F20"/>
          <w:spacing w:val="-8"/>
        </w:rPr>
        <w:t>alcanza</w:t>
      </w:r>
      <w:r>
        <w:rPr>
          <w:color w:val="231F20"/>
          <w:spacing w:val="-5"/>
        </w:rPr>
        <w:t> </w:t>
      </w:r>
      <w:r>
        <w:rPr>
          <w:color w:val="231F20"/>
          <w:spacing w:val="-8"/>
        </w:rPr>
        <w:t>su</w:t>
      </w:r>
      <w:r>
        <w:rPr>
          <w:color w:val="231F20"/>
          <w:spacing w:val="-4"/>
        </w:rPr>
        <w:t> </w:t>
      </w:r>
      <w:r>
        <w:rPr>
          <w:color w:val="231F20"/>
          <w:spacing w:val="-8"/>
        </w:rPr>
        <w:t>gran</w:t>
      </w:r>
      <w:r>
        <w:rPr>
          <w:color w:val="231F20"/>
          <w:spacing w:val="-5"/>
        </w:rPr>
        <w:t> </w:t>
      </w:r>
      <w:r>
        <w:rPr>
          <w:color w:val="231F20"/>
          <w:spacing w:val="-8"/>
        </w:rPr>
        <w:t>diversificación</w:t>
      </w:r>
      <w:r>
        <w:rPr>
          <w:color w:val="231F20"/>
          <w:spacing w:val="-4"/>
        </w:rPr>
        <w:t> </w:t>
      </w:r>
      <w:r>
        <w:rPr>
          <w:color w:val="231F20"/>
          <w:spacing w:val="-8"/>
        </w:rPr>
        <w:t>durante</w:t>
      </w:r>
      <w:r>
        <w:rPr>
          <w:color w:val="231F20"/>
          <w:spacing w:val="-5"/>
        </w:rPr>
        <w:t> </w:t>
      </w:r>
      <w:r>
        <w:rPr>
          <w:color w:val="231F20"/>
          <w:spacing w:val="-8"/>
        </w:rPr>
        <w:t>el</w:t>
      </w:r>
      <w:r>
        <w:rPr>
          <w:color w:val="231F20"/>
          <w:spacing w:val="-4"/>
        </w:rPr>
        <w:t> </w:t>
      </w:r>
      <w:r>
        <w:rPr>
          <w:color w:val="231F20"/>
          <w:spacing w:val="-8"/>
        </w:rPr>
        <w:t>Jurásico </w:t>
      </w:r>
      <w:r>
        <w:rPr>
          <w:color w:val="231F20"/>
        </w:rPr>
        <w:t>Inferior, y rango estratigráfico que alcanza el Jurásico medio. Esta población tuvo una distribución geográfica </w:t>
      </w:r>
      <w:r>
        <w:rPr>
          <w:color w:val="231F20"/>
          <w:spacing w:val="-4"/>
        </w:rPr>
        <w:t>cosmopolita, soportada por su registro en diferentes partes </w:t>
      </w:r>
      <w:r>
        <w:rPr>
          <w:color w:val="231F20"/>
        </w:rPr>
        <w:t>del mundo. Kummel (1953,1959), registra </w:t>
      </w:r>
      <w:r>
        <w:rPr>
          <w:i/>
          <w:color w:val="231F20"/>
        </w:rPr>
        <w:t>Cenoceras </w:t>
      </w:r>
      <w:r>
        <w:rPr>
          <w:i/>
          <w:color w:val="231F20"/>
          <w:spacing w:val="-4"/>
        </w:rPr>
        <w:t>trechmanni</w:t>
      </w:r>
      <w:r>
        <w:rPr>
          <w:i/>
          <w:color w:val="231F20"/>
          <w:spacing w:val="-5"/>
        </w:rPr>
        <w:t> </w:t>
      </w:r>
      <w:r>
        <w:rPr>
          <w:color w:val="231F20"/>
          <w:spacing w:val="-4"/>
        </w:rPr>
        <w:t>en</w:t>
      </w:r>
      <w:r>
        <w:rPr>
          <w:color w:val="231F20"/>
          <w:spacing w:val="-5"/>
        </w:rPr>
        <w:t> </w:t>
      </w:r>
      <w:r>
        <w:rPr>
          <w:color w:val="231F20"/>
          <w:spacing w:val="-4"/>
        </w:rPr>
        <w:t>depósitos</w:t>
      </w:r>
      <w:r>
        <w:rPr>
          <w:color w:val="231F20"/>
          <w:spacing w:val="-5"/>
        </w:rPr>
        <w:t> </w:t>
      </w:r>
      <w:r>
        <w:rPr>
          <w:color w:val="231F20"/>
          <w:spacing w:val="-4"/>
        </w:rPr>
        <w:t>de</w:t>
      </w:r>
      <w:r>
        <w:rPr>
          <w:color w:val="231F20"/>
          <w:spacing w:val="-5"/>
        </w:rPr>
        <w:t> </w:t>
      </w:r>
      <w:r>
        <w:rPr>
          <w:color w:val="231F20"/>
          <w:spacing w:val="-4"/>
        </w:rPr>
        <w:t>edad</w:t>
      </w:r>
      <w:r>
        <w:rPr>
          <w:color w:val="231F20"/>
          <w:spacing w:val="-5"/>
        </w:rPr>
        <w:t> </w:t>
      </w:r>
      <w:r>
        <w:rPr>
          <w:color w:val="231F20"/>
          <w:spacing w:val="-4"/>
        </w:rPr>
        <w:t>Carniana</w:t>
      </w:r>
      <w:r>
        <w:rPr>
          <w:color w:val="231F20"/>
          <w:spacing w:val="-5"/>
        </w:rPr>
        <w:t> </w:t>
      </w:r>
      <w:r>
        <w:rPr>
          <w:color w:val="231F20"/>
          <w:spacing w:val="-4"/>
        </w:rPr>
        <w:t>en</w:t>
      </w:r>
      <w:r>
        <w:rPr>
          <w:color w:val="231F20"/>
          <w:spacing w:val="-5"/>
        </w:rPr>
        <w:t> </w:t>
      </w:r>
      <w:r>
        <w:rPr>
          <w:color w:val="231F20"/>
          <w:spacing w:val="-4"/>
        </w:rPr>
        <w:t>la</w:t>
      </w:r>
      <w:r>
        <w:rPr>
          <w:color w:val="231F20"/>
          <w:spacing w:val="-5"/>
        </w:rPr>
        <w:t> </w:t>
      </w:r>
      <w:r>
        <w:rPr>
          <w:color w:val="231F20"/>
          <w:spacing w:val="-4"/>
        </w:rPr>
        <w:t>Isla</w:t>
      </w:r>
      <w:r>
        <w:rPr>
          <w:color w:val="231F20"/>
          <w:spacing w:val="-5"/>
        </w:rPr>
        <w:t> </w:t>
      </w:r>
      <w:r>
        <w:rPr>
          <w:color w:val="231F20"/>
          <w:spacing w:val="-4"/>
        </w:rPr>
        <w:t>Norte </w:t>
      </w:r>
      <w:r>
        <w:rPr>
          <w:color w:val="231F20"/>
        </w:rPr>
        <w:t>de</w:t>
      </w:r>
      <w:r>
        <w:rPr>
          <w:color w:val="231F20"/>
          <w:spacing w:val="-8"/>
        </w:rPr>
        <w:t> </w:t>
      </w:r>
      <w:r>
        <w:rPr>
          <w:color w:val="231F20"/>
        </w:rPr>
        <w:t>Nueva</w:t>
      </w:r>
      <w:r>
        <w:rPr>
          <w:color w:val="231F20"/>
          <w:spacing w:val="-8"/>
        </w:rPr>
        <w:t> </w:t>
      </w:r>
      <w:r>
        <w:rPr>
          <w:color w:val="231F20"/>
        </w:rPr>
        <w:t>Zelanda.</w:t>
      </w:r>
      <w:r>
        <w:rPr>
          <w:color w:val="231F20"/>
          <w:spacing w:val="-8"/>
        </w:rPr>
        <w:t> </w:t>
      </w:r>
      <w:r>
        <w:rPr>
          <w:color w:val="231F20"/>
        </w:rPr>
        <w:t>Una</w:t>
      </w:r>
      <w:r>
        <w:rPr>
          <w:color w:val="231F20"/>
          <w:spacing w:val="-8"/>
        </w:rPr>
        <w:t> </w:t>
      </w:r>
      <w:r>
        <w:rPr>
          <w:color w:val="231F20"/>
        </w:rPr>
        <w:t>nueva</w:t>
      </w:r>
      <w:r>
        <w:rPr>
          <w:color w:val="231F20"/>
          <w:spacing w:val="-8"/>
        </w:rPr>
        <w:t> </w:t>
      </w:r>
      <w:r>
        <w:rPr>
          <w:color w:val="231F20"/>
        </w:rPr>
        <w:t>subespecie de </w:t>
      </w:r>
      <w:r>
        <w:rPr>
          <w:i/>
          <w:color w:val="231F20"/>
        </w:rPr>
        <w:t>Cenoceras </w:t>
      </w:r>
      <w:r>
        <w:rPr>
          <w:color w:val="231F20"/>
        </w:rPr>
        <w:t>liásica, fue descrita por Géczy (1961): </w:t>
      </w:r>
      <w:r>
        <w:rPr>
          <w:i/>
          <w:color w:val="231F20"/>
        </w:rPr>
        <w:t>Cenoceras truncatus vadaszi </w:t>
      </w:r>
      <w:r>
        <w:rPr>
          <w:color w:val="231F20"/>
        </w:rPr>
        <w:t>en los Montes Bakony en Hungria. Del Liásico, ejemplares de Arabia Saudita fueron descritos</w:t>
      </w:r>
      <w:r>
        <w:rPr>
          <w:color w:val="231F20"/>
          <w:spacing w:val="-10"/>
        </w:rPr>
        <w:t> </w:t>
      </w:r>
      <w:r>
        <w:rPr>
          <w:color w:val="231F20"/>
        </w:rPr>
        <w:t>por</w:t>
      </w:r>
      <w:r>
        <w:rPr>
          <w:color w:val="231F20"/>
          <w:spacing w:val="-10"/>
        </w:rPr>
        <w:t> </w:t>
      </w:r>
      <w:r>
        <w:rPr>
          <w:color w:val="231F20"/>
        </w:rPr>
        <w:t>Tintant</w:t>
      </w:r>
      <w:r>
        <w:rPr>
          <w:color w:val="231F20"/>
          <w:spacing w:val="-10"/>
        </w:rPr>
        <w:t> </w:t>
      </w:r>
      <w:r>
        <w:rPr>
          <w:color w:val="231F20"/>
        </w:rPr>
        <w:t>(1987);</w:t>
      </w:r>
      <w:r>
        <w:rPr>
          <w:color w:val="231F20"/>
          <w:spacing w:val="-10"/>
        </w:rPr>
        <w:t> </w:t>
      </w:r>
      <w:r>
        <w:rPr>
          <w:color w:val="231F20"/>
        </w:rPr>
        <w:t>además,</w:t>
      </w:r>
      <w:r>
        <w:rPr>
          <w:color w:val="231F20"/>
          <w:spacing w:val="-10"/>
        </w:rPr>
        <w:t> </w:t>
      </w:r>
      <w:r>
        <w:rPr>
          <w:color w:val="231F20"/>
        </w:rPr>
        <w:t>Branger</w:t>
      </w:r>
      <w:r>
        <w:rPr>
          <w:color w:val="231F20"/>
          <w:spacing w:val="-10"/>
        </w:rPr>
        <w:t> </w:t>
      </w:r>
      <w:r>
        <w:rPr>
          <w:color w:val="231F20"/>
        </w:rPr>
        <w:t>(2004)</w:t>
      </w:r>
      <w:r>
        <w:rPr>
          <w:color w:val="231F20"/>
          <w:spacing w:val="-10"/>
        </w:rPr>
        <w:t> </w:t>
      </w:r>
      <w:r>
        <w:rPr>
          <w:color w:val="231F20"/>
        </w:rPr>
        <w:t>en </w:t>
      </w:r>
      <w:r>
        <w:rPr>
          <w:color w:val="231F20"/>
          <w:spacing w:val="-2"/>
        </w:rPr>
        <w:t>el</w:t>
      </w:r>
      <w:r>
        <w:rPr>
          <w:color w:val="231F20"/>
          <w:spacing w:val="-5"/>
        </w:rPr>
        <w:t> </w:t>
      </w:r>
      <w:r>
        <w:rPr>
          <w:color w:val="231F20"/>
          <w:spacing w:val="-2"/>
        </w:rPr>
        <w:t>Jurásico</w:t>
      </w:r>
      <w:r>
        <w:rPr>
          <w:color w:val="231F20"/>
          <w:spacing w:val="-5"/>
        </w:rPr>
        <w:t> </w:t>
      </w:r>
      <w:r>
        <w:rPr>
          <w:color w:val="231F20"/>
          <w:spacing w:val="-2"/>
        </w:rPr>
        <w:t>del</w:t>
      </w:r>
      <w:r>
        <w:rPr>
          <w:color w:val="231F20"/>
          <w:spacing w:val="-6"/>
        </w:rPr>
        <w:t> </w:t>
      </w:r>
      <w:r>
        <w:rPr>
          <w:color w:val="231F20"/>
          <w:spacing w:val="-2"/>
        </w:rPr>
        <w:t>centro-oeste</w:t>
      </w:r>
      <w:r>
        <w:rPr>
          <w:color w:val="231F20"/>
          <w:spacing w:val="-5"/>
        </w:rPr>
        <w:t> </w:t>
      </w:r>
      <w:r>
        <w:rPr>
          <w:color w:val="231F20"/>
          <w:spacing w:val="-2"/>
        </w:rPr>
        <w:t>de</w:t>
      </w:r>
      <w:r>
        <w:rPr>
          <w:color w:val="231F20"/>
          <w:spacing w:val="-6"/>
        </w:rPr>
        <w:t> </w:t>
      </w:r>
      <w:r>
        <w:rPr>
          <w:color w:val="231F20"/>
          <w:spacing w:val="-2"/>
        </w:rPr>
        <w:t>Francia,</w:t>
      </w:r>
      <w:r>
        <w:rPr>
          <w:color w:val="231F20"/>
          <w:spacing w:val="-5"/>
        </w:rPr>
        <w:t> </w:t>
      </w:r>
      <w:r>
        <w:rPr>
          <w:color w:val="231F20"/>
          <w:spacing w:val="-2"/>
        </w:rPr>
        <w:t>en</w:t>
      </w:r>
      <w:r>
        <w:rPr>
          <w:color w:val="231F20"/>
          <w:spacing w:val="-5"/>
        </w:rPr>
        <w:t> </w:t>
      </w:r>
      <w:r>
        <w:rPr>
          <w:color w:val="231F20"/>
          <w:spacing w:val="-2"/>
        </w:rPr>
        <w:t>los</w:t>
      </w:r>
      <w:r>
        <w:rPr>
          <w:color w:val="231F20"/>
          <w:spacing w:val="-6"/>
        </w:rPr>
        <w:t> </w:t>
      </w:r>
      <w:r>
        <w:rPr>
          <w:color w:val="231F20"/>
          <w:spacing w:val="-2"/>
        </w:rPr>
        <w:t>sedimentos </w:t>
      </w:r>
      <w:r>
        <w:rPr>
          <w:color w:val="231F20"/>
        </w:rPr>
        <w:t>de la </w:t>
      </w:r>
      <w:r>
        <w:rPr>
          <w:color w:val="231F20"/>
          <w:spacing w:val="9"/>
        </w:rPr>
        <w:t>plataforma</w:t>
      </w:r>
      <w:r>
        <w:rPr>
          <w:color w:val="231F20"/>
          <w:spacing w:val="9"/>
        </w:rPr>
        <w:t> </w:t>
      </w:r>
      <w:r>
        <w:rPr>
          <w:color w:val="231F20"/>
          <w:spacing w:val="10"/>
        </w:rPr>
        <w:t>carbonatada</w:t>
      </w:r>
      <w:r>
        <w:rPr>
          <w:color w:val="231F20"/>
          <w:spacing w:val="10"/>
        </w:rPr>
        <w:t> </w:t>
      </w:r>
      <w:r>
        <w:rPr>
          <w:color w:val="231F20"/>
        </w:rPr>
        <w:t>de Dogger, incluye nautiloideos</w:t>
      </w:r>
      <w:r>
        <w:rPr>
          <w:color w:val="231F20"/>
          <w:spacing w:val="14"/>
        </w:rPr>
        <w:t> </w:t>
      </w:r>
      <w:r>
        <w:rPr>
          <w:i/>
          <w:color w:val="231F20"/>
        </w:rPr>
        <w:t>Paracenoceras</w:t>
      </w:r>
      <w:r>
        <w:rPr>
          <w:i/>
          <w:color w:val="231F20"/>
          <w:spacing w:val="16"/>
        </w:rPr>
        <w:t> </w:t>
      </w:r>
      <w:r>
        <w:rPr>
          <w:color w:val="231F20"/>
        </w:rPr>
        <w:t>y</w:t>
      </w:r>
      <w:r>
        <w:rPr>
          <w:color w:val="231F20"/>
          <w:spacing w:val="17"/>
        </w:rPr>
        <w:t> </w:t>
      </w:r>
      <w:r>
        <w:rPr>
          <w:i/>
          <w:color w:val="231F20"/>
        </w:rPr>
        <w:t>Cenoceras</w:t>
      </w:r>
      <w:r>
        <w:rPr>
          <w:color w:val="231F20"/>
        </w:rPr>
        <w:t>.</w:t>
      </w:r>
      <w:r>
        <w:rPr>
          <w:color w:val="231F20"/>
          <w:spacing w:val="16"/>
        </w:rPr>
        <w:t> </w:t>
      </w:r>
      <w:r>
        <w:rPr>
          <w:color w:val="231F20"/>
        </w:rPr>
        <w:t>En</w:t>
      </w:r>
      <w:r>
        <w:rPr>
          <w:color w:val="231F20"/>
          <w:spacing w:val="17"/>
        </w:rPr>
        <w:t> </w:t>
      </w:r>
      <w:r>
        <w:rPr>
          <w:color w:val="231F20"/>
        </w:rPr>
        <w:t>el</w:t>
      </w:r>
      <w:r>
        <w:rPr>
          <w:color w:val="231F20"/>
          <w:spacing w:val="16"/>
        </w:rPr>
        <w:t> </w:t>
      </w:r>
      <w:r>
        <w:rPr>
          <w:color w:val="231F20"/>
        </w:rPr>
        <w:t>sur</w:t>
      </w:r>
      <w:r>
        <w:rPr>
          <w:color w:val="231F20"/>
          <w:spacing w:val="17"/>
        </w:rPr>
        <w:t> </w:t>
      </w:r>
      <w:r>
        <w:rPr>
          <w:color w:val="231F20"/>
          <w:spacing w:val="-5"/>
        </w:rPr>
        <w:t>de</w:t>
      </w:r>
    </w:p>
    <w:p>
      <w:pPr>
        <w:pStyle w:val="BodyText"/>
        <w:spacing w:line="254" w:lineRule="auto" w:before="92"/>
        <w:ind w:left="162" w:right="750"/>
        <w:jc w:val="both"/>
      </w:pPr>
      <w:r>
        <w:rPr/>
        <w:br w:type="column"/>
      </w:r>
      <w:r>
        <w:rPr>
          <w:color w:val="231F20"/>
        </w:rPr>
        <w:t>Alemania,Klug et al. (2004), describen un espécimen adulto</w:t>
      </w:r>
      <w:r>
        <w:rPr>
          <w:color w:val="231F20"/>
          <w:spacing w:val="-13"/>
        </w:rPr>
        <w:t> </w:t>
      </w:r>
      <w:r>
        <w:rPr>
          <w:color w:val="231F20"/>
        </w:rPr>
        <w:t>de</w:t>
      </w:r>
      <w:r>
        <w:rPr>
          <w:color w:val="231F20"/>
          <w:spacing w:val="-12"/>
        </w:rPr>
        <w:t> </w:t>
      </w:r>
      <w:r>
        <w:rPr>
          <w:i/>
          <w:color w:val="231F20"/>
        </w:rPr>
        <w:t>Cenoceras</w:t>
      </w:r>
      <w:r>
        <w:rPr>
          <w:i/>
          <w:color w:val="231F20"/>
          <w:spacing w:val="-13"/>
        </w:rPr>
        <w:t> </w:t>
      </w:r>
      <w:r>
        <w:rPr>
          <w:color w:val="231F20"/>
        </w:rPr>
        <w:t>para</w:t>
      </w:r>
      <w:r>
        <w:rPr>
          <w:color w:val="231F20"/>
          <w:spacing w:val="-12"/>
        </w:rPr>
        <w:t> </w:t>
      </w:r>
      <w:r>
        <w:rPr>
          <w:color w:val="231F20"/>
        </w:rPr>
        <w:t>el</w:t>
      </w:r>
      <w:r>
        <w:rPr>
          <w:color w:val="231F20"/>
          <w:spacing w:val="-13"/>
        </w:rPr>
        <w:t> </w:t>
      </w:r>
      <w:r>
        <w:rPr>
          <w:color w:val="231F20"/>
        </w:rPr>
        <w:t>Jurásico</w:t>
      </w:r>
      <w:r>
        <w:rPr>
          <w:color w:val="231F20"/>
          <w:spacing w:val="-12"/>
        </w:rPr>
        <w:t> </w:t>
      </w:r>
      <w:r>
        <w:rPr>
          <w:color w:val="231F20"/>
        </w:rPr>
        <w:t>Medio</w:t>
      </w:r>
      <w:r>
        <w:rPr>
          <w:color w:val="231F20"/>
          <w:spacing w:val="-13"/>
        </w:rPr>
        <w:t> </w:t>
      </w:r>
      <w:r>
        <w:rPr>
          <w:color w:val="231F20"/>
        </w:rPr>
        <w:t>(Bajociano), incluido en el </w:t>
      </w:r>
      <w:r>
        <w:rPr>
          <w:i/>
          <w:color w:val="231F20"/>
        </w:rPr>
        <w:t>German Muschelkalk</w:t>
      </w:r>
      <w:r>
        <w:rPr>
          <w:color w:val="231F20"/>
        </w:rPr>
        <w:t>. Finalmente, King (2011), para el Suroeste de Inglaterra en la </w:t>
      </w:r>
      <w:r>
        <w:rPr>
          <w:i/>
          <w:color w:val="231F20"/>
        </w:rPr>
        <w:t>“Junction bed” </w:t>
      </w:r>
      <w:r>
        <w:rPr>
          <w:color w:val="231F20"/>
        </w:rPr>
        <w:t>del Jurásico Inferior (Toarciano), reporta tres especies de este género: </w:t>
      </w:r>
      <w:r>
        <w:rPr>
          <w:i/>
          <w:color w:val="231F20"/>
        </w:rPr>
        <w:t>Cenoceras astacoides </w:t>
      </w:r>
      <w:r>
        <w:rPr>
          <w:color w:val="231F20"/>
        </w:rPr>
        <w:t>(Young &amp; Bird 1828), </w:t>
      </w:r>
      <w:r>
        <w:rPr>
          <w:i/>
          <w:color w:val="231F20"/>
        </w:rPr>
        <w:t>Cenoceras jourdani </w:t>
      </w:r>
      <w:r>
        <w:rPr>
          <w:color w:val="231F20"/>
        </w:rPr>
        <w:t>(Dumortier 1874) y </w:t>
      </w:r>
      <w:r>
        <w:rPr>
          <w:i/>
          <w:color w:val="231F20"/>
          <w:spacing w:val="-2"/>
        </w:rPr>
        <w:t>Cenoceras terebratum </w:t>
      </w:r>
      <w:r>
        <w:rPr>
          <w:color w:val="231F20"/>
          <w:spacing w:val="-2"/>
        </w:rPr>
        <w:t>(Dumortier 1874). En Suramérica </w:t>
      </w:r>
      <w:r>
        <w:rPr>
          <w:color w:val="231F20"/>
        </w:rPr>
        <w:t>para</w:t>
      </w:r>
      <w:r>
        <w:rPr>
          <w:color w:val="231F20"/>
          <w:spacing w:val="-13"/>
        </w:rPr>
        <w:t> </w:t>
      </w:r>
      <w:r>
        <w:rPr>
          <w:color w:val="231F20"/>
        </w:rPr>
        <w:t>Argentina</w:t>
      </w:r>
      <w:r>
        <w:rPr>
          <w:color w:val="231F20"/>
          <w:spacing w:val="-12"/>
        </w:rPr>
        <w:t> </w:t>
      </w:r>
      <w:r>
        <w:rPr>
          <w:color w:val="231F20"/>
        </w:rPr>
        <w:t>en</w:t>
      </w:r>
      <w:r>
        <w:rPr>
          <w:color w:val="231F20"/>
          <w:spacing w:val="-13"/>
        </w:rPr>
        <w:t> </w:t>
      </w:r>
      <w:r>
        <w:rPr>
          <w:color w:val="231F20"/>
        </w:rPr>
        <w:t>la</w:t>
      </w:r>
      <w:r>
        <w:rPr>
          <w:color w:val="231F20"/>
          <w:spacing w:val="-12"/>
        </w:rPr>
        <w:t> </w:t>
      </w:r>
      <w:r>
        <w:rPr>
          <w:color w:val="231F20"/>
        </w:rPr>
        <w:t>cuenca</w:t>
      </w:r>
      <w:r>
        <w:rPr>
          <w:color w:val="231F20"/>
          <w:spacing w:val="-13"/>
        </w:rPr>
        <w:t> </w:t>
      </w:r>
      <w:r>
        <w:rPr>
          <w:color w:val="231F20"/>
        </w:rPr>
        <w:t>Neuquina,</w:t>
      </w:r>
      <w:r>
        <w:rPr>
          <w:color w:val="231F20"/>
          <w:spacing w:val="-12"/>
        </w:rPr>
        <w:t> </w:t>
      </w:r>
      <w:r>
        <w:rPr>
          <w:color w:val="231F20"/>
        </w:rPr>
        <w:t>Parent</w:t>
      </w:r>
      <w:r>
        <w:rPr>
          <w:color w:val="231F20"/>
          <w:spacing w:val="-13"/>
        </w:rPr>
        <w:t> </w:t>
      </w:r>
      <w:r>
        <w:rPr>
          <w:color w:val="231F20"/>
        </w:rPr>
        <w:t>&amp;</w:t>
      </w:r>
      <w:r>
        <w:rPr>
          <w:color w:val="231F20"/>
          <w:spacing w:val="-12"/>
        </w:rPr>
        <w:t> </w:t>
      </w:r>
      <w:r>
        <w:rPr>
          <w:color w:val="231F20"/>
        </w:rPr>
        <w:t>Garrido (2015), describen ejemplares de </w:t>
      </w:r>
      <w:r>
        <w:rPr>
          <w:i/>
          <w:color w:val="231F20"/>
        </w:rPr>
        <w:t>Cenoceras sp. </w:t>
      </w:r>
      <w:r>
        <w:rPr>
          <w:color w:val="231F20"/>
        </w:rPr>
        <w:t>del Jurásico</w:t>
      </w:r>
      <w:r>
        <w:rPr>
          <w:color w:val="231F20"/>
          <w:spacing w:val="-13"/>
        </w:rPr>
        <w:t> </w:t>
      </w:r>
      <w:r>
        <w:rPr>
          <w:color w:val="231F20"/>
        </w:rPr>
        <w:t>Medio</w:t>
      </w:r>
      <w:r>
        <w:rPr>
          <w:color w:val="231F20"/>
          <w:spacing w:val="-12"/>
        </w:rPr>
        <w:t> </w:t>
      </w:r>
      <w:r>
        <w:rPr>
          <w:color w:val="231F20"/>
        </w:rPr>
        <w:t>(Calloviano),</w:t>
      </w:r>
      <w:r>
        <w:rPr>
          <w:color w:val="231F20"/>
          <w:spacing w:val="-13"/>
        </w:rPr>
        <w:t> </w:t>
      </w:r>
      <w:r>
        <w:rPr>
          <w:color w:val="231F20"/>
        </w:rPr>
        <w:t>mientras</w:t>
      </w:r>
      <w:r>
        <w:rPr>
          <w:color w:val="231F20"/>
          <w:spacing w:val="-12"/>
        </w:rPr>
        <w:t> </w:t>
      </w:r>
      <w:r>
        <w:rPr>
          <w:color w:val="231F20"/>
        </w:rPr>
        <w:t>que</w:t>
      </w:r>
      <w:r>
        <w:rPr>
          <w:color w:val="231F20"/>
          <w:spacing w:val="-13"/>
        </w:rPr>
        <w:t> </w:t>
      </w:r>
      <w:r>
        <w:rPr>
          <w:color w:val="231F20"/>
        </w:rPr>
        <w:t>en</w:t>
      </w:r>
      <w:r>
        <w:rPr>
          <w:color w:val="231F20"/>
          <w:spacing w:val="-12"/>
        </w:rPr>
        <w:t> </w:t>
      </w:r>
      <w:r>
        <w:rPr>
          <w:color w:val="231F20"/>
        </w:rPr>
        <w:t>el</w:t>
      </w:r>
      <w:r>
        <w:rPr>
          <w:color w:val="231F20"/>
          <w:spacing w:val="-13"/>
        </w:rPr>
        <w:t> </w:t>
      </w:r>
      <w:r>
        <w:rPr>
          <w:color w:val="231F20"/>
        </w:rPr>
        <w:t>presente documento se hace el nuevo registro de </w:t>
      </w:r>
      <w:r>
        <w:rPr>
          <w:i/>
          <w:color w:val="231F20"/>
        </w:rPr>
        <w:t>Cenoceras sp. </w:t>
      </w:r>
      <w:r>
        <w:rPr>
          <w:color w:val="231F20"/>
        </w:rPr>
        <w:t>para</w:t>
      </w:r>
      <w:r>
        <w:rPr>
          <w:color w:val="231F20"/>
          <w:spacing w:val="-9"/>
        </w:rPr>
        <w:t> </w:t>
      </w:r>
      <w:r>
        <w:rPr>
          <w:color w:val="231F20"/>
        </w:rPr>
        <w:t>la</w:t>
      </w:r>
      <w:r>
        <w:rPr>
          <w:color w:val="231F20"/>
          <w:spacing w:val="-9"/>
        </w:rPr>
        <w:t> </w:t>
      </w:r>
      <w:r>
        <w:rPr>
          <w:color w:val="231F20"/>
        </w:rPr>
        <w:t>unidad</w:t>
      </w:r>
      <w:r>
        <w:rPr>
          <w:color w:val="231F20"/>
          <w:spacing w:val="-9"/>
        </w:rPr>
        <w:t> </w:t>
      </w:r>
      <w:r>
        <w:rPr>
          <w:color w:val="231F20"/>
        </w:rPr>
        <w:t>triásica</w:t>
      </w:r>
      <w:r>
        <w:rPr>
          <w:color w:val="231F20"/>
          <w:spacing w:val="-9"/>
        </w:rPr>
        <w:t> </w:t>
      </w:r>
      <w:r>
        <w:rPr>
          <w:color w:val="231F20"/>
        </w:rPr>
        <w:t>calcárea</w:t>
      </w:r>
      <w:r>
        <w:rPr>
          <w:color w:val="231F20"/>
          <w:spacing w:val="-9"/>
        </w:rPr>
        <w:t> </w:t>
      </w:r>
      <w:r>
        <w:rPr>
          <w:color w:val="231F20"/>
        </w:rPr>
        <w:t>de</w:t>
      </w:r>
      <w:r>
        <w:rPr>
          <w:color w:val="231F20"/>
          <w:spacing w:val="-9"/>
        </w:rPr>
        <w:t> </w:t>
      </w:r>
      <w:r>
        <w:rPr>
          <w:color w:val="231F20"/>
        </w:rPr>
        <w:t>Colombia,</w:t>
      </w:r>
      <w:r>
        <w:rPr>
          <w:color w:val="231F20"/>
          <w:spacing w:val="-9"/>
        </w:rPr>
        <w:t> </w:t>
      </w:r>
      <w:r>
        <w:rPr>
          <w:color w:val="231F20"/>
        </w:rPr>
        <w:t>Formación Payandé, que incluye fauna característica del Noriano.</w:t>
      </w:r>
    </w:p>
    <w:p>
      <w:pPr>
        <w:pStyle w:val="BodyText"/>
        <w:spacing w:line="254" w:lineRule="auto" w:before="162"/>
        <w:ind w:left="162" w:right="751"/>
        <w:jc w:val="both"/>
      </w:pPr>
      <w:r>
        <w:rPr>
          <w:color w:val="231F20"/>
        </w:rPr>
        <w:t>Comparativamente, los ejemplares descritos de la sección Tuluní presentan similitudes con el subgénero </w:t>
      </w:r>
      <w:r>
        <w:rPr>
          <w:i/>
          <w:color w:val="231F20"/>
        </w:rPr>
        <w:t>Metacenoceras </w:t>
      </w:r>
      <w:r>
        <w:rPr>
          <w:color w:val="231F20"/>
        </w:rPr>
        <w:t>introducido por Tintant (1984), aunque son</w:t>
      </w:r>
      <w:r>
        <w:rPr>
          <w:color w:val="231F20"/>
          <w:spacing w:val="80"/>
        </w:rPr>
        <w:t> </w:t>
      </w:r>
      <w:r>
        <w:rPr>
          <w:color w:val="231F20"/>
        </w:rPr>
        <w:t>más</w:t>
      </w:r>
      <w:r>
        <w:rPr>
          <w:color w:val="231F20"/>
          <w:spacing w:val="80"/>
        </w:rPr>
        <w:t> </w:t>
      </w:r>
      <w:r>
        <w:rPr>
          <w:color w:val="231F20"/>
        </w:rPr>
        <w:t>próximas</w:t>
      </w:r>
      <w:r>
        <w:rPr>
          <w:color w:val="231F20"/>
          <w:spacing w:val="80"/>
        </w:rPr>
        <w:t> </w:t>
      </w:r>
      <w:r>
        <w:rPr>
          <w:color w:val="231F20"/>
        </w:rPr>
        <w:t>las</w:t>
      </w:r>
      <w:r>
        <w:rPr>
          <w:color w:val="231F20"/>
          <w:spacing w:val="80"/>
        </w:rPr>
        <w:t> </w:t>
      </w:r>
      <w:r>
        <w:rPr>
          <w:color w:val="231F20"/>
        </w:rPr>
        <w:t>características</w:t>
      </w:r>
      <w:r>
        <w:rPr>
          <w:color w:val="231F20"/>
          <w:spacing w:val="80"/>
        </w:rPr>
        <w:t> </w:t>
      </w:r>
      <w:r>
        <w:rPr>
          <w:color w:val="231F20"/>
        </w:rPr>
        <w:t>identificadas en las ilustraciones realizadas por Géczy (1961), del espécimen</w:t>
      </w:r>
      <w:r>
        <w:rPr>
          <w:color w:val="231F20"/>
          <w:spacing w:val="80"/>
        </w:rPr>
        <w:t> </w:t>
      </w:r>
      <w:r>
        <w:rPr>
          <w:color w:val="231F20"/>
        </w:rPr>
        <w:t>húngaro,</w:t>
      </w:r>
      <w:r>
        <w:rPr>
          <w:color w:val="231F20"/>
          <w:spacing w:val="80"/>
        </w:rPr>
        <w:t> </w:t>
      </w:r>
      <w:r>
        <w:rPr>
          <w:i/>
          <w:color w:val="231F20"/>
        </w:rPr>
        <w:t>Cenoceras</w:t>
      </w:r>
      <w:r>
        <w:rPr>
          <w:i/>
          <w:color w:val="231F20"/>
          <w:spacing w:val="80"/>
        </w:rPr>
        <w:t> </w:t>
      </w:r>
      <w:r>
        <w:rPr>
          <w:i/>
          <w:color w:val="231F20"/>
        </w:rPr>
        <w:t>truncatus</w:t>
      </w:r>
      <w:r>
        <w:rPr>
          <w:i/>
          <w:color w:val="231F20"/>
          <w:spacing w:val="80"/>
        </w:rPr>
        <w:t> </w:t>
      </w:r>
      <w:r>
        <w:rPr>
          <w:i/>
          <w:color w:val="231F20"/>
        </w:rPr>
        <w:t>vadaszi</w:t>
      </w:r>
      <w:r>
        <w:rPr>
          <w:color w:val="231F20"/>
        </w:rPr>
        <w:t>,</w:t>
      </w:r>
      <w:r>
        <w:rPr>
          <w:color w:val="231F20"/>
          <w:spacing w:val="40"/>
        </w:rPr>
        <w:t> </w:t>
      </w:r>
      <w:r>
        <w:rPr>
          <w:color w:val="231F20"/>
        </w:rPr>
        <w:t>la forma en general de la concha, la sección de la</w:t>
      </w:r>
      <w:r>
        <w:rPr>
          <w:color w:val="231F20"/>
          <w:spacing w:val="80"/>
        </w:rPr>
        <w:t> </w:t>
      </w:r>
      <w:r>
        <w:rPr>
          <w:color w:val="231F20"/>
        </w:rPr>
        <w:t>vuelta levemente aplanada, la línea de sutura simple y ligeramente</w:t>
      </w:r>
      <w:r>
        <w:rPr>
          <w:color w:val="231F20"/>
          <w:spacing w:val="-6"/>
        </w:rPr>
        <w:t> </w:t>
      </w:r>
      <w:r>
        <w:rPr>
          <w:color w:val="231F20"/>
        </w:rPr>
        <w:t>sinuosa,</w:t>
      </w:r>
      <w:r>
        <w:rPr>
          <w:color w:val="231F20"/>
          <w:spacing w:val="-6"/>
        </w:rPr>
        <w:t> </w:t>
      </w:r>
      <w:r>
        <w:rPr>
          <w:color w:val="231F20"/>
        </w:rPr>
        <w:t>junto</w:t>
      </w:r>
      <w:r>
        <w:rPr>
          <w:color w:val="231F20"/>
          <w:spacing w:val="-6"/>
        </w:rPr>
        <w:t> </w:t>
      </w:r>
      <w:r>
        <w:rPr>
          <w:color w:val="231F20"/>
        </w:rPr>
        <w:t>con</w:t>
      </w:r>
      <w:r>
        <w:rPr>
          <w:color w:val="231F20"/>
          <w:spacing w:val="-6"/>
        </w:rPr>
        <w:t> </w:t>
      </w:r>
      <w:r>
        <w:rPr>
          <w:color w:val="231F20"/>
        </w:rPr>
        <w:t>la</w:t>
      </w:r>
      <w:r>
        <w:rPr>
          <w:color w:val="231F20"/>
          <w:spacing w:val="-6"/>
        </w:rPr>
        <w:t> </w:t>
      </w:r>
      <w:r>
        <w:rPr>
          <w:color w:val="231F20"/>
        </w:rPr>
        <w:t>posición</w:t>
      </w:r>
      <w:r>
        <w:rPr>
          <w:color w:val="231F20"/>
          <w:spacing w:val="-6"/>
        </w:rPr>
        <w:t> </w:t>
      </w:r>
      <w:r>
        <w:rPr>
          <w:color w:val="231F20"/>
        </w:rPr>
        <w:t>del</w:t>
      </w:r>
      <w:r>
        <w:rPr>
          <w:color w:val="231F20"/>
          <w:spacing w:val="-6"/>
        </w:rPr>
        <w:t> </w:t>
      </w:r>
      <w:r>
        <w:rPr>
          <w:color w:val="231F20"/>
        </w:rPr>
        <w:t>sifón,</w:t>
      </w:r>
      <w:r>
        <w:rPr>
          <w:color w:val="231F20"/>
          <w:spacing w:val="-6"/>
        </w:rPr>
        <w:t> </w:t>
      </w:r>
      <w:r>
        <w:rPr>
          <w:color w:val="231F20"/>
        </w:rPr>
        <w:t>son comparables (Fig.5).</w:t>
      </w:r>
    </w:p>
    <w:p>
      <w:pPr>
        <w:pStyle w:val="BodyText"/>
        <w:spacing w:before="125"/>
      </w:pPr>
      <w:r>
        <w:rPr/>
        <w:drawing>
          <wp:anchor distT="0" distB="0" distL="0" distR="0" allowOverlap="1" layoutInCell="1" locked="0" behindDoc="1" simplePos="0" relativeHeight="487590912">
            <wp:simplePos x="0" y="0"/>
            <wp:positionH relativeFrom="page">
              <wp:posOffset>4022046</wp:posOffset>
            </wp:positionH>
            <wp:positionV relativeFrom="paragraph">
              <wp:posOffset>241081</wp:posOffset>
            </wp:positionV>
            <wp:extent cx="2772499" cy="1499615"/>
            <wp:effectExtent l="0" t="0" r="0" b="0"/>
            <wp:wrapTopAndBottom/>
            <wp:docPr id="22" name="Image 22"/>
            <wp:cNvGraphicFramePr>
              <a:graphicFrameLocks/>
            </wp:cNvGraphicFramePr>
            <a:graphic>
              <a:graphicData uri="http://schemas.openxmlformats.org/drawingml/2006/picture">
                <pic:pic>
                  <pic:nvPicPr>
                    <pic:cNvPr id="22" name="Image 22"/>
                    <pic:cNvPicPr/>
                  </pic:nvPicPr>
                  <pic:blipFill>
                    <a:blip r:embed="rId19" cstate="print"/>
                    <a:stretch>
                      <a:fillRect/>
                    </a:stretch>
                  </pic:blipFill>
                  <pic:spPr>
                    <a:xfrm>
                      <a:off x="0" y="0"/>
                      <a:ext cx="2772499" cy="1499615"/>
                    </a:xfrm>
                    <a:prstGeom prst="rect">
                      <a:avLst/>
                    </a:prstGeom>
                  </pic:spPr>
                </pic:pic>
              </a:graphicData>
            </a:graphic>
          </wp:anchor>
        </w:drawing>
      </w:r>
    </w:p>
    <w:p>
      <w:pPr>
        <w:pStyle w:val="BodyText"/>
        <w:spacing w:before="39"/>
      </w:pPr>
    </w:p>
    <w:p>
      <w:pPr>
        <w:spacing w:line="254" w:lineRule="auto" w:before="0"/>
        <w:ind w:left="162" w:right="751" w:firstLine="0"/>
        <w:jc w:val="both"/>
        <w:rPr>
          <w:sz w:val="16"/>
        </w:rPr>
      </w:pPr>
      <w:r>
        <w:rPr>
          <w:b/>
          <w:color w:val="231F20"/>
          <w:sz w:val="16"/>
        </w:rPr>
        <w:t>Figura 5. </w:t>
      </w:r>
      <w:r>
        <w:rPr>
          <w:color w:val="231F20"/>
          <w:sz w:val="16"/>
        </w:rPr>
        <w:t>Ilustración de Cenoceras truncatus</w:t>
      </w:r>
      <w:r>
        <w:rPr>
          <w:color w:val="231F20"/>
          <w:spacing w:val="40"/>
          <w:sz w:val="16"/>
        </w:rPr>
        <w:t> </w:t>
      </w:r>
      <w:r>
        <w:rPr>
          <w:color w:val="231F20"/>
          <w:sz w:val="16"/>
        </w:rPr>
        <w:t>vadaszi, ejemplar con</w:t>
      </w:r>
      <w:r>
        <w:rPr>
          <w:color w:val="231F20"/>
          <w:spacing w:val="40"/>
          <w:sz w:val="16"/>
        </w:rPr>
        <w:t> </w:t>
      </w:r>
      <w:r>
        <w:rPr>
          <w:color w:val="231F20"/>
          <w:sz w:val="16"/>
        </w:rPr>
        <w:t>sección de la vuelta semi rectangular y</w:t>
      </w:r>
      <w:r>
        <w:rPr>
          <w:color w:val="231F20"/>
          <w:spacing w:val="40"/>
          <w:sz w:val="16"/>
        </w:rPr>
        <w:t> </w:t>
      </w:r>
      <w:r>
        <w:rPr>
          <w:color w:val="231F20"/>
          <w:sz w:val="16"/>
        </w:rPr>
        <w:t>lados casi paralelos pero que</w:t>
      </w:r>
      <w:r>
        <w:rPr>
          <w:color w:val="231F20"/>
          <w:spacing w:val="40"/>
          <w:sz w:val="16"/>
        </w:rPr>
        <w:t> </w:t>
      </w:r>
      <w:r>
        <w:rPr>
          <w:color w:val="231F20"/>
          <w:sz w:val="16"/>
        </w:rPr>
        <w:t>divergen en el ombligo, el sifón es aproximadamente central, observe</w:t>
      </w:r>
      <w:r>
        <w:rPr>
          <w:color w:val="231F20"/>
          <w:spacing w:val="40"/>
          <w:sz w:val="16"/>
        </w:rPr>
        <w:t> </w:t>
      </w:r>
      <w:r>
        <w:rPr>
          <w:color w:val="231F20"/>
          <w:sz w:val="16"/>
        </w:rPr>
        <w:t>el recorrido de la línea de sutura en las vistas posterior y lateral.Sus</w:t>
      </w:r>
      <w:r>
        <w:rPr>
          <w:color w:val="231F20"/>
          <w:spacing w:val="40"/>
          <w:sz w:val="16"/>
        </w:rPr>
        <w:t> </w:t>
      </w:r>
      <w:r>
        <w:rPr>
          <w:color w:val="231F20"/>
          <w:sz w:val="16"/>
        </w:rPr>
        <w:t>medidas son: de diámetro</w:t>
      </w:r>
      <w:r>
        <w:rPr>
          <w:color w:val="231F20"/>
          <w:spacing w:val="80"/>
          <w:sz w:val="16"/>
        </w:rPr>
        <w:t> </w:t>
      </w:r>
      <w:r>
        <w:rPr>
          <w:color w:val="231F20"/>
          <w:sz w:val="16"/>
        </w:rPr>
        <w:t>36,2 mm, de altura 24,6 mm, de ancho</w:t>
      </w:r>
      <w:r>
        <w:rPr>
          <w:color w:val="231F20"/>
          <w:spacing w:val="40"/>
          <w:sz w:val="16"/>
        </w:rPr>
        <w:t> </w:t>
      </w:r>
      <w:r>
        <w:rPr>
          <w:color w:val="231F20"/>
          <w:sz w:val="16"/>
        </w:rPr>
        <w:t>21,0 mm y ombligo 1,0 mm.Tomado</w:t>
      </w:r>
      <w:r>
        <w:rPr>
          <w:color w:val="231F20"/>
          <w:spacing w:val="80"/>
          <w:sz w:val="16"/>
        </w:rPr>
        <w:t> </w:t>
      </w:r>
      <w:r>
        <w:rPr>
          <w:color w:val="231F20"/>
          <w:sz w:val="16"/>
        </w:rPr>
        <w:t>de Géczy(1961).</w:t>
      </w:r>
    </w:p>
    <w:p>
      <w:pPr>
        <w:pStyle w:val="BodyText"/>
        <w:spacing w:before="111"/>
        <w:rPr>
          <w:sz w:val="16"/>
        </w:rPr>
      </w:pPr>
    </w:p>
    <w:p>
      <w:pPr>
        <w:pStyle w:val="Heading1"/>
      </w:pPr>
      <w:r>
        <w:rPr>
          <w:color w:val="231F20"/>
          <w:spacing w:val="-2"/>
        </w:rPr>
        <w:t>CONCLUSIONES</w:t>
      </w:r>
    </w:p>
    <w:p>
      <w:pPr>
        <w:pStyle w:val="BodyText"/>
        <w:spacing w:line="252" w:lineRule="auto" w:before="181"/>
        <w:ind w:left="162" w:right="750"/>
        <w:jc w:val="both"/>
      </w:pPr>
      <w:r>
        <w:rPr>
          <w:color w:val="231F20"/>
        </w:rPr>
        <w:t>Se han publicado muy pocos trabajos acerca de la ocurrencia</w:t>
      </w:r>
      <w:r>
        <w:rPr>
          <w:color w:val="231F20"/>
          <w:spacing w:val="40"/>
        </w:rPr>
        <w:t> </w:t>
      </w:r>
      <w:r>
        <w:rPr>
          <w:color w:val="231F20"/>
        </w:rPr>
        <w:t>de</w:t>
      </w:r>
      <w:r>
        <w:rPr>
          <w:color w:val="231F20"/>
          <w:spacing w:val="40"/>
        </w:rPr>
        <w:t> </w:t>
      </w:r>
      <w:r>
        <w:rPr>
          <w:color w:val="231F20"/>
        </w:rPr>
        <w:t>nautiloideos</w:t>
      </w:r>
      <w:r>
        <w:rPr>
          <w:color w:val="231F20"/>
          <w:spacing w:val="40"/>
        </w:rPr>
        <w:t> </w:t>
      </w:r>
      <w:r>
        <w:rPr>
          <w:color w:val="231F20"/>
        </w:rPr>
        <w:t>en</w:t>
      </w:r>
      <w:r>
        <w:rPr>
          <w:color w:val="231F20"/>
          <w:spacing w:val="40"/>
        </w:rPr>
        <w:t> </w:t>
      </w:r>
      <w:r>
        <w:rPr>
          <w:color w:val="231F20"/>
        </w:rPr>
        <w:t>Suramérica</w:t>
      </w:r>
      <w:r>
        <w:rPr>
          <w:color w:val="231F20"/>
          <w:spacing w:val="40"/>
        </w:rPr>
        <w:t> </w:t>
      </w:r>
      <w:r>
        <w:rPr>
          <w:color w:val="231F20"/>
        </w:rPr>
        <w:t>a</w:t>
      </w:r>
      <w:r>
        <w:rPr>
          <w:color w:val="231F20"/>
          <w:spacing w:val="40"/>
        </w:rPr>
        <w:t> </w:t>
      </w:r>
      <w:r>
        <w:rPr>
          <w:color w:val="231F20"/>
        </w:rPr>
        <w:t>lo</w:t>
      </w:r>
      <w:r>
        <w:rPr>
          <w:color w:val="231F20"/>
          <w:spacing w:val="40"/>
        </w:rPr>
        <w:t> </w:t>
      </w:r>
      <w:r>
        <w:rPr>
          <w:color w:val="231F20"/>
        </w:rPr>
        <w:t>largo del registro geológico, en particular para el Triásico. Únicamente en Colombia se han reportado la aparición de nautiloideos </w:t>
      </w:r>
      <w:r>
        <w:rPr>
          <w:color w:val="231F20"/>
          <w:spacing w:val="9"/>
        </w:rPr>
        <w:t>triásicos.</w:t>
      </w:r>
      <w:r>
        <w:rPr>
          <w:color w:val="231F20"/>
          <w:spacing w:val="9"/>
        </w:rPr>
        <w:t> </w:t>
      </w:r>
      <w:r>
        <w:rPr>
          <w:color w:val="231F20"/>
        </w:rPr>
        <w:t>Geyer (1973), identifica </w:t>
      </w:r>
      <w:r>
        <w:rPr>
          <w:color w:val="231F20"/>
          <w:spacing w:val="9"/>
        </w:rPr>
        <w:t>remanentes</w:t>
      </w:r>
      <w:r>
        <w:rPr>
          <w:color w:val="231F20"/>
          <w:spacing w:val="9"/>
        </w:rPr>
        <w:t> </w:t>
      </w:r>
      <w:r>
        <w:rPr>
          <w:color w:val="231F20"/>
        </w:rPr>
        <w:t>de </w:t>
      </w:r>
      <w:r>
        <w:rPr>
          <w:i/>
          <w:color w:val="231F20"/>
          <w:spacing w:val="9"/>
        </w:rPr>
        <w:t>Oxynautilus?</w:t>
      </w:r>
      <w:r>
        <w:rPr>
          <w:i/>
          <w:color w:val="231F20"/>
          <w:spacing w:val="9"/>
        </w:rPr>
        <w:t> </w:t>
      </w:r>
      <w:r>
        <w:rPr>
          <w:i/>
          <w:color w:val="231F20"/>
        </w:rPr>
        <w:t>sp.</w:t>
      </w:r>
      <w:r>
        <w:rPr>
          <w:color w:val="231F20"/>
        </w:rPr>
        <w:t>, y en la presente investigación se describen especímenes del </w:t>
      </w:r>
      <w:r>
        <w:rPr>
          <w:color w:val="231F20"/>
          <w:spacing w:val="9"/>
        </w:rPr>
        <w:t>grupo </w:t>
      </w:r>
      <w:r>
        <w:rPr>
          <w:i/>
          <w:color w:val="231F20"/>
        </w:rPr>
        <w:t>Nautiloidea</w:t>
      </w:r>
      <w:r>
        <w:rPr>
          <w:color w:val="231F20"/>
        </w:rPr>
        <w:t>, incluidos en el género </w:t>
      </w:r>
      <w:r>
        <w:rPr>
          <w:i/>
          <w:color w:val="231F20"/>
        </w:rPr>
        <w:t>Cenoceras sp., </w:t>
      </w:r>
      <w:r>
        <w:rPr>
          <w:color w:val="231F20"/>
        </w:rPr>
        <w:t>encontrados en diferentes capas de caliza a lo largo de la Sección Tuluní en Chaparral (Tolima).</w:t>
      </w:r>
    </w:p>
    <w:p>
      <w:pPr>
        <w:pStyle w:val="BodyText"/>
        <w:spacing w:after="0" w:line="252" w:lineRule="auto"/>
        <w:jc w:val="both"/>
        <w:sectPr>
          <w:type w:val="continuous"/>
          <w:pgSz w:w="12260" w:h="15560"/>
          <w:pgMar w:header="307" w:footer="336" w:top="240" w:bottom="520" w:left="1275" w:right="708"/>
          <w:cols w:num="2" w:equalWidth="0">
            <w:col w:w="4682" w:space="194"/>
            <w:col w:w="5401"/>
          </w:cols>
        </w:sectPr>
      </w:pPr>
    </w:p>
    <w:p>
      <w:pPr>
        <w:pStyle w:val="BodyText"/>
      </w:pPr>
    </w:p>
    <w:p>
      <w:pPr>
        <w:pStyle w:val="BodyText"/>
        <w:spacing w:before="73"/>
      </w:pPr>
    </w:p>
    <w:p>
      <w:pPr>
        <w:pStyle w:val="BodyText"/>
        <w:spacing w:after="0"/>
        <w:sectPr>
          <w:pgSz w:w="12260" w:h="15560"/>
          <w:pgMar w:header="373" w:footer="336" w:top="560" w:bottom="520" w:left="1275" w:right="708"/>
        </w:sectPr>
      </w:pPr>
    </w:p>
    <w:p>
      <w:pPr>
        <w:pStyle w:val="BodyText"/>
        <w:spacing w:line="252" w:lineRule="auto" w:before="93"/>
        <w:ind w:left="219" w:right="38"/>
        <w:jc w:val="both"/>
      </w:pPr>
      <w:r>
        <w:rPr>
          <w:color w:val="231F20"/>
        </w:rPr>
        <w:t>Este nuevo hallazgo es importante para la geología colombiana</w:t>
      </w:r>
      <w:r>
        <w:rPr>
          <w:color w:val="231F20"/>
          <w:spacing w:val="-13"/>
        </w:rPr>
        <w:t> </w:t>
      </w:r>
      <w:r>
        <w:rPr>
          <w:color w:val="231F20"/>
        </w:rPr>
        <w:t>ya</w:t>
      </w:r>
      <w:r>
        <w:rPr>
          <w:color w:val="231F20"/>
          <w:spacing w:val="-12"/>
        </w:rPr>
        <w:t> </w:t>
      </w:r>
      <w:r>
        <w:rPr>
          <w:color w:val="231F20"/>
        </w:rPr>
        <w:t>que</w:t>
      </w:r>
      <w:r>
        <w:rPr>
          <w:color w:val="231F20"/>
          <w:spacing w:val="-13"/>
        </w:rPr>
        <w:t> </w:t>
      </w:r>
      <w:r>
        <w:rPr>
          <w:color w:val="231F20"/>
        </w:rPr>
        <w:t>estos</w:t>
      </w:r>
      <w:r>
        <w:rPr>
          <w:color w:val="231F20"/>
          <w:spacing w:val="-12"/>
        </w:rPr>
        <w:t> </w:t>
      </w:r>
      <w:r>
        <w:rPr>
          <w:color w:val="231F20"/>
        </w:rPr>
        <w:t>ejemplares</w:t>
      </w:r>
      <w:r>
        <w:rPr>
          <w:color w:val="231F20"/>
          <w:spacing w:val="-13"/>
        </w:rPr>
        <w:t> </w:t>
      </w:r>
      <w:r>
        <w:rPr>
          <w:color w:val="231F20"/>
        </w:rPr>
        <w:t>son</w:t>
      </w:r>
      <w:r>
        <w:rPr>
          <w:color w:val="231F20"/>
          <w:spacing w:val="-12"/>
        </w:rPr>
        <w:t> </w:t>
      </w:r>
      <w:r>
        <w:rPr>
          <w:color w:val="231F20"/>
        </w:rPr>
        <w:t>una</w:t>
      </w:r>
      <w:r>
        <w:rPr>
          <w:color w:val="231F20"/>
          <w:spacing w:val="-13"/>
        </w:rPr>
        <w:t> </w:t>
      </w:r>
      <w:r>
        <w:rPr>
          <w:color w:val="231F20"/>
        </w:rPr>
        <w:t>herramienta </w:t>
      </w:r>
      <w:r>
        <w:rPr>
          <w:color w:val="231F20"/>
          <w:spacing w:val="10"/>
        </w:rPr>
        <w:t>bioestratigráfica,</w:t>
      </w:r>
      <w:r>
        <w:rPr>
          <w:color w:val="231F20"/>
          <w:spacing w:val="10"/>
        </w:rPr>
        <w:t> </w:t>
      </w:r>
      <w:r>
        <w:rPr>
          <w:color w:val="231F20"/>
        </w:rPr>
        <w:t>y se </w:t>
      </w:r>
      <w:r>
        <w:rPr>
          <w:color w:val="231F20"/>
          <w:spacing w:val="9"/>
        </w:rPr>
        <w:t>considera</w:t>
      </w:r>
      <w:r>
        <w:rPr>
          <w:color w:val="231F20"/>
          <w:spacing w:val="9"/>
        </w:rPr>
        <w:t> </w:t>
      </w:r>
      <w:r>
        <w:rPr>
          <w:color w:val="231F20"/>
        </w:rPr>
        <w:t>un </w:t>
      </w:r>
      <w:r>
        <w:rPr>
          <w:color w:val="231F20"/>
          <w:spacing w:val="9"/>
        </w:rPr>
        <w:t>género</w:t>
      </w:r>
      <w:r>
        <w:rPr>
          <w:color w:val="231F20"/>
          <w:spacing w:val="9"/>
        </w:rPr>
        <w:t> </w:t>
      </w:r>
      <w:r>
        <w:rPr>
          <w:color w:val="231F20"/>
        </w:rPr>
        <w:t>clave para</w:t>
      </w:r>
      <w:r>
        <w:rPr>
          <w:color w:val="231F20"/>
          <w:spacing w:val="40"/>
        </w:rPr>
        <w:t> </w:t>
      </w:r>
      <w:r>
        <w:rPr>
          <w:color w:val="231F20"/>
        </w:rPr>
        <w:t>la</w:t>
      </w:r>
      <w:r>
        <w:rPr>
          <w:color w:val="231F20"/>
          <w:spacing w:val="40"/>
        </w:rPr>
        <w:t> </w:t>
      </w:r>
      <w:r>
        <w:rPr>
          <w:color w:val="231F20"/>
        </w:rPr>
        <w:t>evolución</w:t>
      </w:r>
      <w:r>
        <w:rPr>
          <w:color w:val="231F20"/>
          <w:spacing w:val="40"/>
        </w:rPr>
        <w:t> </w:t>
      </w:r>
      <w:r>
        <w:rPr>
          <w:color w:val="231F20"/>
        </w:rPr>
        <w:t>de</w:t>
      </w:r>
      <w:r>
        <w:rPr>
          <w:color w:val="231F20"/>
          <w:spacing w:val="40"/>
        </w:rPr>
        <w:t> </w:t>
      </w:r>
      <w:r>
        <w:rPr>
          <w:color w:val="231F20"/>
        </w:rPr>
        <w:t>los</w:t>
      </w:r>
      <w:r>
        <w:rPr>
          <w:color w:val="231F20"/>
          <w:spacing w:val="40"/>
        </w:rPr>
        <w:t> </w:t>
      </w:r>
      <w:r>
        <w:rPr>
          <w:color w:val="231F20"/>
        </w:rPr>
        <w:t>nautiloideos</w:t>
      </w:r>
      <w:r>
        <w:rPr>
          <w:color w:val="231F20"/>
          <w:spacing w:val="40"/>
        </w:rPr>
        <w:t> </w:t>
      </w:r>
      <w:r>
        <w:rPr>
          <w:color w:val="231F20"/>
        </w:rPr>
        <w:t>post-triásicos,</w:t>
      </w:r>
      <w:r>
        <w:rPr>
          <w:color w:val="231F20"/>
          <w:spacing w:val="40"/>
        </w:rPr>
        <w:t> </w:t>
      </w:r>
      <w:r>
        <w:rPr>
          <w:color w:val="231F20"/>
        </w:rPr>
        <w:t>la identificación sistemática se realizó a </w:t>
      </w:r>
      <w:r>
        <w:rPr>
          <w:color w:val="231F20"/>
          <w:spacing w:val="10"/>
        </w:rPr>
        <w:t>partir</w:t>
      </w:r>
      <w:r>
        <w:rPr>
          <w:color w:val="231F20"/>
          <w:spacing w:val="10"/>
        </w:rPr>
        <w:t> </w:t>
      </w:r>
      <w:r>
        <w:rPr>
          <w:color w:val="231F20"/>
        </w:rPr>
        <w:t>de comparaciones con ejemplares de diferentes partes del mundo, ya que este grupo es de carácter cosmopolita, por ejemplo con ocurrencias en el Triásico Superior de Nueva Zelanda registradas por Kummel (1953,1959), </w:t>
      </w:r>
      <w:r>
        <w:rPr>
          <w:color w:val="231F20"/>
          <w:spacing w:val="-2"/>
        </w:rPr>
        <w:t>quién</w:t>
      </w:r>
      <w:r>
        <w:rPr>
          <w:color w:val="231F20"/>
          <w:spacing w:val="-9"/>
        </w:rPr>
        <w:t> </w:t>
      </w:r>
      <w:r>
        <w:rPr>
          <w:color w:val="231F20"/>
          <w:spacing w:val="-2"/>
        </w:rPr>
        <w:t>evidencia</w:t>
      </w:r>
      <w:r>
        <w:rPr>
          <w:color w:val="231F20"/>
          <w:spacing w:val="-9"/>
        </w:rPr>
        <w:t> </w:t>
      </w:r>
      <w:r>
        <w:rPr>
          <w:color w:val="231F20"/>
          <w:spacing w:val="-2"/>
        </w:rPr>
        <w:t>su</w:t>
      </w:r>
      <w:r>
        <w:rPr>
          <w:color w:val="231F20"/>
          <w:spacing w:val="-9"/>
        </w:rPr>
        <w:t> </w:t>
      </w:r>
      <w:r>
        <w:rPr>
          <w:color w:val="231F20"/>
          <w:spacing w:val="-2"/>
        </w:rPr>
        <w:t>uso</w:t>
      </w:r>
      <w:r>
        <w:rPr>
          <w:color w:val="231F20"/>
          <w:spacing w:val="-9"/>
        </w:rPr>
        <w:t> </w:t>
      </w:r>
      <w:r>
        <w:rPr>
          <w:color w:val="231F20"/>
          <w:spacing w:val="-2"/>
        </w:rPr>
        <w:t>para</w:t>
      </w:r>
      <w:r>
        <w:rPr>
          <w:color w:val="231F20"/>
          <w:spacing w:val="-9"/>
        </w:rPr>
        <w:t> </w:t>
      </w:r>
      <w:r>
        <w:rPr>
          <w:color w:val="231F20"/>
          <w:spacing w:val="-2"/>
        </w:rPr>
        <w:t>definir</w:t>
      </w:r>
      <w:r>
        <w:rPr>
          <w:color w:val="231F20"/>
          <w:spacing w:val="-9"/>
        </w:rPr>
        <w:t> </w:t>
      </w:r>
      <w:r>
        <w:rPr>
          <w:color w:val="231F20"/>
          <w:spacing w:val="-2"/>
        </w:rPr>
        <w:t>rangos</w:t>
      </w:r>
      <w:r>
        <w:rPr>
          <w:color w:val="231F20"/>
          <w:spacing w:val="-9"/>
        </w:rPr>
        <w:t> </w:t>
      </w:r>
      <w:r>
        <w:rPr>
          <w:color w:val="231F20"/>
          <w:spacing w:val="-2"/>
        </w:rPr>
        <w:t>estratigráficos, </w:t>
      </w:r>
      <w:r>
        <w:rPr>
          <w:color w:val="231F20"/>
        </w:rPr>
        <w:t>como lo indican Evans et al. (2014),la importancia de estos</w:t>
      </w:r>
      <w:r>
        <w:rPr>
          <w:color w:val="231F20"/>
          <w:spacing w:val="-13"/>
        </w:rPr>
        <w:t> </w:t>
      </w:r>
      <w:r>
        <w:rPr>
          <w:color w:val="231F20"/>
        </w:rPr>
        <w:t>nautiloideos</w:t>
      </w:r>
      <w:r>
        <w:rPr>
          <w:color w:val="231F20"/>
          <w:spacing w:val="-12"/>
        </w:rPr>
        <w:t> </w:t>
      </w:r>
      <w:r>
        <w:rPr>
          <w:color w:val="231F20"/>
        </w:rPr>
        <w:t>radica</w:t>
      </w:r>
      <w:r>
        <w:rPr>
          <w:color w:val="231F20"/>
          <w:spacing w:val="-13"/>
        </w:rPr>
        <w:t> </w:t>
      </w:r>
      <w:r>
        <w:rPr>
          <w:color w:val="231F20"/>
        </w:rPr>
        <w:t>en</w:t>
      </w:r>
      <w:r>
        <w:rPr>
          <w:color w:val="231F20"/>
          <w:spacing w:val="-12"/>
        </w:rPr>
        <w:t> </w:t>
      </w:r>
      <w:r>
        <w:rPr>
          <w:color w:val="231F20"/>
        </w:rPr>
        <w:t>que</w:t>
      </w:r>
      <w:r>
        <w:rPr>
          <w:color w:val="231F20"/>
          <w:spacing w:val="-13"/>
        </w:rPr>
        <w:t> </w:t>
      </w:r>
      <w:r>
        <w:rPr>
          <w:color w:val="231F20"/>
        </w:rPr>
        <w:t>tienen</w:t>
      </w:r>
      <w:r>
        <w:rPr>
          <w:color w:val="231F20"/>
          <w:spacing w:val="-12"/>
        </w:rPr>
        <w:t> </w:t>
      </w:r>
      <w:r>
        <w:rPr>
          <w:color w:val="231F20"/>
        </w:rPr>
        <w:t>un</w:t>
      </w:r>
      <w:r>
        <w:rPr>
          <w:color w:val="231F20"/>
          <w:spacing w:val="-13"/>
        </w:rPr>
        <w:t> </w:t>
      </w:r>
      <w:r>
        <w:rPr>
          <w:color w:val="231F20"/>
        </w:rPr>
        <w:t>valor</w:t>
      </w:r>
      <w:r>
        <w:rPr>
          <w:color w:val="231F20"/>
          <w:spacing w:val="-12"/>
        </w:rPr>
        <w:t> </w:t>
      </w:r>
      <w:r>
        <w:rPr>
          <w:color w:val="231F20"/>
        </w:rPr>
        <w:t>potencial para</w:t>
      </w:r>
      <w:r>
        <w:rPr>
          <w:color w:val="231F20"/>
          <w:spacing w:val="-5"/>
        </w:rPr>
        <w:t> </w:t>
      </w:r>
      <w:r>
        <w:rPr>
          <w:color w:val="231F20"/>
        </w:rPr>
        <w:t>algunos</w:t>
      </w:r>
      <w:r>
        <w:rPr>
          <w:color w:val="231F20"/>
          <w:spacing w:val="-3"/>
        </w:rPr>
        <w:t> </w:t>
      </w:r>
      <w:r>
        <w:rPr>
          <w:color w:val="231F20"/>
        </w:rPr>
        <w:t>aspectos</w:t>
      </w:r>
      <w:r>
        <w:rPr>
          <w:color w:val="231F20"/>
          <w:spacing w:val="-2"/>
        </w:rPr>
        <w:t> </w:t>
      </w:r>
      <w:r>
        <w:rPr>
          <w:color w:val="231F20"/>
        </w:rPr>
        <w:t>de</w:t>
      </w:r>
      <w:r>
        <w:rPr>
          <w:color w:val="231F20"/>
          <w:spacing w:val="-2"/>
        </w:rPr>
        <w:t> </w:t>
      </w:r>
      <w:r>
        <w:rPr>
          <w:color w:val="231F20"/>
        </w:rPr>
        <w:t>la</w:t>
      </w:r>
      <w:r>
        <w:rPr>
          <w:color w:val="231F20"/>
          <w:spacing w:val="-3"/>
        </w:rPr>
        <w:t> </w:t>
      </w:r>
      <w:r>
        <w:rPr>
          <w:color w:val="231F20"/>
        </w:rPr>
        <w:t>bioestratigrafía</w:t>
      </w:r>
      <w:r>
        <w:rPr>
          <w:color w:val="231F20"/>
          <w:spacing w:val="-2"/>
        </w:rPr>
        <w:t> </w:t>
      </w:r>
      <w:r>
        <w:rPr>
          <w:color w:val="231F20"/>
        </w:rPr>
        <w:t>del</w:t>
      </w:r>
      <w:r>
        <w:rPr>
          <w:color w:val="231F20"/>
          <w:spacing w:val="-2"/>
        </w:rPr>
        <w:t> Triásico.</w:t>
      </w:r>
    </w:p>
    <w:p>
      <w:pPr>
        <w:pStyle w:val="BodyText"/>
        <w:spacing w:line="232" w:lineRule="auto" w:before="139"/>
        <w:ind w:left="219" w:right="44"/>
        <w:jc w:val="both"/>
      </w:pPr>
      <w:r>
        <w:rPr>
          <w:color w:val="231F20"/>
        </w:rPr>
        <w:t>El carácter cosmopolita es diferenciable para el género </w:t>
      </w:r>
      <w:r>
        <w:rPr>
          <w:i/>
          <w:color w:val="231F20"/>
        </w:rPr>
        <w:t>Cenoceras</w:t>
      </w:r>
      <w:r>
        <w:rPr>
          <w:color w:val="231F20"/>
        </w:rPr>
        <w:t>,</w:t>
      </w:r>
      <w:r>
        <w:rPr>
          <w:color w:val="231F20"/>
          <w:spacing w:val="-13"/>
        </w:rPr>
        <w:t> </w:t>
      </w:r>
      <w:r>
        <w:rPr>
          <w:color w:val="231F20"/>
        </w:rPr>
        <w:t>puesto</w:t>
      </w:r>
      <w:r>
        <w:rPr>
          <w:color w:val="231F20"/>
          <w:spacing w:val="-12"/>
        </w:rPr>
        <w:t> </w:t>
      </w:r>
      <w:r>
        <w:rPr>
          <w:color w:val="231F20"/>
        </w:rPr>
        <w:t>que</w:t>
      </w:r>
      <w:r>
        <w:rPr>
          <w:color w:val="231F20"/>
          <w:spacing w:val="-13"/>
        </w:rPr>
        <w:t> </w:t>
      </w:r>
      <w:r>
        <w:rPr>
          <w:color w:val="231F20"/>
        </w:rPr>
        <w:t>en</w:t>
      </w:r>
      <w:r>
        <w:rPr>
          <w:color w:val="231F20"/>
          <w:spacing w:val="-12"/>
        </w:rPr>
        <w:t> </w:t>
      </w:r>
      <w:r>
        <w:rPr>
          <w:color w:val="231F20"/>
        </w:rPr>
        <w:t>los</w:t>
      </w:r>
      <w:r>
        <w:rPr>
          <w:color w:val="231F20"/>
          <w:spacing w:val="-13"/>
        </w:rPr>
        <w:t> </w:t>
      </w:r>
      <w:r>
        <w:rPr>
          <w:color w:val="231F20"/>
        </w:rPr>
        <w:t>nautiloideos</w:t>
      </w:r>
      <w:r>
        <w:rPr>
          <w:color w:val="231F20"/>
          <w:spacing w:val="-12"/>
        </w:rPr>
        <w:t> </w:t>
      </w:r>
      <w:r>
        <w:rPr>
          <w:color w:val="231F20"/>
        </w:rPr>
        <w:t>post-triásicos, </w:t>
      </w:r>
      <w:r>
        <w:rPr>
          <w:color w:val="231F20"/>
          <w:spacing w:val="-2"/>
        </w:rPr>
        <w:t>el</w:t>
      </w:r>
      <w:r>
        <w:rPr>
          <w:color w:val="231F20"/>
          <w:spacing w:val="-9"/>
        </w:rPr>
        <w:t> </w:t>
      </w:r>
      <w:r>
        <w:rPr>
          <w:color w:val="231F20"/>
          <w:spacing w:val="-2"/>
        </w:rPr>
        <w:t>comportamiento</w:t>
      </w:r>
      <w:r>
        <w:rPr>
          <w:color w:val="231F20"/>
          <w:spacing w:val="-9"/>
        </w:rPr>
        <w:t> </w:t>
      </w:r>
      <w:r>
        <w:rPr>
          <w:color w:val="231F20"/>
          <w:spacing w:val="-2"/>
        </w:rPr>
        <w:t>de</w:t>
      </w:r>
      <w:r>
        <w:rPr>
          <w:color w:val="231F20"/>
          <w:spacing w:val="-9"/>
        </w:rPr>
        <w:t> </w:t>
      </w:r>
      <w:r>
        <w:rPr>
          <w:color w:val="231F20"/>
          <w:spacing w:val="-2"/>
        </w:rPr>
        <w:t>las</w:t>
      </w:r>
      <w:r>
        <w:rPr>
          <w:color w:val="231F20"/>
          <w:spacing w:val="-9"/>
        </w:rPr>
        <w:t> </w:t>
      </w:r>
      <w:r>
        <w:rPr>
          <w:color w:val="231F20"/>
          <w:spacing w:val="-2"/>
        </w:rPr>
        <w:t>especies</w:t>
      </w:r>
      <w:r>
        <w:rPr>
          <w:color w:val="231F20"/>
          <w:spacing w:val="-9"/>
        </w:rPr>
        <w:t> </w:t>
      </w:r>
      <w:r>
        <w:rPr>
          <w:color w:val="231F20"/>
          <w:spacing w:val="-2"/>
        </w:rPr>
        <w:t>es</w:t>
      </w:r>
      <w:r>
        <w:rPr>
          <w:color w:val="231F20"/>
          <w:spacing w:val="-9"/>
        </w:rPr>
        <w:t> </w:t>
      </w:r>
      <w:r>
        <w:rPr>
          <w:color w:val="231F20"/>
          <w:spacing w:val="-2"/>
        </w:rPr>
        <w:t>predominantemente </w:t>
      </w:r>
      <w:r>
        <w:rPr>
          <w:color w:val="231F20"/>
        </w:rPr>
        <w:t>endémico. En contraste con la subclase </w:t>
      </w:r>
      <w:r>
        <w:rPr>
          <w:i/>
          <w:color w:val="231F20"/>
        </w:rPr>
        <w:t>Ammonoidea</w:t>
      </w:r>
      <w:r>
        <w:rPr>
          <w:color w:val="231F20"/>
        </w:rPr>
        <w:t>, para</w:t>
      </w:r>
      <w:r>
        <w:rPr>
          <w:color w:val="231F20"/>
          <w:spacing w:val="-12"/>
        </w:rPr>
        <w:t> </w:t>
      </w:r>
      <w:r>
        <w:rPr>
          <w:color w:val="231F20"/>
        </w:rPr>
        <w:t>los</w:t>
      </w:r>
      <w:r>
        <w:rPr>
          <w:color w:val="231F20"/>
          <w:spacing w:val="-10"/>
        </w:rPr>
        <w:t> </w:t>
      </w:r>
      <w:r>
        <w:rPr>
          <w:color w:val="231F20"/>
        </w:rPr>
        <w:t>cuales</w:t>
      </w:r>
      <w:r>
        <w:rPr>
          <w:color w:val="231F20"/>
          <w:spacing w:val="-9"/>
        </w:rPr>
        <w:t> </w:t>
      </w:r>
      <w:r>
        <w:rPr>
          <w:color w:val="231F20"/>
        </w:rPr>
        <w:t>existen</w:t>
      </w:r>
      <w:r>
        <w:rPr>
          <w:color w:val="231F20"/>
          <w:spacing w:val="-10"/>
        </w:rPr>
        <w:t> </w:t>
      </w:r>
      <w:r>
        <w:rPr>
          <w:color w:val="231F20"/>
        </w:rPr>
        <w:t>un</w:t>
      </w:r>
      <w:r>
        <w:rPr>
          <w:color w:val="231F20"/>
          <w:spacing w:val="-9"/>
        </w:rPr>
        <w:t> </w:t>
      </w:r>
      <w:r>
        <w:rPr>
          <w:color w:val="231F20"/>
        </w:rPr>
        <w:t>mayor</w:t>
      </w:r>
      <w:r>
        <w:rPr>
          <w:color w:val="231F20"/>
          <w:spacing w:val="-9"/>
        </w:rPr>
        <w:t> </w:t>
      </w:r>
      <w:r>
        <w:rPr>
          <w:color w:val="231F20"/>
        </w:rPr>
        <w:t>número</w:t>
      </w:r>
      <w:r>
        <w:rPr>
          <w:color w:val="231F20"/>
          <w:spacing w:val="-10"/>
        </w:rPr>
        <w:t> </w:t>
      </w:r>
      <w:r>
        <w:rPr>
          <w:color w:val="231F20"/>
        </w:rPr>
        <w:t>de</w:t>
      </w:r>
      <w:r>
        <w:rPr>
          <w:color w:val="231F20"/>
          <w:spacing w:val="-9"/>
        </w:rPr>
        <w:t> </w:t>
      </w:r>
      <w:r>
        <w:rPr>
          <w:color w:val="231F20"/>
        </w:rPr>
        <w:t>especies</w:t>
      </w:r>
      <w:r>
        <w:rPr>
          <w:color w:val="231F20"/>
          <w:spacing w:val="-9"/>
        </w:rPr>
        <w:t> </w:t>
      </w:r>
      <w:r>
        <w:rPr>
          <w:color w:val="231F20"/>
          <w:spacing w:val="-5"/>
        </w:rPr>
        <w:t>con</w:t>
      </w:r>
    </w:p>
    <w:p>
      <w:pPr>
        <w:pStyle w:val="BodyText"/>
        <w:spacing w:line="271" w:lineRule="auto" w:before="92"/>
        <w:ind w:left="219" w:right="695"/>
        <w:jc w:val="both"/>
      </w:pPr>
      <w:r>
        <w:rPr/>
        <w:br w:type="column"/>
      </w:r>
      <w:r>
        <w:rPr>
          <w:color w:val="231F20"/>
        </w:rPr>
        <w:t>distribución mundial, estos cefalópodos muestran una </w:t>
      </w:r>
      <w:r>
        <w:rPr>
          <w:color w:val="231F20"/>
          <w:spacing w:val="-4"/>
        </w:rPr>
        <w:t>distribución</w:t>
      </w:r>
      <w:r>
        <w:rPr>
          <w:color w:val="231F20"/>
          <w:spacing w:val="-12"/>
        </w:rPr>
        <w:t> </w:t>
      </w:r>
      <w:r>
        <w:rPr>
          <w:color w:val="231F20"/>
          <w:spacing w:val="-4"/>
        </w:rPr>
        <w:t>areal</w:t>
      </w:r>
      <w:r>
        <w:rPr>
          <w:color w:val="231F20"/>
          <w:spacing w:val="-12"/>
        </w:rPr>
        <w:t> </w:t>
      </w:r>
      <w:r>
        <w:rPr>
          <w:color w:val="231F20"/>
          <w:spacing w:val="-4"/>
        </w:rPr>
        <w:t>más</w:t>
      </w:r>
      <w:r>
        <w:rPr>
          <w:color w:val="231F20"/>
          <w:spacing w:val="-13"/>
        </w:rPr>
        <w:t> </w:t>
      </w:r>
      <w:r>
        <w:rPr>
          <w:color w:val="231F20"/>
          <w:spacing w:val="-4"/>
        </w:rPr>
        <w:t>restringida</w:t>
      </w:r>
      <w:r>
        <w:rPr>
          <w:color w:val="231F20"/>
          <w:spacing w:val="-12"/>
        </w:rPr>
        <w:t> </w:t>
      </w:r>
      <w:r>
        <w:rPr>
          <w:color w:val="231F20"/>
          <w:spacing w:val="-4"/>
        </w:rPr>
        <w:t>(Matsumoto</w:t>
      </w:r>
      <w:r>
        <w:rPr>
          <w:color w:val="231F20"/>
          <w:spacing w:val="-12"/>
        </w:rPr>
        <w:t> </w:t>
      </w:r>
      <w:r>
        <w:rPr>
          <w:color w:val="231F20"/>
          <w:spacing w:val="-4"/>
        </w:rPr>
        <w:t>et</w:t>
      </w:r>
      <w:r>
        <w:rPr>
          <w:color w:val="231F20"/>
          <w:spacing w:val="-12"/>
        </w:rPr>
        <w:t> </w:t>
      </w:r>
      <w:r>
        <w:rPr>
          <w:color w:val="231F20"/>
          <w:spacing w:val="-4"/>
        </w:rPr>
        <w:t>al.,</w:t>
      </w:r>
      <w:r>
        <w:rPr>
          <w:color w:val="231F20"/>
          <w:spacing w:val="-12"/>
        </w:rPr>
        <w:t> </w:t>
      </w:r>
      <w:r>
        <w:rPr>
          <w:color w:val="231F20"/>
          <w:spacing w:val="-4"/>
        </w:rPr>
        <w:t>1984).</w:t>
      </w:r>
    </w:p>
    <w:p>
      <w:pPr>
        <w:pStyle w:val="BodyText"/>
        <w:spacing w:line="271" w:lineRule="auto" w:before="140"/>
        <w:ind w:left="219" w:right="694"/>
        <w:jc w:val="both"/>
      </w:pPr>
      <w:r>
        <w:rPr>
          <w:color w:val="231F20"/>
        </w:rPr>
        <w:t>Junto con la fauna de bivalvos</w:t>
      </w:r>
      <w:r>
        <w:rPr>
          <w:color w:val="231F20"/>
          <w:spacing w:val="40"/>
        </w:rPr>
        <w:t> </w:t>
      </w:r>
      <w:r>
        <w:rPr>
          <w:i/>
          <w:color w:val="231F20"/>
        </w:rPr>
        <w:t>Monotis (Pacimonotis) subcircularis </w:t>
      </w:r>
      <w:r>
        <w:rPr>
          <w:color w:val="231F20"/>
        </w:rPr>
        <w:t>y amonitas cómo las del género </w:t>
      </w:r>
      <w:r>
        <w:rPr>
          <w:i/>
          <w:color w:val="231F20"/>
        </w:rPr>
        <w:t>Metasibirites? sp. </w:t>
      </w:r>
      <w:r>
        <w:rPr>
          <w:color w:val="231F20"/>
        </w:rPr>
        <w:t>encontradas en asociación a la ocurrencia</w:t>
      </w:r>
      <w:r>
        <w:rPr>
          <w:color w:val="231F20"/>
          <w:spacing w:val="-13"/>
        </w:rPr>
        <w:t> </w:t>
      </w:r>
      <w:r>
        <w:rPr>
          <w:color w:val="231F20"/>
        </w:rPr>
        <w:t>de</w:t>
      </w:r>
      <w:r>
        <w:rPr>
          <w:color w:val="231F20"/>
          <w:spacing w:val="-12"/>
        </w:rPr>
        <w:t> </w:t>
      </w:r>
      <w:r>
        <w:rPr>
          <w:i/>
          <w:color w:val="231F20"/>
        </w:rPr>
        <w:t>Cenoceras</w:t>
      </w:r>
      <w:r>
        <w:rPr>
          <w:i/>
          <w:color w:val="231F20"/>
          <w:spacing w:val="-13"/>
        </w:rPr>
        <w:t> </w:t>
      </w:r>
      <w:r>
        <w:rPr>
          <w:i/>
          <w:color w:val="231F20"/>
        </w:rPr>
        <w:t>sp.</w:t>
      </w:r>
      <w:r>
        <w:rPr>
          <w:i/>
          <w:color w:val="231F20"/>
          <w:spacing w:val="-11"/>
        </w:rPr>
        <w:t> </w:t>
      </w:r>
      <w:r>
        <w:rPr>
          <w:color w:val="231F20"/>
        </w:rPr>
        <w:t>,</w:t>
      </w:r>
      <w:r>
        <w:rPr>
          <w:color w:val="231F20"/>
          <w:spacing w:val="-13"/>
        </w:rPr>
        <w:t> </w:t>
      </w:r>
      <w:r>
        <w:rPr>
          <w:color w:val="231F20"/>
        </w:rPr>
        <w:t>enmarcan</w:t>
      </w:r>
      <w:r>
        <w:rPr>
          <w:color w:val="231F20"/>
          <w:spacing w:val="-12"/>
        </w:rPr>
        <w:t> </w:t>
      </w:r>
      <w:r>
        <w:rPr>
          <w:color w:val="231F20"/>
        </w:rPr>
        <w:t>la</w:t>
      </w:r>
      <w:r>
        <w:rPr>
          <w:color w:val="231F20"/>
          <w:spacing w:val="26"/>
        </w:rPr>
        <w:t> </w:t>
      </w:r>
      <w:r>
        <w:rPr>
          <w:color w:val="231F20"/>
        </w:rPr>
        <w:t>temporalidad del Noriano, e indican condiciones paleoambientales</w:t>
      </w:r>
      <w:r>
        <w:rPr>
          <w:color w:val="231F20"/>
          <w:spacing w:val="80"/>
        </w:rPr>
        <w:t> </w:t>
      </w:r>
      <w:r>
        <w:rPr>
          <w:color w:val="231F20"/>
        </w:rPr>
        <w:t>de</w:t>
      </w:r>
      <w:r>
        <w:rPr>
          <w:color w:val="231F20"/>
          <w:spacing w:val="-13"/>
        </w:rPr>
        <w:t> </w:t>
      </w:r>
      <w:r>
        <w:rPr>
          <w:color w:val="231F20"/>
        </w:rPr>
        <w:t>la</w:t>
      </w:r>
      <w:r>
        <w:rPr>
          <w:color w:val="231F20"/>
          <w:spacing w:val="-12"/>
        </w:rPr>
        <w:t> </w:t>
      </w:r>
      <w:r>
        <w:rPr>
          <w:color w:val="231F20"/>
        </w:rPr>
        <w:t>sucesión</w:t>
      </w:r>
      <w:r>
        <w:rPr>
          <w:color w:val="231F20"/>
          <w:spacing w:val="-13"/>
        </w:rPr>
        <w:t> </w:t>
      </w:r>
      <w:r>
        <w:rPr>
          <w:color w:val="231F20"/>
        </w:rPr>
        <w:t>calcárea</w:t>
      </w:r>
      <w:r>
        <w:rPr>
          <w:color w:val="231F20"/>
          <w:spacing w:val="-12"/>
        </w:rPr>
        <w:t> </w:t>
      </w:r>
      <w:r>
        <w:rPr>
          <w:color w:val="231F20"/>
        </w:rPr>
        <w:t>del</w:t>
      </w:r>
      <w:r>
        <w:rPr>
          <w:color w:val="231F20"/>
          <w:spacing w:val="-13"/>
        </w:rPr>
        <w:t> </w:t>
      </w:r>
      <w:r>
        <w:rPr>
          <w:color w:val="231F20"/>
        </w:rPr>
        <w:t>Triásico</w:t>
      </w:r>
      <w:r>
        <w:rPr>
          <w:color w:val="231F20"/>
          <w:spacing w:val="-12"/>
        </w:rPr>
        <w:t> </w:t>
      </w:r>
      <w:r>
        <w:rPr>
          <w:color w:val="231F20"/>
        </w:rPr>
        <w:t>Superior</w:t>
      </w:r>
      <w:r>
        <w:rPr>
          <w:color w:val="231F20"/>
          <w:spacing w:val="-13"/>
        </w:rPr>
        <w:t> </w:t>
      </w:r>
      <w:r>
        <w:rPr>
          <w:color w:val="231F20"/>
        </w:rPr>
        <w:t>producto</w:t>
      </w:r>
      <w:r>
        <w:rPr>
          <w:color w:val="231F20"/>
          <w:spacing w:val="-12"/>
        </w:rPr>
        <w:t> </w:t>
      </w:r>
      <w:r>
        <w:rPr>
          <w:color w:val="231F20"/>
        </w:rPr>
        <w:t>de una sedimentación en una plataforma de mar epicontinental relacionada a un ambiente tectónico de procesos extensionales de </w:t>
      </w:r>
      <w:r>
        <w:rPr>
          <w:i/>
          <w:color w:val="231F20"/>
        </w:rPr>
        <w:t>rift</w:t>
      </w:r>
      <w:r>
        <w:rPr>
          <w:color w:val="231F20"/>
        </w:rPr>
        <w:t>, condiciones favorables para</w:t>
      </w:r>
      <w:r>
        <w:rPr>
          <w:color w:val="231F20"/>
          <w:spacing w:val="-21"/>
        </w:rPr>
        <w:t> </w:t>
      </w:r>
      <w:r>
        <w:rPr>
          <w:color w:val="231F20"/>
        </w:rPr>
        <w:t>la</w:t>
      </w:r>
      <w:r>
        <w:rPr>
          <w:color w:val="231F20"/>
          <w:spacing w:val="-21"/>
        </w:rPr>
        <w:t> </w:t>
      </w:r>
      <w:r>
        <w:rPr>
          <w:color w:val="231F20"/>
        </w:rPr>
        <w:t>ingresión</w:t>
      </w:r>
      <w:r>
        <w:rPr>
          <w:color w:val="231F20"/>
          <w:spacing w:val="-20"/>
        </w:rPr>
        <w:t> </w:t>
      </w:r>
      <w:r>
        <w:rPr>
          <w:color w:val="231F20"/>
        </w:rPr>
        <w:t>marina</w:t>
      </w:r>
      <w:r>
        <w:rPr>
          <w:color w:val="231F20"/>
          <w:spacing w:val="-21"/>
        </w:rPr>
        <w:t> </w:t>
      </w:r>
      <w:r>
        <w:rPr>
          <w:color w:val="231F20"/>
        </w:rPr>
        <w:t>y</w:t>
      </w:r>
      <w:r>
        <w:rPr>
          <w:color w:val="231F20"/>
          <w:spacing w:val="11"/>
        </w:rPr>
        <w:t> </w:t>
      </w:r>
      <w:r>
        <w:rPr>
          <w:color w:val="231F20"/>
        </w:rPr>
        <w:t>el</w:t>
      </w:r>
      <w:r>
        <w:rPr>
          <w:color w:val="231F20"/>
          <w:spacing w:val="-21"/>
        </w:rPr>
        <w:t> </w:t>
      </w:r>
      <w:r>
        <w:rPr>
          <w:color w:val="231F20"/>
        </w:rPr>
        <w:t>hábitat</w:t>
      </w:r>
      <w:r>
        <w:rPr>
          <w:color w:val="231F20"/>
          <w:spacing w:val="-20"/>
        </w:rPr>
        <w:t> </w:t>
      </w:r>
      <w:r>
        <w:rPr>
          <w:color w:val="231F20"/>
        </w:rPr>
        <w:t>de</w:t>
      </w:r>
      <w:r>
        <w:rPr>
          <w:color w:val="231F20"/>
          <w:spacing w:val="-21"/>
        </w:rPr>
        <w:t> </w:t>
      </w:r>
      <w:r>
        <w:rPr>
          <w:color w:val="231F20"/>
        </w:rPr>
        <w:t>los</w:t>
      </w:r>
      <w:r>
        <w:rPr>
          <w:color w:val="231F20"/>
          <w:spacing w:val="-20"/>
        </w:rPr>
        <w:t> </w:t>
      </w:r>
      <w:r>
        <w:rPr>
          <w:color w:val="231F20"/>
          <w:spacing w:val="-2"/>
        </w:rPr>
        <w:t>cenoceratidos.</w:t>
      </w:r>
    </w:p>
    <w:p>
      <w:pPr>
        <w:pStyle w:val="BodyText"/>
        <w:spacing w:line="271" w:lineRule="auto" w:before="135"/>
        <w:ind w:left="219" w:right="695"/>
        <w:jc w:val="both"/>
      </w:pPr>
      <w:r>
        <w:rPr>
          <w:color w:val="231F20"/>
        </w:rPr>
        <w:t>El género </w:t>
      </w:r>
      <w:r>
        <w:rPr>
          <w:i/>
          <w:color w:val="231F20"/>
        </w:rPr>
        <w:t>Cenoceras </w:t>
      </w:r>
      <w:r>
        <w:rPr>
          <w:color w:val="231F20"/>
        </w:rPr>
        <w:t>Hyatt no ha sido descrito hasta el </w:t>
      </w:r>
      <w:r>
        <w:rPr>
          <w:color w:val="231F20"/>
          <w:spacing w:val="-4"/>
        </w:rPr>
        <w:t>momento</w:t>
      </w:r>
      <w:r>
        <w:rPr>
          <w:color w:val="231F20"/>
          <w:spacing w:val="-9"/>
        </w:rPr>
        <w:t> </w:t>
      </w:r>
      <w:r>
        <w:rPr>
          <w:color w:val="231F20"/>
          <w:spacing w:val="-4"/>
        </w:rPr>
        <w:t>para</w:t>
      </w:r>
      <w:r>
        <w:rPr>
          <w:color w:val="231F20"/>
          <w:spacing w:val="-8"/>
        </w:rPr>
        <w:t> </w:t>
      </w:r>
      <w:r>
        <w:rPr>
          <w:color w:val="231F20"/>
          <w:spacing w:val="-4"/>
        </w:rPr>
        <w:t>el</w:t>
      </w:r>
      <w:r>
        <w:rPr>
          <w:color w:val="231F20"/>
          <w:spacing w:val="-9"/>
        </w:rPr>
        <w:t> </w:t>
      </w:r>
      <w:r>
        <w:rPr>
          <w:color w:val="231F20"/>
          <w:spacing w:val="-4"/>
        </w:rPr>
        <w:t>Triásico,</w:t>
      </w:r>
      <w:r>
        <w:rPr>
          <w:color w:val="231F20"/>
          <w:spacing w:val="-8"/>
        </w:rPr>
        <w:t> </w:t>
      </w:r>
      <w:r>
        <w:rPr>
          <w:color w:val="231F20"/>
          <w:spacing w:val="-4"/>
        </w:rPr>
        <w:t>pero</w:t>
      </w:r>
      <w:r>
        <w:rPr>
          <w:color w:val="231F20"/>
          <w:spacing w:val="-9"/>
        </w:rPr>
        <w:t> </w:t>
      </w:r>
      <w:r>
        <w:rPr>
          <w:color w:val="231F20"/>
          <w:spacing w:val="-4"/>
        </w:rPr>
        <w:t>ya</w:t>
      </w:r>
      <w:r>
        <w:rPr>
          <w:color w:val="231F20"/>
          <w:spacing w:val="-8"/>
        </w:rPr>
        <w:t> </w:t>
      </w:r>
      <w:r>
        <w:rPr>
          <w:color w:val="231F20"/>
          <w:spacing w:val="-4"/>
        </w:rPr>
        <w:t>Parent</w:t>
      </w:r>
      <w:r>
        <w:rPr>
          <w:color w:val="231F20"/>
          <w:spacing w:val="-9"/>
        </w:rPr>
        <w:t> </w:t>
      </w:r>
      <w:r>
        <w:rPr>
          <w:color w:val="231F20"/>
          <w:spacing w:val="-4"/>
        </w:rPr>
        <w:t>&amp;</w:t>
      </w:r>
      <w:r>
        <w:rPr>
          <w:color w:val="231F20"/>
          <w:spacing w:val="-8"/>
        </w:rPr>
        <w:t> </w:t>
      </w:r>
      <w:r>
        <w:rPr>
          <w:color w:val="231F20"/>
          <w:spacing w:val="-4"/>
        </w:rPr>
        <w:t>Garrido(2015) </w:t>
      </w:r>
      <w:r>
        <w:rPr>
          <w:color w:val="231F20"/>
        </w:rPr>
        <w:t>describen</w:t>
      </w:r>
      <w:r>
        <w:rPr>
          <w:color w:val="231F20"/>
          <w:spacing w:val="40"/>
        </w:rPr>
        <w:t> </w:t>
      </w:r>
      <w:r>
        <w:rPr>
          <w:color w:val="231F20"/>
        </w:rPr>
        <w:t>la</w:t>
      </w:r>
      <w:r>
        <w:rPr>
          <w:color w:val="231F20"/>
          <w:spacing w:val="-5"/>
        </w:rPr>
        <w:t> </w:t>
      </w:r>
      <w:r>
        <w:rPr>
          <w:color w:val="231F20"/>
        </w:rPr>
        <w:t>ocurrencia</w:t>
      </w:r>
      <w:r>
        <w:rPr>
          <w:color w:val="231F20"/>
          <w:spacing w:val="-5"/>
        </w:rPr>
        <w:t> </w:t>
      </w:r>
      <w:r>
        <w:rPr>
          <w:color w:val="231F20"/>
        </w:rPr>
        <w:t>de</w:t>
      </w:r>
      <w:r>
        <w:rPr>
          <w:color w:val="231F20"/>
          <w:spacing w:val="-5"/>
        </w:rPr>
        <w:t> </w:t>
      </w:r>
      <w:r>
        <w:rPr>
          <w:color w:val="231F20"/>
        </w:rPr>
        <w:t>ejemplares</w:t>
      </w:r>
      <w:r>
        <w:rPr>
          <w:color w:val="231F20"/>
          <w:spacing w:val="-5"/>
        </w:rPr>
        <w:t> </w:t>
      </w:r>
      <w:r>
        <w:rPr>
          <w:color w:val="231F20"/>
        </w:rPr>
        <w:t>de</w:t>
      </w:r>
      <w:r>
        <w:rPr>
          <w:color w:val="231F20"/>
          <w:spacing w:val="-5"/>
        </w:rPr>
        <w:t> </w:t>
      </w:r>
      <w:r>
        <w:rPr>
          <w:i/>
          <w:color w:val="231F20"/>
        </w:rPr>
        <w:t>Cenoceras</w:t>
      </w:r>
      <w:r>
        <w:rPr>
          <w:i/>
          <w:color w:val="231F20"/>
          <w:spacing w:val="-5"/>
        </w:rPr>
        <w:t> </w:t>
      </w:r>
      <w:r>
        <w:rPr>
          <w:i/>
          <w:color w:val="231F20"/>
        </w:rPr>
        <w:t>sp. </w:t>
      </w:r>
      <w:r>
        <w:rPr>
          <w:color w:val="231F20"/>
        </w:rPr>
        <w:t>en el Jurásico Medio (Calloviano) de Argentina.</w:t>
      </w:r>
    </w:p>
    <w:p>
      <w:pPr>
        <w:pStyle w:val="BodyText"/>
        <w:spacing w:after="0" w:line="271" w:lineRule="auto"/>
        <w:jc w:val="both"/>
        <w:sectPr>
          <w:type w:val="continuous"/>
          <w:pgSz w:w="12260" w:h="15560"/>
          <w:pgMar w:header="373" w:footer="336" w:top="240" w:bottom="520" w:left="1275" w:right="708"/>
          <w:cols w:num="2" w:equalWidth="0">
            <w:col w:w="4745" w:space="131"/>
            <w:col w:w="5401"/>
          </w:cols>
        </w:sectPr>
      </w:pPr>
    </w:p>
    <w:p>
      <w:pPr>
        <w:pStyle w:val="BodyText"/>
        <w:spacing w:before="4"/>
        <w:rPr>
          <w:sz w:val="14"/>
        </w:rPr>
      </w:pPr>
    </w:p>
    <w:p>
      <w:pPr>
        <w:pStyle w:val="BodyText"/>
        <w:ind w:left="2458"/>
      </w:pPr>
      <w:r>
        <w:rPr/>
        <w:drawing>
          <wp:inline distT="0" distB="0" distL="0" distR="0">
            <wp:extent cx="3392753" cy="4773453"/>
            <wp:effectExtent l="0" t="0" r="0" b="0"/>
            <wp:docPr id="23" name="Image 23"/>
            <wp:cNvGraphicFramePr>
              <a:graphicFrameLocks/>
            </wp:cNvGraphicFramePr>
            <a:graphic>
              <a:graphicData uri="http://schemas.openxmlformats.org/drawingml/2006/picture">
                <pic:pic>
                  <pic:nvPicPr>
                    <pic:cNvPr id="23" name="Image 23"/>
                    <pic:cNvPicPr/>
                  </pic:nvPicPr>
                  <pic:blipFill>
                    <a:blip r:embed="rId20" cstate="print"/>
                    <a:stretch>
                      <a:fillRect/>
                    </a:stretch>
                  </pic:blipFill>
                  <pic:spPr>
                    <a:xfrm>
                      <a:off x="0" y="0"/>
                      <a:ext cx="3392753" cy="4773453"/>
                    </a:xfrm>
                    <a:prstGeom prst="rect">
                      <a:avLst/>
                    </a:prstGeom>
                  </pic:spPr>
                </pic:pic>
              </a:graphicData>
            </a:graphic>
          </wp:inline>
        </w:drawing>
      </w:r>
      <w:r>
        <w:rPr/>
      </w:r>
    </w:p>
    <w:p>
      <w:pPr>
        <w:spacing w:line="249" w:lineRule="auto" w:before="147"/>
        <w:ind w:left="219" w:right="694" w:firstLine="0"/>
        <w:jc w:val="both"/>
        <w:rPr>
          <w:sz w:val="16"/>
        </w:rPr>
      </w:pPr>
      <w:r>
        <w:rPr>
          <w:b/>
          <w:color w:val="231F20"/>
          <w:sz w:val="16"/>
        </w:rPr>
        <w:t>LÁMINA1. </w:t>
      </w:r>
      <w:r>
        <w:rPr>
          <w:i/>
          <w:color w:val="231F20"/>
          <w:sz w:val="16"/>
        </w:rPr>
        <w:t>Cenoceras ? sp. </w:t>
      </w:r>
      <w:r>
        <w:rPr>
          <w:color w:val="231F20"/>
          <w:sz w:val="16"/>
        </w:rPr>
        <w:t>Escala 10 mm. Fotografía 1: Vista lateral donde se destaca la parte umbilical del ejemplar pequeño. </w:t>
      </w:r>
      <w:r>
        <w:rPr>
          <w:b/>
          <w:color w:val="231F20"/>
          <w:sz w:val="16"/>
        </w:rPr>
        <w:t>Fotografía 2:</w:t>
      </w:r>
      <w:r>
        <w:rPr>
          <w:b/>
          <w:color w:val="231F20"/>
          <w:spacing w:val="40"/>
          <w:sz w:val="16"/>
        </w:rPr>
        <w:t> </w:t>
      </w:r>
      <w:r>
        <w:rPr>
          <w:color w:val="231F20"/>
          <w:sz w:val="16"/>
        </w:rPr>
        <w:t>Vista frontal del ejemplar pequeño dónde se aprecia la forma de la sección de la vuelta ligeramente aplanada y</w:t>
      </w:r>
      <w:r>
        <w:rPr>
          <w:color w:val="231F20"/>
          <w:spacing w:val="40"/>
          <w:sz w:val="16"/>
        </w:rPr>
        <w:t> </w:t>
      </w:r>
      <w:r>
        <w:rPr>
          <w:color w:val="231F20"/>
          <w:sz w:val="16"/>
        </w:rPr>
        <w:t>la posición aproximadamente</w:t>
      </w:r>
      <w:r>
        <w:rPr>
          <w:color w:val="231F20"/>
          <w:spacing w:val="40"/>
          <w:sz w:val="16"/>
        </w:rPr>
        <w:t> </w:t>
      </w:r>
      <w:r>
        <w:rPr>
          <w:color w:val="231F20"/>
          <w:sz w:val="16"/>
        </w:rPr>
        <w:t>central</w:t>
      </w:r>
      <w:r>
        <w:rPr>
          <w:color w:val="231F20"/>
          <w:spacing w:val="12"/>
          <w:sz w:val="16"/>
        </w:rPr>
        <w:t> </w:t>
      </w:r>
      <w:r>
        <w:rPr>
          <w:color w:val="231F20"/>
          <w:sz w:val="16"/>
        </w:rPr>
        <w:t>del</w:t>
      </w:r>
      <w:r>
        <w:rPr>
          <w:color w:val="231F20"/>
          <w:spacing w:val="12"/>
          <w:sz w:val="16"/>
        </w:rPr>
        <w:t> </w:t>
      </w:r>
      <w:r>
        <w:rPr>
          <w:color w:val="231F20"/>
          <w:sz w:val="16"/>
        </w:rPr>
        <w:t>sifón.</w:t>
      </w:r>
      <w:r>
        <w:rPr>
          <w:color w:val="231F20"/>
          <w:spacing w:val="12"/>
          <w:sz w:val="16"/>
        </w:rPr>
        <w:t> </w:t>
      </w:r>
      <w:r>
        <w:rPr>
          <w:b/>
          <w:color w:val="231F20"/>
          <w:sz w:val="16"/>
        </w:rPr>
        <w:t>Fotografía</w:t>
      </w:r>
      <w:r>
        <w:rPr>
          <w:b/>
          <w:color w:val="231F20"/>
          <w:spacing w:val="12"/>
          <w:sz w:val="16"/>
        </w:rPr>
        <w:t> </w:t>
      </w:r>
      <w:r>
        <w:rPr>
          <w:b/>
          <w:color w:val="231F20"/>
          <w:sz w:val="16"/>
        </w:rPr>
        <w:t>3:</w:t>
      </w:r>
      <w:r>
        <w:rPr>
          <w:color w:val="231F20"/>
          <w:sz w:val="16"/>
        </w:rPr>
        <w:t>Vista</w:t>
      </w:r>
      <w:r>
        <w:rPr>
          <w:color w:val="231F20"/>
          <w:spacing w:val="12"/>
          <w:sz w:val="16"/>
        </w:rPr>
        <w:t> </w:t>
      </w:r>
      <w:r>
        <w:rPr>
          <w:color w:val="231F20"/>
          <w:sz w:val="16"/>
        </w:rPr>
        <w:t>frontal</w:t>
      </w:r>
      <w:r>
        <w:rPr>
          <w:color w:val="231F20"/>
          <w:spacing w:val="12"/>
          <w:sz w:val="16"/>
        </w:rPr>
        <w:t> </w:t>
      </w:r>
      <w:r>
        <w:rPr>
          <w:color w:val="231F20"/>
          <w:sz w:val="16"/>
        </w:rPr>
        <w:t>del</w:t>
      </w:r>
      <w:r>
        <w:rPr>
          <w:color w:val="231F20"/>
          <w:spacing w:val="12"/>
          <w:sz w:val="16"/>
        </w:rPr>
        <w:t> </w:t>
      </w:r>
      <w:r>
        <w:rPr>
          <w:color w:val="231F20"/>
          <w:sz w:val="16"/>
        </w:rPr>
        <w:t>ejemplar</w:t>
      </w:r>
      <w:r>
        <w:rPr>
          <w:color w:val="231F20"/>
          <w:spacing w:val="12"/>
          <w:sz w:val="16"/>
        </w:rPr>
        <w:t> </w:t>
      </w:r>
      <w:r>
        <w:rPr>
          <w:color w:val="231F20"/>
          <w:sz w:val="16"/>
        </w:rPr>
        <w:t>mediano</w:t>
      </w:r>
      <w:r>
        <w:rPr>
          <w:color w:val="231F20"/>
          <w:spacing w:val="12"/>
          <w:sz w:val="16"/>
        </w:rPr>
        <w:t> </w:t>
      </w:r>
      <w:r>
        <w:rPr>
          <w:color w:val="231F20"/>
          <w:sz w:val="16"/>
        </w:rPr>
        <w:t>donde</w:t>
      </w:r>
      <w:r>
        <w:rPr>
          <w:color w:val="231F20"/>
          <w:spacing w:val="12"/>
          <w:sz w:val="16"/>
        </w:rPr>
        <w:t> </w:t>
      </w:r>
      <w:r>
        <w:rPr>
          <w:color w:val="231F20"/>
          <w:sz w:val="16"/>
        </w:rPr>
        <w:t>se</w:t>
      </w:r>
      <w:r>
        <w:rPr>
          <w:color w:val="231F20"/>
          <w:spacing w:val="12"/>
          <w:sz w:val="16"/>
        </w:rPr>
        <w:t> </w:t>
      </w:r>
      <w:r>
        <w:rPr>
          <w:color w:val="231F20"/>
          <w:sz w:val="16"/>
        </w:rPr>
        <w:t>alcanza</w:t>
      </w:r>
      <w:r>
        <w:rPr>
          <w:color w:val="231F20"/>
          <w:spacing w:val="12"/>
          <w:sz w:val="16"/>
        </w:rPr>
        <w:t> </w:t>
      </w:r>
      <w:r>
        <w:rPr>
          <w:color w:val="231F20"/>
          <w:sz w:val="16"/>
        </w:rPr>
        <w:t>a</w:t>
      </w:r>
      <w:r>
        <w:rPr>
          <w:color w:val="231F20"/>
          <w:spacing w:val="12"/>
          <w:sz w:val="16"/>
        </w:rPr>
        <w:t> </w:t>
      </w:r>
      <w:r>
        <w:rPr>
          <w:color w:val="231F20"/>
          <w:sz w:val="16"/>
        </w:rPr>
        <w:t>distinguir</w:t>
      </w:r>
      <w:r>
        <w:rPr>
          <w:color w:val="231F20"/>
          <w:spacing w:val="12"/>
          <w:sz w:val="16"/>
        </w:rPr>
        <w:t> </w:t>
      </w:r>
      <w:r>
        <w:rPr>
          <w:color w:val="231F20"/>
          <w:sz w:val="16"/>
        </w:rPr>
        <w:t>la</w:t>
      </w:r>
      <w:r>
        <w:rPr>
          <w:color w:val="231F20"/>
          <w:spacing w:val="12"/>
          <w:sz w:val="16"/>
        </w:rPr>
        <w:t> </w:t>
      </w:r>
      <w:r>
        <w:rPr>
          <w:color w:val="231F20"/>
          <w:sz w:val="16"/>
        </w:rPr>
        <w:t>marca</w:t>
      </w:r>
      <w:r>
        <w:rPr>
          <w:color w:val="231F20"/>
          <w:spacing w:val="12"/>
          <w:sz w:val="16"/>
        </w:rPr>
        <w:t> </w:t>
      </w:r>
      <w:r>
        <w:rPr>
          <w:color w:val="231F20"/>
          <w:sz w:val="16"/>
        </w:rPr>
        <w:t>de</w:t>
      </w:r>
      <w:r>
        <w:rPr>
          <w:color w:val="231F20"/>
          <w:spacing w:val="12"/>
          <w:sz w:val="16"/>
        </w:rPr>
        <w:t> </w:t>
      </w:r>
      <w:r>
        <w:rPr>
          <w:color w:val="231F20"/>
          <w:sz w:val="16"/>
        </w:rPr>
        <w:t>sutura.</w:t>
      </w:r>
      <w:r>
        <w:rPr>
          <w:color w:val="231F20"/>
          <w:spacing w:val="13"/>
          <w:sz w:val="16"/>
        </w:rPr>
        <w:t> </w:t>
      </w:r>
      <w:r>
        <w:rPr>
          <w:b/>
          <w:color w:val="231F20"/>
          <w:sz w:val="16"/>
        </w:rPr>
        <w:t>Fotografía</w:t>
      </w:r>
      <w:r>
        <w:rPr>
          <w:b/>
          <w:color w:val="231F20"/>
          <w:spacing w:val="12"/>
          <w:sz w:val="16"/>
        </w:rPr>
        <w:t> </w:t>
      </w:r>
      <w:r>
        <w:rPr>
          <w:b/>
          <w:color w:val="231F20"/>
          <w:sz w:val="16"/>
        </w:rPr>
        <w:t>4:</w:t>
      </w:r>
      <w:r>
        <w:rPr>
          <w:color w:val="231F20"/>
          <w:sz w:val="16"/>
        </w:rPr>
        <w:t>Vista</w:t>
      </w:r>
      <w:r>
        <w:rPr>
          <w:color w:val="231F20"/>
          <w:spacing w:val="12"/>
          <w:sz w:val="16"/>
        </w:rPr>
        <w:t> </w:t>
      </w:r>
      <w:r>
        <w:rPr>
          <w:color w:val="231F20"/>
          <w:sz w:val="16"/>
        </w:rPr>
        <w:t>lateral</w:t>
      </w:r>
      <w:r>
        <w:rPr>
          <w:color w:val="231F20"/>
          <w:spacing w:val="40"/>
          <w:sz w:val="16"/>
        </w:rPr>
        <w:t> </w:t>
      </w:r>
      <w:r>
        <w:rPr>
          <w:color w:val="231F20"/>
          <w:sz w:val="16"/>
        </w:rPr>
        <w:t>del contorno del ejemplar mediano. </w:t>
      </w:r>
      <w:r>
        <w:rPr>
          <w:b/>
          <w:color w:val="231F20"/>
          <w:sz w:val="16"/>
        </w:rPr>
        <w:t>Fotografías 5 y 6: </w:t>
      </w:r>
      <w:r>
        <w:rPr>
          <w:color w:val="231F20"/>
          <w:sz w:val="16"/>
        </w:rPr>
        <w:t>Vistas lateral e inclinada superior de la línea de sutura en el fragmento del ejemplar mas</w:t>
      </w:r>
      <w:r>
        <w:rPr>
          <w:color w:val="231F20"/>
          <w:spacing w:val="40"/>
          <w:sz w:val="16"/>
        </w:rPr>
        <w:t> </w:t>
      </w:r>
      <w:r>
        <w:rPr>
          <w:color w:val="231F20"/>
          <w:sz w:val="16"/>
        </w:rPr>
        <w:t>grande, también se observa la parte umbilical.</w:t>
      </w:r>
    </w:p>
    <w:p>
      <w:pPr>
        <w:spacing w:after="0" w:line="249" w:lineRule="auto"/>
        <w:jc w:val="both"/>
        <w:rPr>
          <w:sz w:val="16"/>
        </w:rPr>
        <w:sectPr>
          <w:type w:val="continuous"/>
          <w:pgSz w:w="12260" w:h="15560"/>
          <w:pgMar w:header="373" w:footer="336" w:top="240" w:bottom="520" w:left="1275" w:right="708"/>
        </w:sectPr>
      </w:pPr>
    </w:p>
    <w:p>
      <w:pPr>
        <w:pStyle w:val="BodyText"/>
        <w:spacing w:before="68"/>
      </w:pPr>
    </w:p>
    <w:p>
      <w:pPr>
        <w:pStyle w:val="BodyText"/>
        <w:spacing w:after="0"/>
        <w:sectPr>
          <w:pgSz w:w="12260" w:h="15560"/>
          <w:pgMar w:header="307" w:footer="336" w:top="800" w:bottom="520" w:left="1275" w:right="708"/>
        </w:sectPr>
      </w:pPr>
    </w:p>
    <w:p>
      <w:pPr>
        <w:pStyle w:val="BodyText"/>
        <w:spacing w:line="254" w:lineRule="auto" w:before="91"/>
        <w:ind w:left="162" w:right="38"/>
        <w:jc w:val="both"/>
      </w:pPr>
      <w:r>
        <w:rPr>
          <w:color w:val="231F20"/>
        </w:rPr>
        <w:t>De forma general, desde su aparición en el Paleozoico hasta la actualidad, los nautiloideos tuvieron pocas variaciones morfológicas a través de los linajes, lo que hace que la sistemática de esta subclase de cefalópodos sea compleja. Para la actualidad el género </w:t>
      </w:r>
      <w:r>
        <w:rPr>
          <w:i/>
          <w:color w:val="231F20"/>
        </w:rPr>
        <w:t>Nautilus </w:t>
      </w:r>
      <w:r>
        <w:rPr>
          <w:color w:val="231F20"/>
        </w:rPr>
        <w:t>constituye un verdadero fósil viviente, utilizado para entender los nautiloideos antiguos.</w:t>
      </w:r>
    </w:p>
    <w:p>
      <w:pPr>
        <w:pStyle w:val="BodyText"/>
        <w:spacing w:before="173"/>
      </w:pPr>
    </w:p>
    <w:p>
      <w:pPr>
        <w:pStyle w:val="Heading1"/>
        <w:jc w:val="both"/>
      </w:pPr>
      <w:r>
        <w:rPr>
          <w:color w:val="231F20"/>
          <w:spacing w:val="-2"/>
        </w:rPr>
        <w:t>AGRADECIMIENTOS</w:t>
      </w:r>
    </w:p>
    <w:p>
      <w:pPr>
        <w:pStyle w:val="BodyText"/>
        <w:spacing w:line="254" w:lineRule="auto" w:before="184"/>
        <w:ind w:left="162" w:right="38"/>
        <w:jc w:val="both"/>
      </w:pPr>
      <w:r>
        <w:rPr>
          <w:color w:val="231F20"/>
        </w:rPr>
        <w:t>Agradezco la colaboración al profesor Pedro Calixto Patarroyo del Departamento de Geociencias de la Universidad Nacional de Colombia Sede Bogotá,</w:t>
      </w:r>
      <w:r>
        <w:rPr>
          <w:color w:val="231F20"/>
          <w:spacing w:val="80"/>
          <w:w w:val="150"/>
        </w:rPr>
        <w:t> </w:t>
      </w:r>
      <w:r>
        <w:rPr>
          <w:color w:val="231F20"/>
        </w:rPr>
        <w:t>quién</w:t>
      </w:r>
      <w:r>
        <w:rPr>
          <w:color w:val="231F20"/>
          <w:spacing w:val="40"/>
        </w:rPr>
        <w:t> </w:t>
      </w:r>
      <w:r>
        <w:rPr>
          <w:color w:val="231F20"/>
        </w:rPr>
        <w:t>me</w:t>
      </w:r>
      <w:r>
        <w:rPr>
          <w:color w:val="231F20"/>
          <w:spacing w:val="40"/>
        </w:rPr>
        <w:t> </w:t>
      </w:r>
      <w:r>
        <w:rPr>
          <w:color w:val="231F20"/>
        </w:rPr>
        <w:t>brindo</w:t>
      </w:r>
      <w:r>
        <w:rPr>
          <w:color w:val="231F20"/>
          <w:spacing w:val="40"/>
        </w:rPr>
        <w:t> </w:t>
      </w:r>
      <w:r>
        <w:rPr>
          <w:color w:val="231F20"/>
        </w:rPr>
        <w:t>su</w:t>
      </w:r>
      <w:r>
        <w:rPr>
          <w:color w:val="231F20"/>
          <w:spacing w:val="40"/>
        </w:rPr>
        <w:t> </w:t>
      </w:r>
      <w:r>
        <w:rPr>
          <w:color w:val="231F20"/>
        </w:rPr>
        <w:t>orientación</w:t>
      </w:r>
      <w:r>
        <w:rPr>
          <w:color w:val="231F20"/>
          <w:spacing w:val="40"/>
        </w:rPr>
        <w:t> </w:t>
      </w:r>
      <w:r>
        <w:rPr>
          <w:color w:val="231F20"/>
        </w:rPr>
        <w:t>para</w:t>
      </w:r>
      <w:r>
        <w:rPr>
          <w:color w:val="231F20"/>
          <w:spacing w:val="40"/>
        </w:rPr>
        <w:t> </w:t>
      </w:r>
      <w:r>
        <w:rPr>
          <w:color w:val="231F20"/>
        </w:rPr>
        <w:t>el</w:t>
      </w:r>
      <w:r>
        <w:rPr>
          <w:color w:val="231F20"/>
          <w:spacing w:val="40"/>
        </w:rPr>
        <w:t> </w:t>
      </w:r>
      <w:r>
        <w:rPr>
          <w:color w:val="231F20"/>
        </w:rPr>
        <w:t>desarrollo</w:t>
      </w:r>
      <w:r>
        <w:rPr>
          <w:color w:val="231F20"/>
          <w:spacing w:val="80"/>
        </w:rPr>
        <w:t> </w:t>
      </w:r>
      <w:r>
        <w:rPr>
          <w:color w:val="231F20"/>
        </w:rPr>
        <w:t>de la investigación, así como el apoyo académico y bibliográfico.</w:t>
      </w:r>
      <w:r>
        <w:rPr>
          <w:color w:val="231F20"/>
          <w:spacing w:val="38"/>
        </w:rPr>
        <w:t> </w:t>
      </w:r>
      <w:r>
        <w:rPr>
          <w:color w:val="231F20"/>
        </w:rPr>
        <w:t>También,</w:t>
      </w:r>
      <w:r>
        <w:rPr>
          <w:color w:val="231F20"/>
          <w:spacing w:val="38"/>
        </w:rPr>
        <w:t> </w:t>
      </w:r>
      <w:r>
        <w:rPr>
          <w:color w:val="231F20"/>
        </w:rPr>
        <w:t>importante</w:t>
      </w:r>
      <w:r>
        <w:rPr>
          <w:color w:val="231F20"/>
          <w:spacing w:val="38"/>
        </w:rPr>
        <w:t> </w:t>
      </w:r>
      <w:r>
        <w:rPr>
          <w:color w:val="231F20"/>
        </w:rPr>
        <w:t>el</w:t>
      </w:r>
      <w:r>
        <w:rPr>
          <w:color w:val="231F20"/>
          <w:spacing w:val="38"/>
        </w:rPr>
        <w:t> </w:t>
      </w:r>
      <w:r>
        <w:rPr>
          <w:color w:val="231F20"/>
        </w:rPr>
        <w:t>agradecimiento a mis compañeros de campo Oscar Torres y Wolfgang Barbosa, con quienes se recolectó el material fósil.</w:t>
      </w:r>
    </w:p>
    <w:p>
      <w:pPr>
        <w:pStyle w:val="BodyText"/>
        <w:spacing w:before="174"/>
      </w:pPr>
    </w:p>
    <w:p>
      <w:pPr>
        <w:pStyle w:val="Heading1"/>
        <w:jc w:val="both"/>
      </w:pPr>
      <w:r>
        <w:rPr>
          <w:color w:val="231F20"/>
          <w:spacing w:val="-2"/>
        </w:rPr>
        <w:t>BIBLIOGRAFÍA</w:t>
      </w:r>
    </w:p>
    <w:p>
      <w:pPr>
        <w:spacing w:line="256" w:lineRule="auto" w:before="179"/>
        <w:ind w:left="446" w:right="38" w:hanging="284"/>
        <w:jc w:val="both"/>
        <w:rPr>
          <w:sz w:val="18"/>
        </w:rPr>
      </w:pPr>
      <w:r>
        <w:rPr>
          <w:color w:val="231F20"/>
          <w:sz w:val="18"/>
        </w:rPr>
        <w:t>Anderson, F. M. (1928): Notes on the lower tertiary deposits of</w:t>
      </w:r>
      <w:r>
        <w:rPr>
          <w:color w:val="231F20"/>
          <w:spacing w:val="-1"/>
          <w:sz w:val="18"/>
        </w:rPr>
        <w:t> </w:t>
      </w:r>
      <w:r>
        <w:rPr>
          <w:color w:val="231F20"/>
          <w:sz w:val="18"/>
        </w:rPr>
        <w:t>Colombia</w:t>
      </w:r>
      <w:r>
        <w:rPr>
          <w:color w:val="231F20"/>
          <w:spacing w:val="-1"/>
          <w:sz w:val="18"/>
        </w:rPr>
        <w:t> </w:t>
      </w:r>
      <w:r>
        <w:rPr>
          <w:color w:val="231F20"/>
          <w:sz w:val="18"/>
        </w:rPr>
        <w:t>and</w:t>
      </w:r>
      <w:r>
        <w:rPr>
          <w:color w:val="231F20"/>
          <w:spacing w:val="-1"/>
          <w:sz w:val="18"/>
        </w:rPr>
        <w:t> </w:t>
      </w:r>
      <w:r>
        <w:rPr>
          <w:color w:val="231F20"/>
          <w:sz w:val="18"/>
        </w:rPr>
        <w:t>their</w:t>
      </w:r>
      <w:r>
        <w:rPr>
          <w:color w:val="231F20"/>
          <w:spacing w:val="-1"/>
          <w:sz w:val="18"/>
        </w:rPr>
        <w:t> </w:t>
      </w:r>
      <w:r>
        <w:rPr>
          <w:color w:val="231F20"/>
          <w:sz w:val="18"/>
        </w:rPr>
        <w:t>molluscan</w:t>
      </w:r>
      <w:r>
        <w:rPr>
          <w:color w:val="231F20"/>
          <w:spacing w:val="-1"/>
          <w:sz w:val="18"/>
        </w:rPr>
        <w:t> </w:t>
      </w:r>
      <w:r>
        <w:rPr>
          <w:color w:val="231F20"/>
          <w:sz w:val="18"/>
        </w:rPr>
        <w:t>and</w:t>
      </w:r>
      <w:r>
        <w:rPr>
          <w:color w:val="231F20"/>
          <w:spacing w:val="-1"/>
          <w:sz w:val="18"/>
        </w:rPr>
        <w:t> </w:t>
      </w:r>
      <w:r>
        <w:rPr>
          <w:color w:val="231F20"/>
          <w:sz w:val="18"/>
        </w:rPr>
        <w:t>foraminiferal</w:t>
      </w:r>
      <w:r>
        <w:rPr>
          <w:color w:val="231F20"/>
          <w:spacing w:val="-1"/>
          <w:sz w:val="18"/>
        </w:rPr>
        <w:t> </w:t>
      </w:r>
      <w:r>
        <w:rPr>
          <w:color w:val="231F20"/>
          <w:sz w:val="18"/>
        </w:rPr>
        <w:t>fauna, Proceedings</w:t>
      </w:r>
      <w:r>
        <w:rPr>
          <w:color w:val="231F20"/>
          <w:spacing w:val="65"/>
          <w:sz w:val="18"/>
        </w:rPr>
        <w:t> </w:t>
      </w:r>
      <w:r>
        <w:rPr>
          <w:color w:val="231F20"/>
          <w:sz w:val="18"/>
        </w:rPr>
        <w:t>of</w:t>
      </w:r>
      <w:r>
        <w:rPr>
          <w:color w:val="231F20"/>
          <w:spacing w:val="65"/>
          <w:sz w:val="18"/>
        </w:rPr>
        <w:t> </w:t>
      </w:r>
      <w:r>
        <w:rPr>
          <w:color w:val="231F20"/>
          <w:sz w:val="18"/>
        </w:rPr>
        <w:t>the</w:t>
      </w:r>
      <w:r>
        <w:rPr>
          <w:color w:val="231F20"/>
          <w:spacing w:val="65"/>
          <w:sz w:val="18"/>
        </w:rPr>
        <w:t> </w:t>
      </w:r>
      <w:r>
        <w:rPr>
          <w:color w:val="231F20"/>
          <w:sz w:val="18"/>
        </w:rPr>
        <w:t>California</w:t>
      </w:r>
      <w:r>
        <w:rPr>
          <w:color w:val="231F20"/>
          <w:spacing w:val="65"/>
          <w:sz w:val="18"/>
        </w:rPr>
        <w:t> </w:t>
      </w:r>
      <w:r>
        <w:rPr>
          <w:color w:val="231F20"/>
          <w:sz w:val="18"/>
        </w:rPr>
        <w:t>Academy</w:t>
      </w:r>
      <w:r>
        <w:rPr>
          <w:color w:val="231F20"/>
          <w:spacing w:val="65"/>
          <w:sz w:val="18"/>
        </w:rPr>
        <w:t> </w:t>
      </w:r>
      <w:r>
        <w:rPr>
          <w:color w:val="231F20"/>
          <w:sz w:val="18"/>
        </w:rPr>
        <w:t>of</w:t>
      </w:r>
      <w:r>
        <w:rPr>
          <w:color w:val="231F20"/>
          <w:spacing w:val="65"/>
          <w:sz w:val="18"/>
        </w:rPr>
        <w:t> </w:t>
      </w:r>
      <w:r>
        <w:rPr>
          <w:color w:val="231F20"/>
          <w:sz w:val="18"/>
        </w:rPr>
        <w:t>Sciences, 4 Series Vol. XVII, Nº 1. pp. 1-29, plate 1, 11 Figures. </w:t>
      </w:r>
      <w:r>
        <w:rPr>
          <w:color w:val="231F20"/>
          <w:spacing w:val="-2"/>
          <w:sz w:val="18"/>
        </w:rPr>
        <w:t>California.</w:t>
      </w:r>
    </w:p>
    <w:p>
      <w:pPr>
        <w:spacing w:line="256" w:lineRule="auto" w:before="166"/>
        <w:ind w:left="446" w:right="38" w:hanging="284"/>
        <w:jc w:val="both"/>
        <w:rPr>
          <w:sz w:val="18"/>
        </w:rPr>
      </w:pPr>
      <w:r>
        <w:rPr>
          <w:color w:val="231F20"/>
          <w:sz w:val="18"/>
        </w:rPr>
        <w:t>Bardhan,</w:t>
      </w:r>
      <w:r>
        <w:rPr>
          <w:color w:val="231F20"/>
          <w:spacing w:val="24"/>
          <w:sz w:val="18"/>
        </w:rPr>
        <w:t> </w:t>
      </w:r>
      <w:r>
        <w:rPr>
          <w:color w:val="231F20"/>
          <w:sz w:val="18"/>
        </w:rPr>
        <w:t>S.</w:t>
      </w:r>
      <w:r>
        <w:rPr>
          <w:color w:val="231F20"/>
          <w:spacing w:val="24"/>
          <w:sz w:val="18"/>
        </w:rPr>
        <w:t> </w:t>
      </w:r>
      <w:r>
        <w:rPr>
          <w:color w:val="231F20"/>
          <w:sz w:val="18"/>
        </w:rPr>
        <w:t>&amp;</w:t>
      </w:r>
      <w:r>
        <w:rPr>
          <w:color w:val="231F20"/>
          <w:spacing w:val="24"/>
          <w:sz w:val="18"/>
        </w:rPr>
        <w:t> </w:t>
      </w:r>
      <w:r>
        <w:rPr>
          <w:color w:val="231F20"/>
          <w:sz w:val="18"/>
        </w:rPr>
        <w:t>Halder,</w:t>
      </w:r>
      <w:r>
        <w:rPr>
          <w:color w:val="231F20"/>
          <w:spacing w:val="24"/>
          <w:sz w:val="18"/>
        </w:rPr>
        <w:t> </w:t>
      </w:r>
      <w:r>
        <w:rPr>
          <w:color w:val="231F20"/>
          <w:sz w:val="18"/>
        </w:rPr>
        <w:t>K.</w:t>
      </w:r>
      <w:r>
        <w:rPr>
          <w:color w:val="231F20"/>
          <w:spacing w:val="24"/>
          <w:sz w:val="18"/>
        </w:rPr>
        <w:t> </w:t>
      </w:r>
      <w:r>
        <w:rPr>
          <w:color w:val="231F20"/>
          <w:sz w:val="18"/>
        </w:rPr>
        <w:t>(2000):</w:t>
      </w:r>
      <w:r>
        <w:rPr>
          <w:color w:val="231F20"/>
          <w:spacing w:val="24"/>
          <w:sz w:val="18"/>
        </w:rPr>
        <w:t> </w:t>
      </w:r>
      <w:r>
        <w:rPr>
          <w:color w:val="231F20"/>
          <w:sz w:val="18"/>
        </w:rPr>
        <w:t>Sudden</w:t>
      </w:r>
      <w:r>
        <w:rPr>
          <w:color w:val="231F20"/>
          <w:spacing w:val="24"/>
          <w:sz w:val="18"/>
        </w:rPr>
        <w:t> </w:t>
      </w:r>
      <w:r>
        <w:rPr>
          <w:color w:val="231F20"/>
          <w:sz w:val="18"/>
        </w:rPr>
        <w:t>origin</w:t>
      </w:r>
      <w:r>
        <w:rPr>
          <w:color w:val="231F20"/>
          <w:spacing w:val="24"/>
          <w:sz w:val="18"/>
        </w:rPr>
        <w:t> </w:t>
      </w:r>
      <w:r>
        <w:rPr>
          <w:color w:val="231F20"/>
          <w:sz w:val="18"/>
        </w:rPr>
        <w:t>of</w:t>
      </w:r>
      <w:r>
        <w:rPr>
          <w:color w:val="231F20"/>
          <w:spacing w:val="24"/>
          <w:sz w:val="18"/>
        </w:rPr>
        <w:t> </w:t>
      </w:r>
      <w:r>
        <w:rPr>
          <w:color w:val="231F20"/>
          <w:sz w:val="18"/>
        </w:rPr>
        <w:t>ribbing in Jurassic Paracenoceras (Nautiloidea) and its bearing</w:t>
      </w:r>
      <w:r>
        <w:rPr>
          <w:color w:val="231F20"/>
          <w:spacing w:val="80"/>
          <w:sz w:val="18"/>
        </w:rPr>
        <w:t> </w:t>
      </w:r>
      <w:r>
        <w:rPr>
          <w:color w:val="231F20"/>
          <w:sz w:val="18"/>
        </w:rPr>
        <w:t>on the evolution of ribbing in post-Triassic Nautiloids. Historical Biology, Nº 14.pp. 153-168.</w:t>
      </w:r>
    </w:p>
    <w:p>
      <w:pPr>
        <w:spacing w:line="256" w:lineRule="auto" w:before="167"/>
        <w:ind w:left="446" w:right="38" w:hanging="284"/>
        <w:jc w:val="both"/>
        <w:rPr>
          <w:sz w:val="18"/>
        </w:rPr>
      </w:pPr>
      <w:r>
        <w:rPr>
          <w:color w:val="231F20"/>
          <w:sz w:val="18"/>
        </w:rPr>
        <w:t>Baudouin, C., Delanoy, G., Moreno-Bedmar, J.A., Pictet, A., </w:t>
      </w:r>
      <w:r>
        <w:rPr>
          <w:color w:val="231F20"/>
          <w:spacing w:val="-2"/>
          <w:sz w:val="18"/>
        </w:rPr>
        <w:t>Vermeulen,</w:t>
      </w:r>
      <w:r>
        <w:rPr>
          <w:color w:val="231F20"/>
          <w:spacing w:val="-4"/>
          <w:sz w:val="18"/>
        </w:rPr>
        <w:t> </w:t>
      </w:r>
      <w:r>
        <w:rPr>
          <w:color w:val="231F20"/>
          <w:spacing w:val="-2"/>
          <w:sz w:val="18"/>
        </w:rPr>
        <w:t>J.,</w:t>
      </w:r>
      <w:r>
        <w:rPr>
          <w:color w:val="231F20"/>
          <w:spacing w:val="-3"/>
          <w:sz w:val="18"/>
        </w:rPr>
        <w:t> </w:t>
      </w:r>
      <w:r>
        <w:rPr>
          <w:color w:val="231F20"/>
          <w:spacing w:val="-2"/>
          <w:sz w:val="18"/>
        </w:rPr>
        <w:t>Conte,</w:t>
      </w:r>
      <w:r>
        <w:rPr>
          <w:color w:val="231F20"/>
          <w:spacing w:val="-3"/>
          <w:sz w:val="18"/>
        </w:rPr>
        <w:t> </w:t>
      </w:r>
      <w:r>
        <w:rPr>
          <w:color w:val="231F20"/>
          <w:spacing w:val="-2"/>
          <w:sz w:val="18"/>
        </w:rPr>
        <w:t>G.,</w:t>
      </w:r>
      <w:r>
        <w:rPr>
          <w:color w:val="231F20"/>
          <w:spacing w:val="-3"/>
          <w:sz w:val="18"/>
        </w:rPr>
        <w:t> </w:t>
      </w:r>
      <w:r>
        <w:rPr>
          <w:color w:val="231F20"/>
          <w:spacing w:val="-2"/>
          <w:sz w:val="18"/>
        </w:rPr>
        <w:t>Gonnet,</w:t>
      </w:r>
      <w:r>
        <w:rPr>
          <w:color w:val="231F20"/>
          <w:spacing w:val="-3"/>
          <w:sz w:val="18"/>
        </w:rPr>
        <w:t> </w:t>
      </w:r>
      <w:r>
        <w:rPr>
          <w:color w:val="231F20"/>
          <w:spacing w:val="-2"/>
          <w:sz w:val="18"/>
        </w:rPr>
        <w:t>R.,</w:t>
      </w:r>
      <w:r>
        <w:rPr>
          <w:color w:val="231F20"/>
          <w:spacing w:val="-3"/>
          <w:sz w:val="18"/>
        </w:rPr>
        <w:t> </w:t>
      </w:r>
      <w:r>
        <w:rPr>
          <w:color w:val="231F20"/>
          <w:spacing w:val="-2"/>
          <w:sz w:val="18"/>
        </w:rPr>
        <w:t>Boselli,</w:t>
      </w:r>
      <w:r>
        <w:rPr>
          <w:color w:val="231F20"/>
          <w:spacing w:val="-3"/>
          <w:sz w:val="18"/>
        </w:rPr>
        <w:t> </w:t>
      </w:r>
      <w:r>
        <w:rPr>
          <w:color w:val="231F20"/>
          <w:spacing w:val="-2"/>
          <w:sz w:val="18"/>
        </w:rPr>
        <w:t>P.</w:t>
      </w:r>
      <w:r>
        <w:rPr>
          <w:color w:val="231F20"/>
          <w:spacing w:val="-3"/>
          <w:sz w:val="18"/>
        </w:rPr>
        <w:t> </w:t>
      </w:r>
      <w:r>
        <w:rPr>
          <w:color w:val="231F20"/>
          <w:spacing w:val="-2"/>
          <w:sz w:val="18"/>
        </w:rPr>
        <w:t>&amp;</w:t>
      </w:r>
      <w:r>
        <w:rPr>
          <w:color w:val="231F20"/>
          <w:spacing w:val="-3"/>
          <w:sz w:val="18"/>
        </w:rPr>
        <w:t> </w:t>
      </w:r>
      <w:r>
        <w:rPr>
          <w:color w:val="231F20"/>
          <w:spacing w:val="-2"/>
          <w:sz w:val="18"/>
        </w:rPr>
        <w:t>Boselli,</w:t>
      </w:r>
    </w:p>
    <w:p>
      <w:pPr>
        <w:spacing w:line="256" w:lineRule="auto" w:before="0"/>
        <w:ind w:left="446" w:right="38" w:firstLine="0"/>
        <w:jc w:val="both"/>
        <w:rPr>
          <w:sz w:val="18"/>
        </w:rPr>
      </w:pPr>
      <w:r>
        <w:rPr>
          <w:color w:val="231F20"/>
          <w:sz w:val="18"/>
        </w:rPr>
        <w:t>M. (2016): Revision of the Early Cretaceous genera Heminautilus Spath, 1927, and Josanautilus Martínez &amp; Grauges,</w:t>
      </w:r>
      <w:r>
        <w:rPr>
          <w:color w:val="231F20"/>
          <w:spacing w:val="-7"/>
          <w:sz w:val="18"/>
        </w:rPr>
        <w:t> </w:t>
      </w:r>
      <w:r>
        <w:rPr>
          <w:color w:val="231F20"/>
          <w:sz w:val="18"/>
        </w:rPr>
        <w:t>2006</w:t>
      </w:r>
      <w:r>
        <w:rPr>
          <w:color w:val="231F20"/>
          <w:spacing w:val="-7"/>
          <w:sz w:val="18"/>
        </w:rPr>
        <w:t> </w:t>
      </w:r>
      <w:r>
        <w:rPr>
          <w:color w:val="231F20"/>
          <w:sz w:val="18"/>
        </w:rPr>
        <w:t>(Nautilida,</w:t>
      </w:r>
      <w:r>
        <w:rPr>
          <w:color w:val="231F20"/>
          <w:spacing w:val="-7"/>
          <w:sz w:val="18"/>
        </w:rPr>
        <w:t> </w:t>
      </w:r>
      <w:r>
        <w:rPr>
          <w:color w:val="231F20"/>
          <w:sz w:val="18"/>
        </w:rPr>
        <w:t>Cenoceratidae).-</w:t>
      </w:r>
      <w:r>
        <w:rPr>
          <w:color w:val="231F20"/>
          <w:spacing w:val="-7"/>
          <w:sz w:val="18"/>
        </w:rPr>
        <w:t> </w:t>
      </w:r>
      <w:r>
        <w:rPr>
          <w:color w:val="231F20"/>
          <w:sz w:val="18"/>
        </w:rPr>
        <w:t>Carnets</w:t>
      </w:r>
      <w:r>
        <w:rPr>
          <w:color w:val="231F20"/>
          <w:spacing w:val="-7"/>
          <w:sz w:val="18"/>
        </w:rPr>
        <w:t> </w:t>
      </w:r>
      <w:r>
        <w:rPr>
          <w:color w:val="231F20"/>
          <w:sz w:val="18"/>
        </w:rPr>
        <w:t>Geol., Madrid, vol. 16, Nº</w:t>
      </w:r>
      <w:r>
        <w:rPr>
          <w:color w:val="231F20"/>
          <w:spacing w:val="40"/>
          <w:sz w:val="18"/>
        </w:rPr>
        <w:t> </w:t>
      </w:r>
      <w:r>
        <w:rPr>
          <w:color w:val="231F20"/>
          <w:sz w:val="18"/>
        </w:rPr>
        <w:t>5. pp. 61-212.</w:t>
      </w:r>
    </w:p>
    <w:p>
      <w:pPr>
        <w:spacing w:line="256" w:lineRule="auto" w:before="165"/>
        <w:ind w:left="446" w:right="39" w:hanging="284"/>
        <w:jc w:val="both"/>
        <w:rPr>
          <w:sz w:val="18"/>
        </w:rPr>
      </w:pPr>
      <w:r>
        <w:rPr>
          <w:color w:val="231F20"/>
          <w:sz w:val="18"/>
        </w:rPr>
        <w:t>Branger,</w:t>
      </w:r>
      <w:r>
        <w:rPr>
          <w:color w:val="231F20"/>
          <w:spacing w:val="-8"/>
          <w:sz w:val="18"/>
        </w:rPr>
        <w:t> </w:t>
      </w:r>
      <w:r>
        <w:rPr>
          <w:color w:val="231F20"/>
          <w:sz w:val="18"/>
        </w:rPr>
        <w:t>P.</w:t>
      </w:r>
      <w:r>
        <w:rPr>
          <w:color w:val="231F20"/>
          <w:spacing w:val="-8"/>
          <w:sz w:val="18"/>
        </w:rPr>
        <w:t> </w:t>
      </w:r>
      <w:r>
        <w:rPr>
          <w:color w:val="231F20"/>
          <w:sz w:val="18"/>
        </w:rPr>
        <w:t>(2004):</w:t>
      </w:r>
      <w:r>
        <w:rPr>
          <w:color w:val="231F20"/>
          <w:spacing w:val="-8"/>
          <w:sz w:val="18"/>
        </w:rPr>
        <w:t> </w:t>
      </w:r>
      <w:r>
        <w:rPr>
          <w:color w:val="231F20"/>
          <w:sz w:val="18"/>
        </w:rPr>
        <w:t>Middle</w:t>
      </w:r>
      <w:r>
        <w:rPr>
          <w:color w:val="231F20"/>
          <w:spacing w:val="-8"/>
          <w:sz w:val="18"/>
        </w:rPr>
        <w:t> </w:t>
      </w:r>
      <w:r>
        <w:rPr>
          <w:color w:val="231F20"/>
          <w:sz w:val="18"/>
        </w:rPr>
        <w:t>Jurassic</w:t>
      </w:r>
      <w:r>
        <w:rPr>
          <w:color w:val="231F20"/>
          <w:spacing w:val="-8"/>
          <w:sz w:val="18"/>
        </w:rPr>
        <w:t> </w:t>
      </w:r>
      <w:r>
        <w:rPr>
          <w:color w:val="231F20"/>
          <w:sz w:val="18"/>
        </w:rPr>
        <w:t>Nautiloidea</w:t>
      </w:r>
      <w:r>
        <w:rPr>
          <w:color w:val="231F20"/>
          <w:spacing w:val="-8"/>
          <w:sz w:val="18"/>
        </w:rPr>
        <w:t> </w:t>
      </w:r>
      <w:r>
        <w:rPr>
          <w:color w:val="231F20"/>
          <w:sz w:val="18"/>
        </w:rPr>
        <w:t>from</w:t>
      </w:r>
      <w:r>
        <w:rPr>
          <w:color w:val="231F20"/>
          <w:spacing w:val="-8"/>
          <w:sz w:val="18"/>
        </w:rPr>
        <w:t> </w:t>
      </w:r>
      <w:r>
        <w:rPr>
          <w:color w:val="231F20"/>
          <w:sz w:val="18"/>
        </w:rPr>
        <w:t>Western France.Riv.</w:t>
      </w:r>
      <w:r>
        <w:rPr>
          <w:color w:val="231F20"/>
          <w:spacing w:val="-12"/>
          <w:sz w:val="18"/>
        </w:rPr>
        <w:t> </w:t>
      </w:r>
      <w:r>
        <w:rPr>
          <w:color w:val="231F20"/>
          <w:sz w:val="18"/>
        </w:rPr>
        <w:t>Italiana</w:t>
      </w:r>
      <w:r>
        <w:rPr>
          <w:color w:val="231F20"/>
          <w:spacing w:val="-11"/>
          <w:sz w:val="18"/>
        </w:rPr>
        <w:t> </w:t>
      </w:r>
      <w:r>
        <w:rPr>
          <w:color w:val="231F20"/>
          <w:sz w:val="18"/>
        </w:rPr>
        <w:t>Paleont.</w:t>
      </w:r>
      <w:r>
        <w:rPr>
          <w:color w:val="231F20"/>
          <w:spacing w:val="-11"/>
          <w:sz w:val="18"/>
        </w:rPr>
        <w:t> </w:t>
      </w:r>
      <w:r>
        <w:rPr>
          <w:color w:val="231F20"/>
          <w:sz w:val="18"/>
        </w:rPr>
        <w:t>Stratigr.</w:t>
      </w:r>
      <w:r>
        <w:rPr>
          <w:color w:val="231F20"/>
          <w:spacing w:val="-11"/>
          <w:sz w:val="18"/>
        </w:rPr>
        <w:t> </w:t>
      </w:r>
      <w:r>
        <w:rPr>
          <w:color w:val="231F20"/>
          <w:sz w:val="18"/>
        </w:rPr>
        <w:t>Nº</w:t>
      </w:r>
      <w:r>
        <w:rPr>
          <w:color w:val="231F20"/>
          <w:spacing w:val="-12"/>
          <w:sz w:val="18"/>
        </w:rPr>
        <w:t> </w:t>
      </w:r>
      <w:r>
        <w:rPr>
          <w:color w:val="231F20"/>
          <w:sz w:val="18"/>
        </w:rPr>
        <w:t>110:</w:t>
      </w:r>
      <w:r>
        <w:rPr>
          <w:color w:val="231F20"/>
          <w:spacing w:val="-11"/>
          <w:sz w:val="18"/>
        </w:rPr>
        <w:t> </w:t>
      </w:r>
      <w:r>
        <w:rPr>
          <w:color w:val="231F20"/>
          <w:sz w:val="18"/>
        </w:rPr>
        <w:t>pp.</w:t>
      </w:r>
      <w:r>
        <w:rPr>
          <w:color w:val="231F20"/>
          <w:spacing w:val="-11"/>
          <w:sz w:val="18"/>
        </w:rPr>
        <w:t> </w:t>
      </w:r>
      <w:r>
        <w:rPr>
          <w:color w:val="231F20"/>
          <w:sz w:val="18"/>
        </w:rPr>
        <w:t>141-149.</w:t>
      </w:r>
    </w:p>
    <w:p>
      <w:pPr>
        <w:spacing w:before="169"/>
        <w:ind w:left="162" w:right="0" w:firstLine="0"/>
        <w:jc w:val="both"/>
        <w:rPr>
          <w:sz w:val="18"/>
        </w:rPr>
      </w:pPr>
      <w:r>
        <w:rPr>
          <w:color w:val="231F20"/>
          <w:sz w:val="18"/>
        </w:rPr>
        <w:t>Bürgl,</w:t>
      </w:r>
      <w:r>
        <w:rPr>
          <w:color w:val="231F20"/>
          <w:spacing w:val="-4"/>
          <w:sz w:val="18"/>
        </w:rPr>
        <w:t> </w:t>
      </w:r>
      <w:r>
        <w:rPr>
          <w:color w:val="231F20"/>
          <w:sz w:val="18"/>
        </w:rPr>
        <w:t>H.</w:t>
      </w:r>
      <w:r>
        <w:rPr>
          <w:color w:val="231F20"/>
          <w:spacing w:val="-4"/>
          <w:sz w:val="18"/>
        </w:rPr>
        <w:t> </w:t>
      </w:r>
      <w:r>
        <w:rPr>
          <w:color w:val="231F20"/>
          <w:sz w:val="18"/>
        </w:rPr>
        <w:t>(1961):</w:t>
      </w:r>
      <w:r>
        <w:rPr>
          <w:color w:val="231F20"/>
          <w:spacing w:val="-4"/>
          <w:sz w:val="18"/>
        </w:rPr>
        <w:t> </w:t>
      </w:r>
      <w:r>
        <w:rPr>
          <w:color w:val="231F20"/>
          <w:sz w:val="18"/>
        </w:rPr>
        <w:t>Historia</w:t>
      </w:r>
      <w:r>
        <w:rPr>
          <w:color w:val="231F20"/>
          <w:spacing w:val="-4"/>
          <w:sz w:val="18"/>
        </w:rPr>
        <w:t> </w:t>
      </w:r>
      <w:r>
        <w:rPr>
          <w:color w:val="231F20"/>
          <w:sz w:val="18"/>
        </w:rPr>
        <w:t>geológica</w:t>
      </w:r>
      <w:r>
        <w:rPr>
          <w:color w:val="231F20"/>
          <w:spacing w:val="-4"/>
          <w:sz w:val="18"/>
        </w:rPr>
        <w:t> </w:t>
      </w:r>
      <w:r>
        <w:rPr>
          <w:color w:val="231F20"/>
          <w:sz w:val="18"/>
        </w:rPr>
        <w:t>de</w:t>
      </w:r>
      <w:r>
        <w:rPr>
          <w:color w:val="231F20"/>
          <w:spacing w:val="-4"/>
          <w:sz w:val="18"/>
        </w:rPr>
        <w:t> </w:t>
      </w:r>
      <w:r>
        <w:rPr>
          <w:color w:val="231F20"/>
          <w:sz w:val="18"/>
        </w:rPr>
        <w:t>Colombia.</w:t>
      </w:r>
      <w:r>
        <w:rPr>
          <w:color w:val="231F20"/>
          <w:spacing w:val="-4"/>
          <w:sz w:val="18"/>
        </w:rPr>
        <w:t> </w:t>
      </w:r>
      <w:r>
        <w:rPr>
          <w:color w:val="231F20"/>
          <w:sz w:val="18"/>
        </w:rPr>
        <w:t>Rev.</w:t>
      </w:r>
      <w:r>
        <w:rPr>
          <w:color w:val="231F20"/>
          <w:spacing w:val="-4"/>
          <w:sz w:val="18"/>
        </w:rPr>
        <w:t> Acad.</w:t>
      </w:r>
    </w:p>
    <w:p>
      <w:pPr>
        <w:spacing w:before="13"/>
        <w:ind w:left="446" w:right="0" w:firstLine="0"/>
        <w:jc w:val="left"/>
        <w:rPr>
          <w:sz w:val="18"/>
        </w:rPr>
      </w:pPr>
      <w:r>
        <w:rPr>
          <w:color w:val="231F20"/>
          <w:spacing w:val="-2"/>
          <w:sz w:val="18"/>
        </w:rPr>
        <w:t>Colomb.</w:t>
      </w:r>
      <w:r>
        <w:rPr>
          <w:color w:val="231F20"/>
          <w:spacing w:val="-7"/>
          <w:sz w:val="18"/>
        </w:rPr>
        <w:t> </w:t>
      </w:r>
      <w:r>
        <w:rPr>
          <w:color w:val="231F20"/>
          <w:spacing w:val="-2"/>
          <w:sz w:val="18"/>
        </w:rPr>
        <w:t>Cienc.</w:t>
      </w:r>
      <w:r>
        <w:rPr>
          <w:color w:val="231F20"/>
          <w:spacing w:val="-7"/>
          <w:sz w:val="18"/>
        </w:rPr>
        <w:t> </w:t>
      </w:r>
      <w:r>
        <w:rPr>
          <w:color w:val="231F20"/>
          <w:spacing w:val="-2"/>
          <w:sz w:val="18"/>
        </w:rPr>
        <w:t>Ex.</w:t>
      </w:r>
      <w:r>
        <w:rPr>
          <w:color w:val="231F20"/>
          <w:spacing w:val="-7"/>
          <w:sz w:val="18"/>
        </w:rPr>
        <w:t> </w:t>
      </w:r>
      <w:r>
        <w:rPr>
          <w:color w:val="231F20"/>
          <w:spacing w:val="-2"/>
          <w:sz w:val="18"/>
        </w:rPr>
        <w:t>Fis.</w:t>
      </w:r>
      <w:r>
        <w:rPr>
          <w:color w:val="231F20"/>
          <w:spacing w:val="-7"/>
          <w:sz w:val="18"/>
        </w:rPr>
        <w:t> </w:t>
      </w:r>
      <w:r>
        <w:rPr>
          <w:color w:val="231F20"/>
          <w:spacing w:val="-2"/>
          <w:sz w:val="18"/>
        </w:rPr>
        <w:t>Nat.,</w:t>
      </w:r>
      <w:r>
        <w:rPr>
          <w:color w:val="231F20"/>
          <w:spacing w:val="-7"/>
          <w:sz w:val="18"/>
        </w:rPr>
        <w:t> </w:t>
      </w:r>
      <w:r>
        <w:rPr>
          <w:color w:val="231F20"/>
          <w:spacing w:val="-2"/>
          <w:sz w:val="18"/>
        </w:rPr>
        <w:t>11</w:t>
      </w:r>
      <w:r>
        <w:rPr>
          <w:color w:val="231F20"/>
          <w:spacing w:val="-7"/>
          <w:sz w:val="18"/>
        </w:rPr>
        <w:t> </w:t>
      </w:r>
      <w:r>
        <w:rPr>
          <w:color w:val="231F20"/>
          <w:spacing w:val="-2"/>
          <w:sz w:val="18"/>
        </w:rPr>
        <w:t>(43):</w:t>
      </w:r>
      <w:r>
        <w:rPr>
          <w:color w:val="231F20"/>
          <w:spacing w:val="-6"/>
          <w:sz w:val="18"/>
        </w:rPr>
        <w:t> </w:t>
      </w:r>
      <w:r>
        <w:rPr>
          <w:color w:val="231F20"/>
          <w:spacing w:val="-2"/>
          <w:sz w:val="18"/>
        </w:rPr>
        <w:t>pp.138-</w:t>
      </w:r>
      <w:r>
        <w:rPr>
          <w:color w:val="231F20"/>
          <w:spacing w:val="-4"/>
          <w:sz w:val="18"/>
        </w:rPr>
        <w:t>191.</w:t>
      </w:r>
    </w:p>
    <w:p>
      <w:pPr>
        <w:spacing w:line="256" w:lineRule="auto" w:before="184"/>
        <w:ind w:left="446" w:right="38" w:hanging="284"/>
        <w:jc w:val="both"/>
        <w:rPr>
          <w:sz w:val="18"/>
        </w:rPr>
      </w:pPr>
      <w:r>
        <w:rPr>
          <w:color w:val="231F20"/>
          <w:sz w:val="18"/>
        </w:rPr>
        <w:t>Cecioni,G (1953). Contribución al conocimiento de los Nautiloideos- Eopaleozoicos argentinos. Parte I: Protocycloceratidae-Cyclostomiceratidae. Boletín del museo nacional de historia natural tomo Nº26. pp.1-60. Santiago de Chile.</w:t>
      </w:r>
    </w:p>
    <w:p>
      <w:pPr>
        <w:spacing w:line="256" w:lineRule="auto" w:before="166"/>
        <w:ind w:left="446" w:right="38" w:hanging="284"/>
        <w:jc w:val="both"/>
        <w:rPr>
          <w:sz w:val="18"/>
        </w:rPr>
      </w:pPr>
      <w:r>
        <w:rPr>
          <w:color w:val="231F20"/>
          <w:sz w:val="18"/>
        </w:rPr>
        <w:t>Cediel, F., Mojica J. &amp; Macia, C. (1980): Definición estratigráfica del Triásico de Colombia, Suramérica. Formaciones Luisa, Payandé y Saldaña. Newsletters on Stratigraphy, pp. 73-104.Berlín, Stuttgart.</w:t>
      </w:r>
    </w:p>
    <w:p>
      <w:pPr>
        <w:spacing w:line="254" w:lineRule="auto" w:before="165"/>
        <w:ind w:left="446" w:right="38" w:hanging="284"/>
        <w:jc w:val="both"/>
        <w:rPr>
          <w:sz w:val="18"/>
        </w:rPr>
      </w:pPr>
      <w:r>
        <w:rPr>
          <w:color w:val="231F20"/>
          <w:sz w:val="18"/>
        </w:rPr>
        <w:t>Cichowolski, M. (2003): The nautiloid genus Cymatoceras from</w:t>
      </w:r>
      <w:r>
        <w:rPr>
          <w:color w:val="231F20"/>
          <w:spacing w:val="-9"/>
          <w:sz w:val="18"/>
        </w:rPr>
        <w:t> </w:t>
      </w:r>
      <w:r>
        <w:rPr>
          <w:color w:val="231F20"/>
          <w:sz w:val="18"/>
        </w:rPr>
        <w:t>the</w:t>
      </w:r>
      <w:r>
        <w:rPr>
          <w:color w:val="231F20"/>
          <w:spacing w:val="-9"/>
          <w:sz w:val="18"/>
        </w:rPr>
        <w:t> </w:t>
      </w:r>
      <w:r>
        <w:rPr>
          <w:color w:val="231F20"/>
          <w:sz w:val="18"/>
        </w:rPr>
        <w:t>Cretaceous</w:t>
      </w:r>
      <w:r>
        <w:rPr>
          <w:color w:val="231F20"/>
          <w:spacing w:val="-9"/>
          <w:sz w:val="18"/>
        </w:rPr>
        <w:t> </w:t>
      </w:r>
      <w:r>
        <w:rPr>
          <w:color w:val="231F20"/>
          <w:sz w:val="18"/>
        </w:rPr>
        <w:t>of</w:t>
      </w:r>
      <w:r>
        <w:rPr>
          <w:color w:val="231F20"/>
          <w:spacing w:val="-9"/>
          <w:sz w:val="18"/>
        </w:rPr>
        <w:t> </w:t>
      </w:r>
      <w:r>
        <w:rPr>
          <w:color w:val="231F20"/>
          <w:sz w:val="18"/>
        </w:rPr>
        <w:t>the</w:t>
      </w:r>
      <w:r>
        <w:rPr>
          <w:color w:val="231F20"/>
          <w:spacing w:val="40"/>
          <w:sz w:val="18"/>
        </w:rPr>
        <w:t> </w:t>
      </w:r>
      <w:r>
        <w:rPr>
          <w:color w:val="231F20"/>
          <w:sz w:val="18"/>
        </w:rPr>
        <w:t>and</w:t>
      </w:r>
      <w:r>
        <w:rPr>
          <w:color w:val="231F20"/>
          <w:spacing w:val="-9"/>
          <w:sz w:val="18"/>
        </w:rPr>
        <w:t> </w:t>
      </w:r>
      <w:r>
        <w:rPr>
          <w:color w:val="231F20"/>
          <w:sz w:val="18"/>
        </w:rPr>
        <w:t>Austral</w:t>
      </w:r>
      <w:r>
        <w:rPr>
          <w:color w:val="231F20"/>
          <w:spacing w:val="-9"/>
          <w:sz w:val="18"/>
        </w:rPr>
        <w:t> </w:t>
      </w:r>
      <w:r>
        <w:rPr>
          <w:color w:val="231F20"/>
          <w:sz w:val="18"/>
        </w:rPr>
        <w:t>basins,</w:t>
      </w:r>
      <w:r>
        <w:rPr>
          <w:color w:val="231F20"/>
          <w:spacing w:val="-9"/>
          <w:sz w:val="18"/>
        </w:rPr>
        <w:t> </w:t>
      </w:r>
      <w:r>
        <w:rPr>
          <w:color w:val="231F20"/>
          <w:sz w:val="18"/>
        </w:rPr>
        <w:t>Argentina. Cretaceous Research Nº 24: pp. 375-390.</w:t>
      </w:r>
    </w:p>
    <w:p>
      <w:pPr>
        <w:spacing w:line="249" w:lineRule="auto" w:before="97"/>
        <w:ind w:left="446" w:right="751" w:hanging="284"/>
        <w:jc w:val="both"/>
        <w:rPr>
          <w:sz w:val="18"/>
        </w:rPr>
      </w:pPr>
      <w:r>
        <w:rPr/>
        <w:br w:type="column"/>
      </w:r>
      <w:r>
        <w:rPr>
          <w:color w:val="231F20"/>
          <w:sz w:val="18"/>
        </w:rPr>
        <w:t>Chichowolski, M., Mourgues, F.A. &amp; Pérez, E. (2004): El género</w:t>
      </w:r>
      <w:r>
        <w:rPr>
          <w:color w:val="231F20"/>
          <w:spacing w:val="-12"/>
          <w:sz w:val="18"/>
        </w:rPr>
        <w:t> </w:t>
      </w:r>
      <w:r>
        <w:rPr>
          <w:color w:val="231F20"/>
          <w:sz w:val="18"/>
        </w:rPr>
        <w:t>Cymatoceras</w:t>
      </w:r>
      <w:r>
        <w:rPr>
          <w:color w:val="231F20"/>
          <w:spacing w:val="-11"/>
          <w:sz w:val="18"/>
        </w:rPr>
        <w:t> </w:t>
      </w:r>
      <w:r>
        <w:rPr>
          <w:color w:val="231F20"/>
          <w:sz w:val="18"/>
        </w:rPr>
        <w:t>(Nautilida)</w:t>
      </w:r>
      <w:r>
        <w:rPr>
          <w:color w:val="231F20"/>
          <w:spacing w:val="-11"/>
          <w:sz w:val="18"/>
        </w:rPr>
        <w:t> </w:t>
      </w:r>
      <w:r>
        <w:rPr>
          <w:color w:val="231F20"/>
          <w:sz w:val="18"/>
        </w:rPr>
        <w:t>en</w:t>
      </w:r>
      <w:r>
        <w:rPr>
          <w:color w:val="231F20"/>
          <w:spacing w:val="-11"/>
          <w:sz w:val="18"/>
        </w:rPr>
        <w:t> </w:t>
      </w:r>
      <w:r>
        <w:rPr>
          <w:color w:val="231F20"/>
          <w:sz w:val="18"/>
        </w:rPr>
        <w:t>el</w:t>
      </w:r>
      <w:r>
        <w:rPr>
          <w:color w:val="231F20"/>
          <w:spacing w:val="-12"/>
          <w:sz w:val="18"/>
        </w:rPr>
        <w:t> </w:t>
      </w:r>
      <w:r>
        <w:rPr>
          <w:color w:val="231F20"/>
          <w:sz w:val="18"/>
        </w:rPr>
        <w:t>Cretácico</w:t>
      </w:r>
      <w:r>
        <w:rPr>
          <w:color w:val="231F20"/>
          <w:spacing w:val="-11"/>
          <w:sz w:val="18"/>
        </w:rPr>
        <w:t> </w:t>
      </w:r>
      <w:r>
        <w:rPr>
          <w:color w:val="231F20"/>
          <w:sz w:val="18"/>
        </w:rPr>
        <w:t>Inferior</w:t>
      </w:r>
      <w:r>
        <w:rPr>
          <w:color w:val="231F20"/>
          <w:spacing w:val="-11"/>
          <w:sz w:val="18"/>
        </w:rPr>
        <w:t> </w:t>
      </w:r>
      <w:r>
        <w:rPr>
          <w:color w:val="231F20"/>
          <w:sz w:val="18"/>
        </w:rPr>
        <w:t>de la Cuenca de Atacama, norte de Chile. Revista Geológica de Chile, Vol. 31, Nº 1.pp. 119-131, 4 Figs., 1 Lám.</w:t>
      </w:r>
    </w:p>
    <w:p>
      <w:pPr>
        <w:spacing w:before="140"/>
        <w:ind w:left="162" w:right="0" w:firstLine="0"/>
        <w:jc w:val="left"/>
        <w:rPr>
          <w:sz w:val="18"/>
        </w:rPr>
      </w:pPr>
      <w:r>
        <w:rPr>
          <w:color w:val="231F20"/>
          <w:spacing w:val="-2"/>
          <w:sz w:val="18"/>
        </w:rPr>
        <w:t>Durham,</w:t>
      </w:r>
      <w:r>
        <w:rPr>
          <w:color w:val="231F20"/>
          <w:spacing w:val="-3"/>
          <w:sz w:val="18"/>
        </w:rPr>
        <w:t> </w:t>
      </w:r>
      <w:r>
        <w:rPr>
          <w:color w:val="231F20"/>
          <w:spacing w:val="-2"/>
          <w:sz w:val="18"/>
        </w:rPr>
        <w:t>J.W.</w:t>
      </w:r>
      <w:r>
        <w:rPr>
          <w:color w:val="231F20"/>
          <w:spacing w:val="-3"/>
          <w:sz w:val="18"/>
        </w:rPr>
        <w:t> </w:t>
      </w:r>
      <w:r>
        <w:rPr>
          <w:color w:val="231F20"/>
          <w:spacing w:val="-2"/>
          <w:sz w:val="18"/>
        </w:rPr>
        <w:t>(1946): Upper</w:t>
      </w:r>
      <w:r>
        <w:rPr>
          <w:color w:val="231F20"/>
          <w:spacing w:val="-3"/>
          <w:sz w:val="18"/>
        </w:rPr>
        <w:t> </w:t>
      </w:r>
      <w:r>
        <w:rPr>
          <w:color w:val="231F20"/>
          <w:spacing w:val="-2"/>
          <w:sz w:val="18"/>
        </w:rPr>
        <w:t>Aptian nautiloids</w:t>
      </w:r>
      <w:r>
        <w:rPr>
          <w:color w:val="231F20"/>
          <w:spacing w:val="-3"/>
          <w:sz w:val="18"/>
        </w:rPr>
        <w:t> </w:t>
      </w:r>
      <w:r>
        <w:rPr>
          <w:color w:val="231F20"/>
          <w:spacing w:val="-2"/>
          <w:sz w:val="18"/>
        </w:rPr>
        <w:t>from Colombia.</w:t>
      </w:r>
    </w:p>
    <w:p>
      <w:pPr>
        <w:spacing w:before="8"/>
        <w:ind w:left="446" w:right="0" w:firstLine="0"/>
        <w:jc w:val="left"/>
        <w:rPr>
          <w:sz w:val="18"/>
        </w:rPr>
      </w:pPr>
      <w:r>
        <w:rPr>
          <w:color w:val="231F20"/>
          <w:sz w:val="18"/>
        </w:rPr>
        <w:t>Journal</w:t>
      </w:r>
      <w:r>
        <w:rPr>
          <w:color w:val="231F20"/>
          <w:spacing w:val="-6"/>
          <w:sz w:val="18"/>
        </w:rPr>
        <w:t> </w:t>
      </w:r>
      <w:r>
        <w:rPr>
          <w:color w:val="231F20"/>
          <w:sz w:val="18"/>
        </w:rPr>
        <w:t>of</w:t>
      </w:r>
      <w:r>
        <w:rPr>
          <w:color w:val="231F20"/>
          <w:spacing w:val="-6"/>
          <w:sz w:val="18"/>
        </w:rPr>
        <w:t> </w:t>
      </w:r>
      <w:r>
        <w:rPr>
          <w:color w:val="231F20"/>
          <w:sz w:val="18"/>
        </w:rPr>
        <w:t>Paleontology,</w:t>
      </w:r>
      <w:r>
        <w:rPr>
          <w:color w:val="231F20"/>
          <w:spacing w:val="-6"/>
          <w:sz w:val="18"/>
        </w:rPr>
        <w:t> </w:t>
      </w:r>
      <w:r>
        <w:rPr>
          <w:color w:val="231F20"/>
          <w:sz w:val="18"/>
        </w:rPr>
        <w:t>Nº</w:t>
      </w:r>
      <w:r>
        <w:rPr>
          <w:color w:val="231F20"/>
          <w:spacing w:val="-6"/>
          <w:sz w:val="18"/>
        </w:rPr>
        <w:t> </w:t>
      </w:r>
      <w:r>
        <w:rPr>
          <w:color w:val="231F20"/>
          <w:sz w:val="18"/>
        </w:rPr>
        <w:t>20.</w:t>
      </w:r>
      <w:r>
        <w:rPr>
          <w:color w:val="231F20"/>
          <w:spacing w:val="-5"/>
          <w:sz w:val="18"/>
        </w:rPr>
        <w:t> </w:t>
      </w:r>
      <w:r>
        <w:rPr>
          <w:color w:val="231F20"/>
          <w:spacing w:val="-2"/>
          <w:sz w:val="18"/>
        </w:rPr>
        <w:t>pp.428–434.</w:t>
      </w:r>
    </w:p>
    <w:p>
      <w:pPr>
        <w:spacing w:line="249" w:lineRule="auto" w:before="150"/>
        <w:ind w:left="446" w:right="751" w:hanging="284"/>
        <w:jc w:val="both"/>
        <w:rPr>
          <w:sz w:val="18"/>
        </w:rPr>
      </w:pPr>
      <w:r>
        <w:rPr>
          <w:color w:val="231F20"/>
          <w:sz w:val="18"/>
        </w:rPr>
        <w:t>Dzik,</w:t>
      </w:r>
      <w:r>
        <w:rPr>
          <w:color w:val="231F20"/>
          <w:spacing w:val="-1"/>
          <w:sz w:val="18"/>
        </w:rPr>
        <w:t> </w:t>
      </w:r>
      <w:r>
        <w:rPr>
          <w:color w:val="231F20"/>
          <w:sz w:val="18"/>
        </w:rPr>
        <w:t>J.</w:t>
      </w:r>
      <w:r>
        <w:rPr>
          <w:color w:val="231F20"/>
          <w:spacing w:val="-1"/>
          <w:sz w:val="18"/>
        </w:rPr>
        <w:t> </w:t>
      </w:r>
      <w:r>
        <w:rPr>
          <w:color w:val="231F20"/>
          <w:sz w:val="18"/>
        </w:rPr>
        <w:t>(1984):</w:t>
      </w:r>
      <w:r>
        <w:rPr>
          <w:color w:val="231F20"/>
          <w:spacing w:val="-1"/>
          <w:sz w:val="18"/>
        </w:rPr>
        <w:t> </w:t>
      </w:r>
      <w:r>
        <w:rPr>
          <w:color w:val="231F20"/>
          <w:sz w:val="18"/>
        </w:rPr>
        <w:t>Phylogeny</w:t>
      </w:r>
      <w:r>
        <w:rPr>
          <w:color w:val="231F20"/>
          <w:spacing w:val="-1"/>
          <w:sz w:val="18"/>
        </w:rPr>
        <w:t> </w:t>
      </w:r>
      <w:r>
        <w:rPr>
          <w:color w:val="231F20"/>
          <w:sz w:val="18"/>
        </w:rPr>
        <w:t>of</w:t>
      </w:r>
      <w:r>
        <w:rPr>
          <w:color w:val="231F20"/>
          <w:spacing w:val="-1"/>
          <w:sz w:val="18"/>
        </w:rPr>
        <w:t> </w:t>
      </w:r>
      <w:r>
        <w:rPr>
          <w:color w:val="231F20"/>
          <w:sz w:val="18"/>
        </w:rPr>
        <w:t>the</w:t>
      </w:r>
      <w:r>
        <w:rPr>
          <w:color w:val="231F20"/>
          <w:spacing w:val="-1"/>
          <w:sz w:val="18"/>
        </w:rPr>
        <w:t> </w:t>
      </w:r>
      <w:r>
        <w:rPr>
          <w:color w:val="231F20"/>
          <w:sz w:val="18"/>
        </w:rPr>
        <w:t>Nautiloidea.</w:t>
      </w:r>
      <w:r>
        <w:rPr>
          <w:color w:val="231F20"/>
          <w:spacing w:val="-1"/>
          <w:sz w:val="18"/>
        </w:rPr>
        <w:t> </w:t>
      </w:r>
      <w:r>
        <w:rPr>
          <w:color w:val="231F20"/>
          <w:sz w:val="18"/>
        </w:rPr>
        <w:t>Palaeontologia Polonica, Nº 45. pp.3-203.</w:t>
      </w:r>
    </w:p>
    <w:p>
      <w:pPr>
        <w:spacing w:line="249" w:lineRule="auto" w:before="141"/>
        <w:ind w:left="446" w:right="751" w:hanging="284"/>
        <w:jc w:val="both"/>
        <w:rPr>
          <w:sz w:val="18"/>
        </w:rPr>
      </w:pPr>
      <w:r>
        <w:rPr>
          <w:color w:val="231F20"/>
          <w:sz w:val="18"/>
        </w:rPr>
        <w:t>Evans,</w:t>
      </w:r>
      <w:r>
        <w:rPr>
          <w:color w:val="231F20"/>
          <w:spacing w:val="-12"/>
          <w:sz w:val="18"/>
        </w:rPr>
        <w:t> </w:t>
      </w:r>
      <w:r>
        <w:rPr>
          <w:color w:val="231F20"/>
          <w:sz w:val="18"/>
        </w:rPr>
        <w:t>D.</w:t>
      </w:r>
      <w:r>
        <w:rPr>
          <w:color w:val="231F20"/>
          <w:spacing w:val="-11"/>
          <w:sz w:val="18"/>
        </w:rPr>
        <w:t> </w:t>
      </w:r>
      <w:r>
        <w:rPr>
          <w:color w:val="231F20"/>
          <w:sz w:val="18"/>
        </w:rPr>
        <w:t>H.,</w:t>
      </w:r>
      <w:r>
        <w:rPr>
          <w:color w:val="231F20"/>
          <w:spacing w:val="-11"/>
          <w:sz w:val="18"/>
        </w:rPr>
        <w:t> </w:t>
      </w:r>
      <w:r>
        <w:rPr>
          <w:color w:val="231F20"/>
          <w:sz w:val="18"/>
        </w:rPr>
        <w:t>King</w:t>
      </w:r>
      <w:r>
        <w:rPr>
          <w:color w:val="231F20"/>
          <w:spacing w:val="-11"/>
          <w:sz w:val="18"/>
        </w:rPr>
        <w:t> </w:t>
      </w:r>
      <w:r>
        <w:rPr>
          <w:color w:val="231F20"/>
          <w:sz w:val="18"/>
        </w:rPr>
        <w:t>A.H.,</w:t>
      </w:r>
      <w:r>
        <w:rPr>
          <w:color w:val="231F20"/>
          <w:spacing w:val="-12"/>
          <w:sz w:val="18"/>
        </w:rPr>
        <w:t> </w:t>
      </w:r>
      <w:r>
        <w:rPr>
          <w:color w:val="231F20"/>
          <w:sz w:val="18"/>
        </w:rPr>
        <w:t>Histon,</w:t>
      </w:r>
      <w:r>
        <w:rPr>
          <w:color w:val="231F20"/>
          <w:spacing w:val="-11"/>
          <w:sz w:val="18"/>
        </w:rPr>
        <w:t> </w:t>
      </w:r>
      <w:r>
        <w:rPr>
          <w:color w:val="231F20"/>
          <w:sz w:val="18"/>
        </w:rPr>
        <w:t>K.</w:t>
      </w:r>
      <w:r>
        <w:rPr>
          <w:color w:val="231F20"/>
          <w:spacing w:val="-11"/>
          <w:sz w:val="18"/>
        </w:rPr>
        <w:t> </w:t>
      </w:r>
      <w:r>
        <w:rPr>
          <w:color w:val="231F20"/>
          <w:sz w:val="18"/>
        </w:rPr>
        <w:t>&amp;</w:t>
      </w:r>
      <w:r>
        <w:rPr>
          <w:color w:val="231F20"/>
          <w:spacing w:val="-11"/>
          <w:sz w:val="18"/>
        </w:rPr>
        <w:t> </w:t>
      </w:r>
      <w:r>
        <w:rPr>
          <w:color w:val="231F20"/>
          <w:sz w:val="18"/>
        </w:rPr>
        <w:t>Cichowolski</w:t>
      </w:r>
      <w:r>
        <w:rPr>
          <w:color w:val="231F20"/>
          <w:spacing w:val="-12"/>
          <w:sz w:val="18"/>
        </w:rPr>
        <w:t> </w:t>
      </w:r>
      <w:r>
        <w:rPr>
          <w:color w:val="231F20"/>
          <w:sz w:val="18"/>
        </w:rPr>
        <w:t>M.</w:t>
      </w:r>
      <w:r>
        <w:rPr>
          <w:color w:val="231F20"/>
          <w:spacing w:val="-11"/>
          <w:sz w:val="18"/>
        </w:rPr>
        <w:t> </w:t>
      </w:r>
      <w:r>
        <w:rPr>
          <w:color w:val="231F20"/>
          <w:sz w:val="18"/>
        </w:rPr>
        <w:t>(2014): Nautiloid cephalopods–a review of their use and potential in biostratigraphy. Denisia 32, zugleich Kataloge des oberösterreichischen Landesmuseums. Neue Serie 157. </w:t>
      </w:r>
      <w:r>
        <w:rPr>
          <w:color w:val="231F20"/>
          <w:spacing w:val="-2"/>
          <w:sz w:val="18"/>
        </w:rPr>
        <w:t>pp.7-22.</w:t>
      </w:r>
    </w:p>
    <w:p>
      <w:pPr>
        <w:spacing w:line="249" w:lineRule="auto" w:before="140"/>
        <w:ind w:left="446" w:right="750" w:hanging="284"/>
        <w:jc w:val="both"/>
        <w:rPr>
          <w:sz w:val="18"/>
        </w:rPr>
      </w:pPr>
      <w:r>
        <w:rPr>
          <w:color w:val="231F20"/>
          <w:sz w:val="18"/>
        </w:rPr>
        <w:t>Fuquen, J.A., Nuñez, A. &amp; Acosta, J. (1993): Geología de la Plancha 282 “Chaparral-Tolima”Colombia. Instituto De Investigaciones En Geociencias, Minería Y Química Instituto Colombiano de Geología y Minería. Instituto Colombiano de Geología y Minería INGEOMINAS. Bogotá, D.C. pp.11-22</w:t>
      </w:r>
    </w:p>
    <w:p>
      <w:pPr>
        <w:spacing w:line="249" w:lineRule="auto" w:before="139"/>
        <w:ind w:left="446" w:right="751" w:hanging="284"/>
        <w:jc w:val="both"/>
        <w:rPr>
          <w:sz w:val="18"/>
        </w:rPr>
      </w:pPr>
      <w:r>
        <w:rPr>
          <w:color w:val="231F20"/>
          <w:sz w:val="18"/>
        </w:rPr>
        <w:t>Géczy, B. (1961b). Cenoceras truncatus vadaszi n. ssp. from the Middle Liassic complex of Bakony Mts-Földtani Közlöny, 91: pp. 325–337.</w:t>
      </w:r>
    </w:p>
    <w:p>
      <w:pPr>
        <w:spacing w:line="249" w:lineRule="auto" w:before="141"/>
        <w:ind w:left="446" w:right="750" w:hanging="284"/>
        <w:jc w:val="both"/>
        <w:rPr>
          <w:sz w:val="18"/>
        </w:rPr>
      </w:pPr>
      <w:r>
        <w:rPr>
          <w:color w:val="231F20"/>
          <w:sz w:val="18"/>
        </w:rPr>
        <w:t>Geyer, O.F. (1973): Das prakretazische Mesozoikum von Kolumbien.pp. 7-39. (Traducción del alemán al español).</w:t>
      </w:r>
    </w:p>
    <w:p>
      <w:pPr>
        <w:spacing w:line="249" w:lineRule="auto" w:before="141"/>
        <w:ind w:left="446" w:right="750" w:hanging="284"/>
        <w:jc w:val="both"/>
        <w:rPr>
          <w:sz w:val="18"/>
        </w:rPr>
      </w:pPr>
      <w:r>
        <w:rPr>
          <w:color w:val="231F20"/>
          <w:sz w:val="18"/>
        </w:rPr>
        <w:t>King A., (2010): Fossil nautiloids from the Upper Lias (Toarcian)</w:t>
      </w:r>
      <w:r>
        <w:rPr>
          <w:color w:val="231F20"/>
          <w:spacing w:val="-9"/>
          <w:sz w:val="18"/>
        </w:rPr>
        <w:t> </w:t>
      </w:r>
      <w:r>
        <w:rPr>
          <w:color w:val="231F20"/>
          <w:sz w:val="18"/>
        </w:rPr>
        <w:t>‘Junction</w:t>
      </w:r>
      <w:r>
        <w:rPr>
          <w:color w:val="231F20"/>
          <w:spacing w:val="-9"/>
          <w:sz w:val="18"/>
        </w:rPr>
        <w:t> </w:t>
      </w:r>
      <w:r>
        <w:rPr>
          <w:color w:val="231F20"/>
          <w:sz w:val="18"/>
        </w:rPr>
        <w:t>Bed’</w:t>
      </w:r>
      <w:r>
        <w:rPr>
          <w:color w:val="231F20"/>
          <w:spacing w:val="-9"/>
          <w:sz w:val="18"/>
        </w:rPr>
        <w:t> </w:t>
      </w:r>
      <w:r>
        <w:rPr>
          <w:color w:val="231F20"/>
          <w:sz w:val="18"/>
        </w:rPr>
        <w:t>of</w:t>
      </w:r>
      <w:r>
        <w:rPr>
          <w:color w:val="231F20"/>
          <w:spacing w:val="-9"/>
          <w:sz w:val="18"/>
        </w:rPr>
        <w:t> </w:t>
      </w:r>
      <w:r>
        <w:rPr>
          <w:color w:val="231F20"/>
          <w:sz w:val="18"/>
        </w:rPr>
        <w:t>the</w:t>
      </w:r>
      <w:r>
        <w:rPr>
          <w:color w:val="231F20"/>
          <w:spacing w:val="-9"/>
          <w:sz w:val="18"/>
        </w:rPr>
        <w:t> </w:t>
      </w:r>
      <w:r>
        <w:rPr>
          <w:color w:val="231F20"/>
          <w:sz w:val="18"/>
        </w:rPr>
        <w:t>Ilminster</w:t>
      </w:r>
      <w:r>
        <w:rPr>
          <w:color w:val="231F20"/>
          <w:spacing w:val="-9"/>
          <w:sz w:val="18"/>
        </w:rPr>
        <w:t> </w:t>
      </w:r>
      <w:r>
        <w:rPr>
          <w:color w:val="231F20"/>
          <w:sz w:val="18"/>
        </w:rPr>
        <w:t>Area,</w:t>
      </w:r>
      <w:r>
        <w:rPr>
          <w:color w:val="231F20"/>
          <w:spacing w:val="-9"/>
          <w:sz w:val="18"/>
        </w:rPr>
        <w:t> </w:t>
      </w:r>
      <w:r>
        <w:rPr>
          <w:color w:val="231F20"/>
          <w:sz w:val="18"/>
        </w:rPr>
        <w:t>Somerset. Proceedings of the Somerset Archaeological and Natural History Society 154: pp.249-258.</w:t>
      </w:r>
    </w:p>
    <w:p>
      <w:pPr>
        <w:spacing w:line="249" w:lineRule="auto" w:before="140"/>
        <w:ind w:left="446" w:right="750" w:hanging="284"/>
        <w:jc w:val="both"/>
        <w:rPr>
          <w:sz w:val="18"/>
        </w:rPr>
      </w:pPr>
      <w:r>
        <w:rPr>
          <w:color w:val="231F20"/>
          <w:sz w:val="18"/>
        </w:rPr>
        <w:t>Klug, C., Korn, D., Richter, U. &amp; Urlichs, M. (2004): The black</w:t>
      </w:r>
      <w:r>
        <w:rPr>
          <w:color w:val="231F20"/>
          <w:spacing w:val="-3"/>
          <w:sz w:val="18"/>
        </w:rPr>
        <w:t> </w:t>
      </w:r>
      <w:r>
        <w:rPr>
          <w:color w:val="231F20"/>
          <w:sz w:val="18"/>
        </w:rPr>
        <w:t>layer</w:t>
      </w:r>
      <w:r>
        <w:rPr>
          <w:color w:val="231F20"/>
          <w:spacing w:val="-3"/>
          <w:sz w:val="18"/>
        </w:rPr>
        <w:t> </w:t>
      </w:r>
      <w:r>
        <w:rPr>
          <w:color w:val="231F20"/>
          <w:sz w:val="18"/>
        </w:rPr>
        <w:t>in</w:t>
      </w:r>
      <w:r>
        <w:rPr>
          <w:color w:val="231F20"/>
          <w:spacing w:val="-3"/>
          <w:sz w:val="18"/>
        </w:rPr>
        <w:t> </w:t>
      </w:r>
      <w:r>
        <w:rPr>
          <w:color w:val="231F20"/>
          <w:sz w:val="18"/>
        </w:rPr>
        <w:t>cephalopods</w:t>
      </w:r>
      <w:r>
        <w:rPr>
          <w:color w:val="231F20"/>
          <w:spacing w:val="-3"/>
          <w:sz w:val="18"/>
        </w:rPr>
        <w:t> </w:t>
      </w:r>
      <w:r>
        <w:rPr>
          <w:color w:val="231F20"/>
          <w:sz w:val="18"/>
        </w:rPr>
        <w:t>from</w:t>
      </w:r>
      <w:r>
        <w:rPr>
          <w:color w:val="231F20"/>
          <w:spacing w:val="-3"/>
          <w:sz w:val="18"/>
        </w:rPr>
        <w:t> </w:t>
      </w:r>
      <w:r>
        <w:rPr>
          <w:color w:val="231F20"/>
          <w:sz w:val="18"/>
        </w:rPr>
        <w:t>the</w:t>
      </w:r>
      <w:r>
        <w:rPr>
          <w:color w:val="231F20"/>
          <w:spacing w:val="-3"/>
          <w:sz w:val="18"/>
        </w:rPr>
        <w:t> </w:t>
      </w:r>
      <w:r>
        <w:rPr>
          <w:color w:val="231F20"/>
          <w:sz w:val="18"/>
        </w:rPr>
        <w:t>German</w:t>
      </w:r>
      <w:r>
        <w:rPr>
          <w:color w:val="231F20"/>
          <w:spacing w:val="-3"/>
          <w:sz w:val="18"/>
        </w:rPr>
        <w:t> </w:t>
      </w:r>
      <w:r>
        <w:rPr>
          <w:color w:val="231F20"/>
          <w:sz w:val="18"/>
        </w:rPr>
        <w:t>Muschelkalk (Triassic). Palaeontology, Volume 47. pp.1407-1425.</w:t>
      </w:r>
    </w:p>
    <w:p>
      <w:pPr>
        <w:spacing w:line="249" w:lineRule="auto" w:before="141"/>
        <w:ind w:left="446" w:right="751" w:hanging="284"/>
        <w:jc w:val="both"/>
        <w:rPr>
          <w:sz w:val="18"/>
        </w:rPr>
      </w:pPr>
      <w:r>
        <w:rPr>
          <w:color w:val="231F20"/>
          <w:sz w:val="18"/>
        </w:rPr>
        <w:t>Kummel B. (1954): Jurassic nautiloids from Western North America. – Journal of Paleontology 28: pp. 320-324.</w:t>
      </w:r>
    </w:p>
    <w:p>
      <w:pPr>
        <w:spacing w:line="249" w:lineRule="auto" w:before="141"/>
        <w:ind w:left="446" w:right="750" w:hanging="284"/>
        <w:jc w:val="both"/>
        <w:rPr>
          <w:sz w:val="18"/>
        </w:rPr>
      </w:pPr>
      <w:r>
        <w:rPr>
          <w:color w:val="231F20"/>
          <w:sz w:val="18"/>
        </w:rPr>
        <w:t>Kummel B. (1956): Post-Triassic nautiloid genera. – Bulletin </w:t>
      </w:r>
      <w:r>
        <w:rPr>
          <w:color w:val="231F20"/>
          <w:spacing w:val="-2"/>
          <w:sz w:val="18"/>
        </w:rPr>
        <w:t>of</w:t>
      </w:r>
      <w:r>
        <w:rPr>
          <w:color w:val="231F20"/>
          <w:spacing w:val="-3"/>
          <w:sz w:val="18"/>
        </w:rPr>
        <w:t> </w:t>
      </w:r>
      <w:r>
        <w:rPr>
          <w:color w:val="231F20"/>
          <w:spacing w:val="-2"/>
          <w:sz w:val="18"/>
        </w:rPr>
        <w:t>the Museum</w:t>
      </w:r>
      <w:r>
        <w:rPr>
          <w:color w:val="231F20"/>
          <w:spacing w:val="-3"/>
          <w:sz w:val="18"/>
        </w:rPr>
        <w:t> </w:t>
      </w:r>
      <w:r>
        <w:rPr>
          <w:color w:val="231F20"/>
          <w:spacing w:val="-2"/>
          <w:sz w:val="18"/>
        </w:rPr>
        <w:t>of Comparative</w:t>
      </w:r>
      <w:r>
        <w:rPr>
          <w:color w:val="231F20"/>
          <w:spacing w:val="-3"/>
          <w:sz w:val="18"/>
        </w:rPr>
        <w:t> </w:t>
      </w:r>
      <w:r>
        <w:rPr>
          <w:color w:val="231F20"/>
          <w:spacing w:val="-2"/>
          <w:sz w:val="18"/>
        </w:rPr>
        <w:t>Zoololgy 114:</w:t>
      </w:r>
      <w:r>
        <w:rPr>
          <w:color w:val="231F20"/>
          <w:spacing w:val="-3"/>
          <w:sz w:val="18"/>
        </w:rPr>
        <w:t> </w:t>
      </w:r>
      <w:r>
        <w:rPr>
          <w:color w:val="231F20"/>
          <w:spacing w:val="-2"/>
          <w:sz w:val="18"/>
        </w:rPr>
        <w:t>pp. 224-</w:t>
      </w:r>
      <w:r>
        <w:rPr>
          <w:color w:val="231F20"/>
          <w:spacing w:val="-4"/>
          <w:sz w:val="18"/>
        </w:rPr>
        <w:t>494.</w:t>
      </w:r>
    </w:p>
    <w:p>
      <w:pPr>
        <w:spacing w:line="249" w:lineRule="auto" w:before="141"/>
        <w:ind w:left="446" w:right="751" w:hanging="284"/>
        <w:jc w:val="both"/>
        <w:rPr>
          <w:sz w:val="18"/>
        </w:rPr>
      </w:pPr>
      <w:r>
        <w:rPr>
          <w:color w:val="231F20"/>
          <w:sz w:val="18"/>
        </w:rPr>
        <w:t>Kummel,</w:t>
      </w:r>
      <w:r>
        <w:rPr>
          <w:color w:val="231F20"/>
          <w:spacing w:val="40"/>
          <w:sz w:val="18"/>
        </w:rPr>
        <w:t> </w:t>
      </w:r>
      <w:r>
        <w:rPr>
          <w:color w:val="231F20"/>
          <w:sz w:val="18"/>
        </w:rPr>
        <w:t>B.</w:t>
      </w:r>
      <w:r>
        <w:rPr>
          <w:color w:val="231F20"/>
          <w:spacing w:val="40"/>
          <w:sz w:val="18"/>
        </w:rPr>
        <w:t> </w:t>
      </w:r>
      <w:r>
        <w:rPr>
          <w:color w:val="231F20"/>
          <w:sz w:val="18"/>
        </w:rPr>
        <w:t>(1959):</w:t>
      </w:r>
      <w:r>
        <w:rPr>
          <w:color w:val="231F20"/>
          <w:spacing w:val="40"/>
          <w:sz w:val="18"/>
        </w:rPr>
        <w:t> </w:t>
      </w:r>
      <w:r>
        <w:rPr>
          <w:color w:val="231F20"/>
          <w:sz w:val="18"/>
        </w:rPr>
        <w:t>Triassic-Jurassic</w:t>
      </w:r>
      <w:r>
        <w:rPr>
          <w:color w:val="231F20"/>
          <w:spacing w:val="40"/>
          <w:sz w:val="18"/>
        </w:rPr>
        <w:t> </w:t>
      </w:r>
      <w:r>
        <w:rPr>
          <w:color w:val="231F20"/>
          <w:sz w:val="18"/>
        </w:rPr>
        <w:t>cenoceratids</w:t>
      </w:r>
      <w:r>
        <w:rPr>
          <w:color w:val="231F20"/>
          <w:spacing w:val="40"/>
          <w:sz w:val="18"/>
        </w:rPr>
        <w:t> </w:t>
      </w:r>
      <w:r>
        <w:rPr>
          <w:color w:val="231F20"/>
          <w:sz w:val="18"/>
        </w:rPr>
        <w:t>from New Zealand, New Zealand Journal of Geology and Geophysics, pp. 421-428.</w:t>
      </w:r>
    </w:p>
    <w:p>
      <w:pPr>
        <w:spacing w:line="249" w:lineRule="auto" w:before="141"/>
        <w:ind w:left="446" w:right="750" w:hanging="284"/>
        <w:jc w:val="both"/>
        <w:rPr>
          <w:sz w:val="18"/>
        </w:rPr>
      </w:pPr>
      <w:r>
        <w:rPr>
          <w:color w:val="231F20"/>
          <w:sz w:val="18"/>
        </w:rPr>
        <w:t>Laurito, C. &amp; Mora, M. (2018): Nuevo registro fósil de</w:t>
      </w:r>
      <w:r>
        <w:rPr>
          <w:color w:val="231F20"/>
          <w:spacing w:val="80"/>
          <w:sz w:val="18"/>
        </w:rPr>
        <w:t> </w:t>
      </w:r>
      <w:r>
        <w:rPr>
          <w:color w:val="231F20"/>
          <w:sz w:val="18"/>
        </w:rPr>
        <w:t>Aturia cubaensis (lea,1841) [Cephalopoda, Nautilidae] para el mioceno Inferior - Medio de Costa Rica. Revista Geológica de América Central, Nº 58. pp.171-178.</w:t>
      </w:r>
    </w:p>
    <w:p>
      <w:pPr>
        <w:spacing w:line="249" w:lineRule="auto" w:before="140"/>
        <w:ind w:left="446" w:right="750" w:hanging="284"/>
        <w:jc w:val="both"/>
        <w:rPr>
          <w:sz w:val="18"/>
        </w:rPr>
      </w:pPr>
      <w:r>
        <w:rPr>
          <w:color w:val="231F20"/>
          <w:sz w:val="18"/>
        </w:rPr>
        <w:t>Mojica,</w:t>
      </w:r>
      <w:r>
        <w:rPr>
          <w:color w:val="231F20"/>
          <w:spacing w:val="40"/>
          <w:sz w:val="18"/>
        </w:rPr>
        <w:t> </w:t>
      </w:r>
      <w:r>
        <w:rPr>
          <w:color w:val="231F20"/>
          <w:sz w:val="18"/>
        </w:rPr>
        <w:t>J.</w:t>
      </w:r>
      <w:r>
        <w:rPr>
          <w:color w:val="231F20"/>
          <w:spacing w:val="40"/>
          <w:sz w:val="18"/>
        </w:rPr>
        <w:t> </w:t>
      </w:r>
      <w:r>
        <w:rPr>
          <w:color w:val="231F20"/>
          <w:sz w:val="18"/>
        </w:rPr>
        <w:t>(1980):</w:t>
      </w:r>
      <w:r>
        <w:rPr>
          <w:color w:val="231F20"/>
          <w:spacing w:val="40"/>
          <w:sz w:val="18"/>
        </w:rPr>
        <w:t> </w:t>
      </w:r>
      <w:r>
        <w:rPr>
          <w:color w:val="231F20"/>
          <w:sz w:val="18"/>
        </w:rPr>
        <w:t>Observaciones</w:t>
      </w:r>
      <w:r>
        <w:rPr>
          <w:color w:val="231F20"/>
          <w:spacing w:val="40"/>
          <w:sz w:val="18"/>
        </w:rPr>
        <w:t> </w:t>
      </w:r>
      <w:r>
        <w:rPr>
          <w:color w:val="231F20"/>
          <w:sz w:val="18"/>
        </w:rPr>
        <w:t>acerca</w:t>
      </w:r>
      <w:r>
        <w:rPr>
          <w:color w:val="231F20"/>
          <w:spacing w:val="40"/>
          <w:sz w:val="18"/>
        </w:rPr>
        <w:t> </w:t>
      </w:r>
      <w:r>
        <w:rPr>
          <w:color w:val="231F20"/>
          <w:sz w:val="18"/>
        </w:rPr>
        <w:t>del</w:t>
      </w:r>
      <w:r>
        <w:rPr>
          <w:color w:val="231F20"/>
          <w:spacing w:val="40"/>
          <w:sz w:val="18"/>
        </w:rPr>
        <w:t> </w:t>
      </w:r>
      <w:r>
        <w:rPr>
          <w:color w:val="231F20"/>
          <w:sz w:val="18"/>
        </w:rPr>
        <w:t>estado</w:t>
      </w:r>
      <w:r>
        <w:rPr>
          <w:color w:val="231F20"/>
          <w:spacing w:val="40"/>
          <w:sz w:val="18"/>
        </w:rPr>
        <w:t> </w:t>
      </w:r>
      <w:r>
        <w:rPr>
          <w:color w:val="231F20"/>
          <w:sz w:val="18"/>
        </w:rPr>
        <w:t>actual del conocimiento de la Formación Payandé (Triásico Superior), Valle Superior del Magdalena, Colombia. Geología Colombiana Nº 11, pp. 67-91.</w:t>
      </w:r>
    </w:p>
    <w:p>
      <w:pPr>
        <w:spacing w:line="249" w:lineRule="auto" w:before="140"/>
        <w:ind w:left="446" w:right="750" w:hanging="284"/>
        <w:jc w:val="both"/>
        <w:rPr>
          <w:sz w:val="18"/>
        </w:rPr>
      </w:pPr>
      <w:r>
        <w:rPr>
          <w:color w:val="231F20"/>
          <w:sz w:val="18"/>
        </w:rPr>
        <w:t>Mojica, J. &amp; Franco, R. (1990): Estructura y Evolución Tectónica del Valle Medio y Superior del Magdalena. Geología Colombiana Nº 17, pp.41-64, 14 figs., 2 Tablas, </w:t>
      </w:r>
      <w:r>
        <w:rPr>
          <w:color w:val="231F20"/>
          <w:spacing w:val="-2"/>
          <w:sz w:val="18"/>
        </w:rPr>
        <w:t>Bogotá.</w:t>
      </w:r>
    </w:p>
    <w:p>
      <w:pPr>
        <w:spacing w:line="249" w:lineRule="auto" w:before="140"/>
        <w:ind w:left="446" w:right="750" w:hanging="284"/>
        <w:jc w:val="both"/>
        <w:rPr>
          <w:sz w:val="18"/>
        </w:rPr>
      </w:pPr>
      <w:r>
        <w:rPr>
          <w:color w:val="231F20"/>
          <w:sz w:val="18"/>
        </w:rPr>
        <w:t>Mojica,</w:t>
      </w:r>
      <w:r>
        <w:rPr>
          <w:color w:val="231F20"/>
          <w:spacing w:val="38"/>
          <w:sz w:val="18"/>
        </w:rPr>
        <w:t> </w:t>
      </w:r>
      <w:r>
        <w:rPr>
          <w:color w:val="231F20"/>
          <w:sz w:val="18"/>
        </w:rPr>
        <w:t>J.,</w:t>
      </w:r>
      <w:r>
        <w:rPr>
          <w:color w:val="231F20"/>
          <w:spacing w:val="38"/>
          <w:sz w:val="18"/>
        </w:rPr>
        <w:t> </w:t>
      </w:r>
      <w:r>
        <w:rPr>
          <w:color w:val="231F20"/>
          <w:sz w:val="18"/>
        </w:rPr>
        <w:t>Kammer,</w:t>
      </w:r>
      <w:r>
        <w:rPr>
          <w:color w:val="231F20"/>
          <w:spacing w:val="38"/>
          <w:sz w:val="18"/>
        </w:rPr>
        <w:t> </w:t>
      </w:r>
      <w:r>
        <w:rPr>
          <w:color w:val="231F20"/>
          <w:sz w:val="18"/>
        </w:rPr>
        <w:t>A.</w:t>
      </w:r>
      <w:r>
        <w:rPr>
          <w:color w:val="231F20"/>
          <w:spacing w:val="38"/>
          <w:sz w:val="18"/>
        </w:rPr>
        <w:t> </w:t>
      </w:r>
      <w:r>
        <w:rPr>
          <w:color w:val="231F20"/>
          <w:sz w:val="18"/>
        </w:rPr>
        <w:t>&amp;</w:t>
      </w:r>
      <w:r>
        <w:rPr>
          <w:color w:val="231F20"/>
          <w:spacing w:val="38"/>
          <w:sz w:val="18"/>
        </w:rPr>
        <w:t> </w:t>
      </w:r>
      <w:r>
        <w:rPr>
          <w:color w:val="231F20"/>
          <w:sz w:val="18"/>
        </w:rPr>
        <w:t>Ujueta,</w:t>
      </w:r>
      <w:r>
        <w:rPr>
          <w:color w:val="231F20"/>
          <w:spacing w:val="38"/>
          <w:sz w:val="18"/>
        </w:rPr>
        <w:t> </w:t>
      </w:r>
      <w:r>
        <w:rPr>
          <w:color w:val="231F20"/>
          <w:sz w:val="18"/>
        </w:rPr>
        <w:t>G.</w:t>
      </w:r>
      <w:r>
        <w:rPr>
          <w:color w:val="231F20"/>
          <w:spacing w:val="38"/>
          <w:sz w:val="18"/>
        </w:rPr>
        <w:t> </w:t>
      </w:r>
      <w:r>
        <w:rPr>
          <w:color w:val="231F20"/>
          <w:sz w:val="18"/>
        </w:rPr>
        <w:t>(1996):</w:t>
      </w:r>
      <w:r>
        <w:rPr>
          <w:color w:val="231F20"/>
          <w:spacing w:val="38"/>
          <w:sz w:val="18"/>
        </w:rPr>
        <w:t> </w:t>
      </w:r>
      <w:r>
        <w:rPr>
          <w:color w:val="231F20"/>
          <w:sz w:val="18"/>
        </w:rPr>
        <w:t>EI</w:t>
      </w:r>
      <w:r>
        <w:rPr>
          <w:color w:val="231F20"/>
          <w:spacing w:val="38"/>
          <w:sz w:val="18"/>
        </w:rPr>
        <w:t> </w:t>
      </w:r>
      <w:r>
        <w:rPr>
          <w:color w:val="231F20"/>
          <w:sz w:val="18"/>
        </w:rPr>
        <w:t>Jurásico del</w:t>
      </w:r>
      <w:r>
        <w:rPr>
          <w:color w:val="231F20"/>
          <w:spacing w:val="46"/>
          <w:sz w:val="18"/>
        </w:rPr>
        <w:t> </w:t>
      </w:r>
      <w:r>
        <w:rPr>
          <w:color w:val="231F20"/>
          <w:sz w:val="18"/>
        </w:rPr>
        <w:t>Sector</w:t>
      </w:r>
      <w:r>
        <w:rPr>
          <w:color w:val="231F20"/>
          <w:spacing w:val="48"/>
          <w:sz w:val="18"/>
        </w:rPr>
        <w:t> </w:t>
      </w:r>
      <w:r>
        <w:rPr>
          <w:color w:val="231F20"/>
          <w:sz w:val="18"/>
        </w:rPr>
        <w:t>Noroccidental</w:t>
      </w:r>
      <w:r>
        <w:rPr>
          <w:color w:val="231F20"/>
          <w:spacing w:val="48"/>
          <w:sz w:val="18"/>
        </w:rPr>
        <w:t> </w:t>
      </w:r>
      <w:r>
        <w:rPr>
          <w:color w:val="231F20"/>
          <w:sz w:val="18"/>
        </w:rPr>
        <w:t>de</w:t>
      </w:r>
      <w:r>
        <w:rPr>
          <w:color w:val="231F20"/>
          <w:spacing w:val="48"/>
          <w:sz w:val="18"/>
        </w:rPr>
        <w:t> </w:t>
      </w:r>
      <w:r>
        <w:rPr>
          <w:color w:val="231F20"/>
          <w:sz w:val="18"/>
        </w:rPr>
        <w:t>Suramérica</w:t>
      </w:r>
      <w:r>
        <w:rPr>
          <w:color w:val="231F20"/>
          <w:spacing w:val="48"/>
          <w:sz w:val="18"/>
        </w:rPr>
        <w:t> </w:t>
      </w:r>
      <w:r>
        <w:rPr>
          <w:color w:val="231F20"/>
          <w:sz w:val="18"/>
        </w:rPr>
        <w:t>y</w:t>
      </w:r>
      <w:r>
        <w:rPr>
          <w:color w:val="231F20"/>
          <w:spacing w:val="48"/>
          <w:sz w:val="18"/>
        </w:rPr>
        <w:t> </w:t>
      </w:r>
      <w:r>
        <w:rPr>
          <w:color w:val="231F20"/>
          <w:sz w:val="18"/>
        </w:rPr>
        <w:t>Guía</w:t>
      </w:r>
      <w:r>
        <w:rPr>
          <w:color w:val="231F20"/>
          <w:spacing w:val="48"/>
          <w:sz w:val="18"/>
        </w:rPr>
        <w:t> </w:t>
      </w:r>
      <w:r>
        <w:rPr>
          <w:color w:val="231F20"/>
          <w:sz w:val="18"/>
        </w:rPr>
        <w:t>de</w:t>
      </w:r>
      <w:r>
        <w:rPr>
          <w:color w:val="231F20"/>
          <w:spacing w:val="49"/>
          <w:sz w:val="18"/>
        </w:rPr>
        <w:t> </w:t>
      </w:r>
      <w:r>
        <w:rPr>
          <w:color w:val="231F20"/>
          <w:spacing w:val="-5"/>
          <w:sz w:val="18"/>
        </w:rPr>
        <w:t>la</w:t>
      </w:r>
    </w:p>
    <w:p>
      <w:pPr>
        <w:spacing w:after="0" w:line="249" w:lineRule="auto"/>
        <w:jc w:val="both"/>
        <w:rPr>
          <w:sz w:val="18"/>
        </w:rPr>
        <w:sectPr>
          <w:type w:val="continuous"/>
          <w:pgSz w:w="12260" w:h="15560"/>
          <w:pgMar w:header="307" w:footer="336" w:top="240" w:bottom="520" w:left="1275" w:right="708"/>
          <w:cols w:num="2" w:equalWidth="0">
            <w:col w:w="4682" w:space="193"/>
            <w:col w:w="5402"/>
          </w:cols>
        </w:sectPr>
      </w:pPr>
    </w:p>
    <w:p>
      <w:pPr>
        <w:pStyle w:val="BodyText"/>
      </w:pPr>
    </w:p>
    <w:p>
      <w:pPr>
        <w:pStyle w:val="BodyText"/>
        <w:spacing w:before="78"/>
      </w:pPr>
    </w:p>
    <w:p>
      <w:pPr>
        <w:pStyle w:val="BodyText"/>
        <w:spacing w:after="0"/>
        <w:sectPr>
          <w:pgSz w:w="12260" w:h="15560"/>
          <w:pgMar w:header="373" w:footer="336" w:top="560" w:bottom="520" w:left="1275" w:right="708"/>
        </w:sectPr>
      </w:pPr>
    </w:p>
    <w:p>
      <w:pPr>
        <w:spacing w:line="247" w:lineRule="auto" w:before="93"/>
        <w:ind w:left="502" w:right="39" w:firstLine="0"/>
        <w:jc w:val="both"/>
        <w:rPr>
          <w:sz w:val="18"/>
        </w:rPr>
      </w:pPr>
      <w:r>
        <w:rPr>
          <w:color w:val="231F20"/>
          <w:sz w:val="18"/>
        </w:rPr>
        <w:t>Excursión al Valle Superior del Magdalena, Regiones de Payandé y Prado, Departamento del Tolima, Colombia. Geología</w:t>
      </w:r>
      <w:r>
        <w:rPr>
          <w:color w:val="231F20"/>
          <w:spacing w:val="-4"/>
          <w:sz w:val="18"/>
        </w:rPr>
        <w:t> </w:t>
      </w:r>
      <w:r>
        <w:rPr>
          <w:color w:val="231F20"/>
          <w:sz w:val="18"/>
        </w:rPr>
        <w:t>Colombiana</w:t>
      </w:r>
      <w:r>
        <w:rPr>
          <w:color w:val="231F20"/>
          <w:spacing w:val="-4"/>
          <w:sz w:val="18"/>
        </w:rPr>
        <w:t> </w:t>
      </w:r>
      <w:r>
        <w:rPr>
          <w:color w:val="231F20"/>
          <w:sz w:val="18"/>
        </w:rPr>
        <w:t>Nº</w:t>
      </w:r>
      <w:r>
        <w:rPr>
          <w:color w:val="231F20"/>
          <w:spacing w:val="-4"/>
          <w:sz w:val="18"/>
        </w:rPr>
        <w:t> </w:t>
      </w:r>
      <w:r>
        <w:rPr>
          <w:color w:val="231F20"/>
          <w:sz w:val="18"/>
        </w:rPr>
        <w:t>21,</w:t>
      </w:r>
      <w:r>
        <w:rPr>
          <w:color w:val="231F20"/>
          <w:spacing w:val="-4"/>
          <w:sz w:val="18"/>
        </w:rPr>
        <w:t> </w:t>
      </w:r>
      <w:r>
        <w:rPr>
          <w:color w:val="231F20"/>
          <w:sz w:val="18"/>
        </w:rPr>
        <w:t>pp.</w:t>
      </w:r>
      <w:r>
        <w:rPr>
          <w:color w:val="231F20"/>
          <w:spacing w:val="-4"/>
          <w:sz w:val="18"/>
        </w:rPr>
        <w:t> </w:t>
      </w:r>
      <w:r>
        <w:rPr>
          <w:color w:val="231F20"/>
          <w:sz w:val="18"/>
        </w:rPr>
        <w:t>3-40,</w:t>
      </w:r>
      <w:r>
        <w:rPr>
          <w:color w:val="231F20"/>
          <w:spacing w:val="-4"/>
          <w:sz w:val="18"/>
        </w:rPr>
        <w:t> </w:t>
      </w:r>
      <w:r>
        <w:rPr>
          <w:color w:val="231F20"/>
          <w:sz w:val="18"/>
        </w:rPr>
        <w:t>Santafé</w:t>
      </w:r>
      <w:r>
        <w:rPr>
          <w:color w:val="231F20"/>
          <w:spacing w:val="-4"/>
          <w:sz w:val="18"/>
        </w:rPr>
        <w:t> </w:t>
      </w:r>
      <w:r>
        <w:rPr>
          <w:color w:val="231F20"/>
          <w:sz w:val="18"/>
        </w:rPr>
        <w:t>de</w:t>
      </w:r>
      <w:r>
        <w:rPr>
          <w:color w:val="231F20"/>
          <w:spacing w:val="-4"/>
          <w:sz w:val="18"/>
        </w:rPr>
        <w:t> </w:t>
      </w:r>
      <w:r>
        <w:rPr>
          <w:color w:val="231F20"/>
          <w:sz w:val="18"/>
        </w:rPr>
        <w:t>Bogotá.</w:t>
      </w:r>
    </w:p>
    <w:p>
      <w:pPr>
        <w:spacing w:line="249" w:lineRule="auto" w:before="146"/>
        <w:ind w:left="502" w:right="38" w:hanging="284"/>
        <w:jc w:val="both"/>
        <w:rPr>
          <w:sz w:val="18"/>
        </w:rPr>
      </w:pPr>
      <w:r>
        <w:rPr>
          <w:color w:val="231F20"/>
          <w:sz w:val="18"/>
        </w:rPr>
        <w:t>Miller, A. &amp; Steele, J. (1945): Permian cephalopods from northern</w:t>
      </w:r>
      <w:r>
        <w:rPr>
          <w:color w:val="231F20"/>
          <w:spacing w:val="17"/>
          <w:sz w:val="18"/>
        </w:rPr>
        <w:t> </w:t>
      </w:r>
      <w:r>
        <w:rPr>
          <w:color w:val="231F20"/>
          <w:sz w:val="18"/>
        </w:rPr>
        <w:t>Colombia.</w:t>
      </w:r>
      <w:r>
        <w:rPr>
          <w:color w:val="231F20"/>
          <w:spacing w:val="18"/>
          <w:sz w:val="18"/>
        </w:rPr>
        <w:t> </w:t>
      </w:r>
      <w:r>
        <w:rPr>
          <w:color w:val="231F20"/>
          <w:sz w:val="18"/>
        </w:rPr>
        <w:t>Journal</w:t>
      </w:r>
      <w:r>
        <w:rPr>
          <w:color w:val="231F20"/>
          <w:spacing w:val="18"/>
          <w:sz w:val="18"/>
        </w:rPr>
        <w:t> </w:t>
      </w:r>
      <w:r>
        <w:rPr>
          <w:color w:val="231F20"/>
          <w:sz w:val="18"/>
        </w:rPr>
        <w:t>of</w:t>
      </w:r>
      <w:r>
        <w:rPr>
          <w:color w:val="231F20"/>
          <w:spacing w:val="18"/>
          <w:sz w:val="18"/>
        </w:rPr>
        <w:t> </w:t>
      </w:r>
      <w:r>
        <w:rPr>
          <w:color w:val="231F20"/>
          <w:sz w:val="18"/>
        </w:rPr>
        <w:t>Paleontology,</w:t>
      </w:r>
      <w:r>
        <w:rPr>
          <w:color w:val="231F20"/>
          <w:spacing w:val="18"/>
          <w:sz w:val="18"/>
        </w:rPr>
        <w:t> </w:t>
      </w:r>
      <w:r>
        <w:rPr>
          <w:color w:val="231F20"/>
          <w:sz w:val="18"/>
        </w:rPr>
        <w:t>vol.</w:t>
      </w:r>
      <w:r>
        <w:rPr>
          <w:color w:val="231F20"/>
          <w:spacing w:val="18"/>
          <w:sz w:val="18"/>
        </w:rPr>
        <w:t> </w:t>
      </w:r>
      <w:r>
        <w:rPr>
          <w:color w:val="231F20"/>
          <w:sz w:val="18"/>
        </w:rPr>
        <w:t>19,</w:t>
      </w:r>
      <w:r>
        <w:rPr>
          <w:color w:val="231F20"/>
          <w:spacing w:val="18"/>
          <w:sz w:val="18"/>
        </w:rPr>
        <w:t> </w:t>
      </w:r>
      <w:r>
        <w:rPr>
          <w:color w:val="231F20"/>
          <w:spacing w:val="-5"/>
          <w:sz w:val="18"/>
        </w:rPr>
        <w:t>Nº</w:t>
      </w:r>
    </w:p>
    <w:p>
      <w:pPr>
        <w:spacing w:before="1"/>
        <w:ind w:left="502" w:right="0" w:firstLine="0"/>
        <w:jc w:val="both"/>
        <w:rPr>
          <w:sz w:val="18"/>
        </w:rPr>
      </w:pPr>
      <w:r>
        <w:rPr>
          <w:color w:val="231F20"/>
          <w:spacing w:val="-2"/>
          <w:sz w:val="18"/>
        </w:rPr>
        <w:t>4.pp.</w:t>
      </w:r>
      <w:r>
        <w:rPr>
          <w:color w:val="231F20"/>
          <w:spacing w:val="-9"/>
          <w:sz w:val="18"/>
        </w:rPr>
        <w:t> </w:t>
      </w:r>
      <w:r>
        <w:rPr>
          <w:color w:val="231F20"/>
          <w:spacing w:val="-2"/>
          <w:sz w:val="18"/>
        </w:rPr>
        <w:t>347-349.,</w:t>
      </w:r>
      <w:r>
        <w:rPr>
          <w:color w:val="231F20"/>
          <w:spacing w:val="-8"/>
          <w:sz w:val="18"/>
        </w:rPr>
        <w:t> </w:t>
      </w:r>
      <w:r>
        <w:rPr>
          <w:color w:val="231F20"/>
          <w:spacing w:val="-2"/>
          <w:sz w:val="18"/>
        </w:rPr>
        <w:t>1</w:t>
      </w:r>
      <w:r>
        <w:rPr>
          <w:color w:val="231F20"/>
          <w:spacing w:val="-8"/>
          <w:sz w:val="18"/>
        </w:rPr>
        <w:t> </w:t>
      </w:r>
      <w:r>
        <w:rPr>
          <w:color w:val="231F20"/>
          <w:spacing w:val="-2"/>
          <w:sz w:val="18"/>
        </w:rPr>
        <w:t>Fig.,</w:t>
      </w:r>
      <w:r>
        <w:rPr>
          <w:color w:val="231F20"/>
          <w:spacing w:val="-8"/>
          <w:sz w:val="18"/>
        </w:rPr>
        <w:t> </w:t>
      </w:r>
      <w:r>
        <w:rPr>
          <w:color w:val="231F20"/>
          <w:spacing w:val="-2"/>
          <w:sz w:val="18"/>
        </w:rPr>
        <w:t>pl.</w:t>
      </w:r>
      <w:r>
        <w:rPr>
          <w:color w:val="231F20"/>
          <w:spacing w:val="-8"/>
          <w:sz w:val="18"/>
        </w:rPr>
        <w:t> </w:t>
      </w:r>
      <w:r>
        <w:rPr>
          <w:color w:val="231F20"/>
          <w:spacing w:val="-2"/>
          <w:sz w:val="18"/>
        </w:rPr>
        <w:t>51.</w:t>
      </w:r>
      <w:r>
        <w:rPr>
          <w:color w:val="231F20"/>
          <w:spacing w:val="-8"/>
          <w:sz w:val="18"/>
        </w:rPr>
        <w:t> </w:t>
      </w:r>
      <w:r>
        <w:rPr>
          <w:color w:val="231F20"/>
          <w:spacing w:val="-2"/>
          <w:sz w:val="18"/>
        </w:rPr>
        <w:t>Tulsa.</w:t>
      </w:r>
    </w:p>
    <w:p>
      <w:pPr>
        <w:spacing w:line="249" w:lineRule="auto" w:before="179"/>
        <w:ind w:left="502" w:right="38" w:hanging="284"/>
        <w:jc w:val="both"/>
        <w:rPr>
          <w:sz w:val="18"/>
        </w:rPr>
      </w:pPr>
      <w:r>
        <w:rPr>
          <w:color w:val="231F20"/>
          <w:spacing w:val="-2"/>
          <w:sz w:val="18"/>
        </w:rPr>
        <w:t>Miller,</w:t>
      </w:r>
      <w:r>
        <w:rPr>
          <w:color w:val="231F20"/>
          <w:spacing w:val="-10"/>
          <w:sz w:val="18"/>
        </w:rPr>
        <w:t> </w:t>
      </w:r>
      <w:r>
        <w:rPr>
          <w:color w:val="231F20"/>
          <w:spacing w:val="-2"/>
          <w:sz w:val="18"/>
        </w:rPr>
        <w:t>A.</w:t>
      </w:r>
      <w:r>
        <w:rPr>
          <w:color w:val="231F20"/>
          <w:spacing w:val="-9"/>
          <w:sz w:val="18"/>
        </w:rPr>
        <w:t> </w:t>
      </w:r>
      <w:r>
        <w:rPr>
          <w:color w:val="231F20"/>
          <w:spacing w:val="-2"/>
          <w:sz w:val="18"/>
        </w:rPr>
        <w:t>K.</w:t>
      </w:r>
      <w:r>
        <w:rPr>
          <w:color w:val="231F20"/>
          <w:spacing w:val="-9"/>
          <w:sz w:val="18"/>
        </w:rPr>
        <w:t> </w:t>
      </w:r>
      <w:r>
        <w:rPr>
          <w:color w:val="231F20"/>
          <w:spacing w:val="-2"/>
          <w:sz w:val="18"/>
        </w:rPr>
        <w:t>&amp;</w:t>
      </w:r>
      <w:r>
        <w:rPr>
          <w:color w:val="231F20"/>
          <w:spacing w:val="-9"/>
          <w:sz w:val="18"/>
        </w:rPr>
        <w:t> </w:t>
      </w:r>
      <w:r>
        <w:rPr>
          <w:color w:val="231F20"/>
          <w:spacing w:val="-2"/>
          <w:sz w:val="18"/>
        </w:rPr>
        <w:t>Thompson,</w:t>
      </w:r>
      <w:r>
        <w:rPr>
          <w:color w:val="231F20"/>
          <w:spacing w:val="-10"/>
          <w:sz w:val="18"/>
        </w:rPr>
        <w:t> </w:t>
      </w:r>
      <w:r>
        <w:rPr>
          <w:color w:val="231F20"/>
          <w:spacing w:val="-2"/>
          <w:sz w:val="18"/>
        </w:rPr>
        <w:t>M.</w:t>
      </w:r>
      <w:r>
        <w:rPr>
          <w:color w:val="231F20"/>
          <w:spacing w:val="-9"/>
          <w:sz w:val="18"/>
        </w:rPr>
        <w:t> </w:t>
      </w:r>
      <w:r>
        <w:rPr>
          <w:color w:val="231F20"/>
          <w:spacing w:val="-2"/>
          <w:sz w:val="18"/>
        </w:rPr>
        <w:t>L.</w:t>
      </w:r>
      <w:r>
        <w:rPr>
          <w:color w:val="231F20"/>
          <w:spacing w:val="-9"/>
          <w:sz w:val="18"/>
        </w:rPr>
        <w:t> </w:t>
      </w:r>
      <w:r>
        <w:rPr>
          <w:color w:val="231F20"/>
          <w:spacing w:val="-2"/>
          <w:sz w:val="18"/>
        </w:rPr>
        <w:t>(1937):</w:t>
      </w:r>
      <w:r>
        <w:rPr>
          <w:color w:val="231F20"/>
          <w:spacing w:val="-9"/>
          <w:sz w:val="18"/>
        </w:rPr>
        <w:t> </w:t>
      </w:r>
      <w:r>
        <w:rPr>
          <w:color w:val="231F20"/>
          <w:spacing w:val="-2"/>
          <w:sz w:val="18"/>
        </w:rPr>
        <w:t>Beit</w:t>
      </w:r>
      <w:r>
        <w:rPr>
          <w:color w:val="231F20"/>
          <w:spacing w:val="-10"/>
          <w:sz w:val="18"/>
        </w:rPr>
        <w:t> </w:t>
      </w:r>
      <w:r>
        <w:rPr>
          <w:color w:val="231F20"/>
          <w:spacing w:val="-2"/>
          <w:sz w:val="18"/>
        </w:rPr>
        <w:t>rage</w:t>
      </w:r>
      <w:r>
        <w:rPr>
          <w:color w:val="231F20"/>
          <w:spacing w:val="-9"/>
          <w:sz w:val="18"/>
        </w:rPr>
        <w:t> </w:t>
      </w:r>
      <w:r>
        <w:rPr>
          <w:color w:val="231F20"/>
          <w:spacing w:val="-2"/>
          <w:sz w:val="18"/>
        </w:rPr>
        <w:t>zur</w:t>
      </w:r>
      <w:r>
        <w:rPr>
          <w:color w:val="231F20"/>
          <w:spacing w:val="-9"/>
          <w:sz w:val="18"/>
        </w:rPr>
        <w:t> </w:t>
      </w:r>
      <w:r>
        <w:rPr>
          <w:color w:val="231F20"/>
          <w:spacing w:val="-2"/>
          <w:sz w:val="18"/>
        </w:rPr>
        <w:t>Kenntnis </w:t>
      </w:r>
      <w:r>
        <w:rPr>
          <w:color w:val="231F20"/>
          <w:sz w:val="18"/>
        </w:rPr>
        <w:t>tropisch-amerikanischer Tertiärmollusken. Teil VI, Some tertiary Nautiloids from Venezuela and Trinidad. Eclogae Geologicae Helvetiae, Nº 30. pp.59-72.</w:t>
      </w:r>
    </w:p>
    <w:p>
      <w:pPr>
        <w:spacing w:line="249" w:lineRule="auto" w:before="173"/>
        <w:ind w:left="502" w:right="38" w:hanging="284"/>
        <w:jc w:val="both"/>
        <w:rPr>
          <w:sz w:val="18"/>
        </w:rPr>
      </w:pPr>
      <w:r>
        <w:rPr>
          <w:color w:val="231F20"/>
          <w:sz w:val="18"/>
        </w:rPr>
        <w:t>Morales,</w:t>
      </w:r>
      <w:r>
        <w:rPr>
          <w:color w:val="231F20"/>
          <w:spacing w:val="-3"/>
          <w:sz w:val="18"/>
        </w:rPr>
        <w:t> </w:t>
      </w:r>
      <w:r>
        <w:rPr>
          <w:color w:val="231F20"/>
          <w:sz w:val="18"/>
        </w:rPr>
        <w:t>P.</w:t>
      </w:r>
      <w:r>
        <w:rPr>
          <w:color w:val="231F20"/>
          <w:spacing w:val="-3"/>
          <w:sz w:val="18"/>
        </w:rPr>
        <w:t> </w:t>
      </w:r>
      <w:r>
        <w:rPr>
          <w:color w:val="231F20"/>
          <w:sz w:val="18"/>
        </w:rPr>
        <w:t>A.</w:t>
      </w:r>
      <w:r>
        <w:rPr>
          <w:color w:val="231F20"/>
          <w:spacing w:val="-3"/>
          <w:sz w:val="18"/>
        </w:rPr>
        <w:t> </w:t>
      </w:r>
      <w:r>
        <w:rPr>
          <w:color w:val="231F20"/>
          <w:sz w:val="18"/>
        </w:rPr>
        <w:t>(1965):</w:t>
      </w:r>
      <w:r>
        <w:rPr>
          <w:color w:val="231F20"/>
          <w:spacing w:val="-3"/>
          <w:sz w:val="18"/>
        </w:rPr>
        <w:t> </w:t>
      </w:r>
      <w:r>
        <w:rPr>
          <w:color w:val="231F20"/>
          <w:sz w:val="18"/>
        </w:rPr>
        <w:t>A</w:t>
      </w:r>
      <w:r>
        <w:rPr>
          <w:color w:val="231F20"/>
          <w:spacing w:val="-3"/>
          <w:sz w:val="18"/>
        </w:rPr>
        <w:t> </w:t>
      </w:r>
      <w:r>
        <w:rPr>
          <w:color w:val="231F20"/>
          <w:sz w:val="18"/>
        </w:rPr>
        <w:t>contribution</w:t>
      </w:r>
      <w:r>
        <w:rPr>
          <w:color w:val="231F20"/>
          <w:spacing w:val="-3"/>
          <w:sz w:val="18"/>
        </w:rPr>
        <w:t> </w:t>
      </w:r>
      <w:r>
        <w:rPr>
          <w:color w:val="231F20"/>
          <w:sz w:val="18"/>
        </w:rPr>
        <w:t>to</w:t>
      </w:r>
      <w:r>
        <w:rPr>
          <w:color w:val="231F20"/>
          <w:spacing w:val="-3"/>
          <w:sz w:val="18"/>
        </w:rPr>
        <w:t> </w:t>
      </w:r>
      <w:r>
        <w:rPr>
          <w:color w:val="231F20"/>
          <w:sz w:val="18"/>
        </w:rPr>
        <w:t>the</w:t>
      </w:r>
      <w:r>
        <w:rPr>
          <w:color w:val="231F20"/>
          <w:spacing w:val="-3"/>
          <w:sz w:val="18"/>
        </w:rPr>
        <w:t> </w:t>
      </w:r>
      <w:r>
        <w:rPr>
          <w:color w:val="231F20"/>
          <w:sz w:val="18"/>
        </w:rPr>
        <w:t>knowledge</w:t>
      </w:r>
      <w:r>
        <w:rPr>
          <w:color w:val="231F20"/>
          <w:spacing w:val="-3"/>
          <w:sz w:val="18"/>
        </w:rPr>
        <w:t> </w:t>
      </w:r>
      <w:r>
        <w:rPr>
          <w:color w:val="231F20"/>
          <w:sz w:val="18"/>
        </w:rPr>
        <w:t>of</w:t>
      </w:r>
      <w:r>
        <w:rPr>
          <w:color w:val="231F20"/>
          <w:spacing w:val="-3"/>
          <w:sz w:val="18"/>
        </w:rPr>
        <w:t> </w:t>
      </w:r>
      <w:r>
        <w:rPr>
          <w:color w:val="231F20"/>
          <w:sz w:val="18"/>
        </w:rPr>
        <w:t>the Devonian</w:t>
      </w:r>
      <w:r>
        <w:rPr>
          <w:color w:val="231F20"/>
          <w:spacing w:val="-12"/>
          <w:sz w:val="18"/>
        </w:rPr>
        <w:t> </w:t>
      </w:r>
      <w:r>
        <w:rPr>
          <w:color w:val="231F20"/>
          <w:sz w:val="18"/>
        </w:rPr>
        <w:t>faunas</w:t>
      </w:r>
      <w:r>
        <w:rPr>
          <w:color w:val="231F20"/>
          <w:spacing w:val="-11"/>
          <w:sz w:val="18"/>
        </w:rPr>
        <w:t> </w:t>
      </w:r>
      <w:r>
        <w:rPr>
          <w:color w:val="231F20"/>
          <w:sz w:val="18"/>
        </w:rPr>
        <w:t>of</w:t>
      </w:r>
      <w:r>
        <w:rPr>
          <w:color w:val="231F20"/>
          <w:spacing w:val="-11"/>
          <w:sz w:val="18"/>
        </w:rPr>
        <w:t> </w:t>
      </w:r>
      <w:r>
        <w:rPr>
          <w:color w:val="231F20"/>
          <w:sz w:val="18"/>
        </w:rPr>
        <w:t>Colombia.</w:t>
      </w:r>
      <w:r>
        <w:rPr>
          <w:color w:val="231F20"/>
          <w:spacing w:val="-11"/>
          <w:sz w:val="18"/>
        </w:rPr>
        <w:t> </w:t>
      </w:r>
      <w:r>
        <w:rPr>
          <w:color w:val="231F20"/>
          <w:sz w:val="18"/>
        </w:rPr>
        <w:t>Boletín</w:t>
      </w:r>
      <w:r>
        <w:rPr>
          <w:color w:val="231F20"/>
          <w:spacing w:val="-12"/>
          <w:sz w:val="18"/>
        </w:rPr>
        <w:t> </w:t>
      </w:r>
      <w:r>
        <w:rPr>
          <w:color w:val="231F20"/>
          <w:sz w:val="18"/>
        </w:rPr>
        <w:t>de</w:t>
      </w:r>
      <w:r>
        <w:rPr>
          <w:color w:val="231F20"/>
          <w:spacing w:val="-11"/>
          <w:sz w:val="18"/>
        </w:rPr>
        <w:t> </w:t>
      </w:r>
      <w:r>
        <w:rPr>
          <w:color w:val="231F20"/>
          <w:sz w:val="18"/>
        </w:rPr>
        <w:t>Geología,</w:t>
      </w:r>
      <w:r>
        <w:rPr>
          <w:color w:val="231F20"/>
          <w:spacing w:val="-11"/>
          <w:sz w:val="18"/>
        </w:rPr>
        <w:t> </w:t>
      </w:r>
      <w:r>
        <w:rPr>
          <w:color w:val="231F20"/>
          <w:sz w:val="18"/>
        </w:rPr>
        <w:t>Nº</w:t>
      </w:r>
      <w:r>
        <w:rPr>
          <w:color w:val="231F20"/>
          <w:spacing w:val="-11"/>
          <w:sz w:val="18"/>
        </w:rPr>
        <w:t> </w:t>
      </w:r>
      <w:r>
        <w:rPr>
          <w:color w:val="231F20"/>
          <w:sz w:val="18"/>
        </w:rPr>
        <w:t>19, 51–110. Universidad Industrial de Santander.</w:t>
      </w:r>
    </w:p>
    <w:p>
      <w:pPr>
        <w:spacing w:line="249" w:lineRule="auto" w:before="173"/>
        <w:ind w:left="502" w:right="38" w:hanging="284"/>
        <w:jc w:val="both"/>
        <w:rPr>
          <w:sz w:val="18"/>
        </w:rPr>
      </w:pPr>
      <w:r>
        <w:rPr>
          <w:color w:val="231F20"/>
          <w:sz w:val="18"/>
        </w:rPr>
        <w:t>Parent H. &amp; Garrido A.C. (2015): Callovian nautiloids from the Neuquén Basin, Argentina. Boletín del Instituto de Fisiografía</w:t>
      </w:r>
      <w:r>
        <w:rPr>
          <w:color w:val="231F20"/>
          <w:spacing w:val="-9"/>
          <w:sz w:val="18"/>
        </w:rPr>
        <w:t> </w:t>
      </w:r>
      <w:r>
        <w:rPr>
          <w:color w:val="231F20"/>
          <w:sz w:val="18"/>
        </w:rPr>
        <w:t>y</w:t>
      </w:r>
      <w:r>
        <w:rPr>
          <w:color w:val="231F20"/>
          <w:spacing w:val="-9"/>
          <w:sz w:val="18"/>
        </w:rPr>
        <w:t> </w:t>
      </w:r>
      <w:r>
        <w:rPr>
          <w:color w:val="231F20"/>
          <w:sz w:val="18"/>
        </w:rPr>
        <w:t>Geología</w:t>
      </w:r>
      <w:r>
        <w:rPr>
          <w:color w:val="231F20"/>
          <w:spacing w:val="-9"/>
          <w:sz w:val="18"/>
        </w:rPr>
        <w:t> </w:t>
      </w:r>
      <w:r>
        <w:rPr>
          <w:color w:val="231F20"/>
          <w:sz w:val="18"/>
        </w:rPr>
        <w:t>85:</w:t>
      </w:r>
      <w:r>
        <w:rPr>
          <w:color w:val="231F20"/>
          <w:spacing w:val="-8"/>
          <w:sz w:val="18"/>
        </w:rPr>
        <w:t> </w:t>
      </w:r>
      <w:r>
        <w:rPr>
          <w:color w:val="231F20"/>
          <w:sz w:val="18"/>
        </w:rPr>
        <w:t>pp.13-18.</w:t>
      </w:r>
      <w:r>
        <w:rPr>
          <w:color w:val="231F20"/>
          <w:spacing w:val="-9"/>
          <w:sz w:val="18"/>
        </w:rPr>
        <w:t> </w:t>
      </w:r>
      <w:r>
        <w:rPr>
          <w:color w:val="231F20"/>
          <w:sz w:val="18"/>
        </w:rPr>
        <w:t>Rosario,</w:t>
      </w:r>
      <w:r>
        <w:rPr>
          <w:color w:val="231F20"/>
          <w:spacing w:val="-9"/>
          <w:sz w:val="18"/>
        </w:rPr>
        <w:t> </w:t>
      </w:r>
      <w:r>
        <w:rPr>
          <w:color w:val="231F20"/>
          <w:sz w:val="18"/>
        </w:rPr>
        <w:t>04-11-2015. ISSN 1666-115X.</w:t>
      </w:r>
    </w:p>
    <w:p>
      <w:pPr>
        <w:spacing w:line="249" w:lineRule="auto" w:before="173"/>
        <w:ind w:left="502" w:right="38" w:hanging="284"/>
        <w:jc w:val="both"/>
        <w:rPr>
          <w:sz w:val="18"/>
        </w:rPr>
      </w:pPr>
      <w:r>
        <w:rPr>
          <w:color w:val="231F20"/>
          <w:sz w:val="18"/>
        </w:rPr>
        <w:t>Patarroyo,P.</w:t>
      </w:r>
      <w:r>
        <w:rPr>
          <w:color w:val="231F20"/>
          <w:spacing w:val="-11"/>
          <w:sz w:val="18"/>
        </w:rPr>
        <w:t> </w:t>
      </w:r>
      <w:r>
        <w:rPr>
          <w:color w:val="231F20"/>
          <w:sz w:val="18"/>
        </w:rPr>
        <w:t>(2015):</w:t>
      </w:r>
      <w:r>
        <w:rPr>
          <w:color w:val="231F20"/>
          <w:spacing w:val="-11"/>
          <w:sz w:val="18"/>
        </w:rPr>
        <w:t> </w:t>
      </w:r>
      <w:r>
        <w:rPr>
          <w:color w:val="231F20"/>
          <w:sz w:val="18"/>
        </w:rPr>
        <w:t>Amonoideos</w:t>
      </w:r>
      <w:r>
        <w:rPr>
          <w:color w:val="231F20"/>
          <w:spacing w:val="-11"/>
          <w:sz w:val="18"/>
        </w:rPr>
        <w:t> </w:t>
      </w:r>
      <w:r>
        <w:rPr>
          <w:color w:val="231F20"/>
          <w:sz w:val="18"/>
        </w:rPr>
        <w:t>y</w:t>
      </w:r>
      <w:r>
        <w:rPr>
          <w:color w:val="231F20"/>
          <w:spacing w:val="-11"/>
          <w:sz w:val="18"/>
        </w:rPr>
        <w:t> </w:t>
      </w:r>
      <w:r>
        <w:rPr>
          <w:color w:val="231F20"/>
          <w:sz w:val="18"/>
        </w:rPr>
        <w:t>nautiloideos</w:t>
      </w:r>
      <w:r>
        <w:rPr>
          <w:color w:val="231F20"/>
          <w:spacing w:val="-11"/>
          <w:sz w:val="18"/>
        </w:rPr>
        <w:t> </w:t>
      </w:r>
      <w:r>
        <w:rPr>
          <w:color w:val="231F20"/>
          <w:sz w:val="18"/>
        </w:rPr>
        <w:t>de</w:t>
      </w:r>
      <w:r>
        <w:rPr>
          <w:color w:val="231F20"/>
          <w:spacing w:val="-11"/>
          <w:sz w:val="18"/>
        </w:rPr>
        <w:t> </w:t>
      </w:r>
      <w:r>
        <w:rPr>
          <w:color w:val="231F20"/>
          <w:sz w:val="18"/>
        </w:rPr>
        <w:t>Colombia. Ponencia oral. Memorias XV Congreso Colombiano de Geología. Editorial Sociedad Colombiana de Geología.</w:t>
      </w:r>
    </w:p>
    <w:p>
      <w:pPr>
        <w:spacing w:line="249" w:lineRule="auto" w:before="172"/>
        <w:ind w:left="502" w:right="38" w:hanging="284"/>
        <w:jc w:val="both"/>
        <w:rPr>
          <w:sz w:val="18"/>
        </w:rPr>
      </w:pPr>
      <w:r>
        <w:rPr>
          <w:color w:val="231F20"/>
          <w:sz w:val="18"/>
        </w:rPr>
        <w:t>Perilla, A. (2018 a): Identificación y Caracterización de las calizas triásicas de Chaparral, Tolima. Trabajo de Grado. Departamento de Geociencias, Universidad Nacional de Colombia, Bogotá D.C.</w:t>
      </w:r>
    </w:p>
    <w:p>
      <w:pPr>
        <w:spacing w:line="249" w:lineRule="auto" w:before="173"/>
        <w:ind w:left="502" w:right="38" w:hanging="284"/>
        <w:jc w:val="both"/>
        <w:rPr>
          <w:sz w:val="18"/>
        </w:rPr>
      </w:pPr>
      <w:r>
        <w:rPr>
          <w:color w:val="231F20"/>
          <w:sz w:val="18"/>
        </w:rPr>
        <w:t>Saunders W.B. &amp; Landman N.H. (1987): Nautilus The Biology and Paleobiology of a Living Fossil. Chapter 2: The Ancestry of the Genus Nautilus por Teichert, C. &amp; Matsumoto, T.pp.25-30. New York and London: Plenum </w:t>
      </w:r>
      <w:r>
        <w:rPr>
          <w:color w:val="231F20"/>
          <w:spacing w:val="-2"/>
          <w:sz w:val="18"/>
        </w:rPr>
        <w:t>Press.</w:t>
      </w:r>
    </w:p>
    <w:p>
      <w:pPr>
        <w:spacing w:line="249" w:lineRule="auto" w:before="93"/>
        <w:ind w:left="502" w:right="694" w:hanging="284"/>
        <w:jc w:val="both"/>
        <w:rPr>
          <w:sz w:val="18"/>
        </w:rPr>
      </w:pPr>
      <w:r>
        <w:rPr/>
        <w:br w:type="column"/>
      </w:r>
      <w:r>
        <w:rPr>
          <w:color w:val="231F20"/>
          <w:sz w:val="18"/>
        </w:rPr>
        <w:t>Sobolev, E.S (1994): Stratigraphic range of Triassic Boreal Nautiloidea.</w:t>
      </w:r>
      <w:r>
        <w:rPr>
          <w:color w:val="231F20"/>
          <w:spacing w:val="40"/>
          <w:sz w:val="18"/>
        </w:rPr>
        <w:t> </w:t>
      </w:r>
      <w:r>
        <w:rPr>
          <w:color w:val="231F20"/>
          <w:sz w:val="18"/>
        </w:rPr>
        <w:t>Institute</w:t>
      </w:r>
      <w:r>
        <w:rPr>
          <w:color w:val="231F20"/>
          <w:spacing w:val="40"/>
          <w:sz w:val="18"/>
        </w:rPr>
        <w:t> </w:t>
      </w:r>
      <w:r>
        <w:rPr>
          <w:color w:val="231F20"/>
          <w:sz w:val="18"/>
        </w:rPr>
        <w:t>of</w:t>
      </w:r>
      <w:r>
        <w:rPr>
          <w:color w:val="231F20"/>
          <w:spacing w:val="40"/>
          <w:sz w:val="18"/>
        </w:rPr>
        <w:t> </w:t>
      </w:r>
      <w:r>
        <w:rPr>
          <w:color w:val="231F20"/>
          <w:sz w:val="18"/>
        </w:rPr>
        <w:t>Geology</w:t>
      </w:r>
      <w:r>
        <w:rPr>
          <w:color w:val="231F20"/>
          <w:spacing w:val="40"/>
          <w:sz w:val="18"/>
        </w:rPr>
        <w:t> </w:t>
      </w:r>
      <w:r>
        <w:rPr>
          <w:color w:val="231F20"/>
          <w:sz w:val="18"/>
        </w:rPr>
        <w:t>and</w:t>
      </w:r>
      <w:r>
        <w:rPr>
          <w:color w:val="231F20"/>
          <w:spacing w:val="40"/>
          <w:sz w:val="18"/>
        </w:rPr>
        <w:t> </w:t>
      </w:r>
      <w:r>
        <w:rPr>
          <w:color w:val="231F20"/>
          <w:sz w:val="18"/>
        </w:rPr>
        <w:t>Geophysics</w:t>
      </w:r>
      <w:r>
        <w:rPr>
          <w:color w:val="231F20"/>
          <w:spacing w:val="40"/>
          <w:sz w:val="18"/>
        </w:rPr>
        <w:t> </w:t>
      </w:r>
      <w:r>
        <w:rPr>
          <w:color w:val="231F20"/>
          <w:sz w:val="18"/>
        </w:rPr>
        <w:t>of the Siberian Branch of the USSR Academy of Sciences, 630090, Novosibirsk, USSR.pp.127-138.</w:t>
      </w:r>
    </w:p>
    <w:p>
      <w:pPr>
        <w:spacing w:line="249" w:lineRule="auto" w:before="173"/>
        <w:ind w:left="502" w:right="694" w:hanging="284"/>
        <w:jc w:val="both"/>
        <w:rPr>
          <w:sz w:val="18"/>
        </w:rPr>
      </w:pPr>
      <w:r>
        <w:rPr>
          <w:color w:val="231F20"/>
          <w:sz w:val="18"/>
        </w:rPr>
        <w:t>Tintant, H. (1984): ‘Contribution a la connaissance des nautilaces Jurassique 1. - Le sous-genre Cenoceras Hyatt dans</w:t>
      </w:r>
      <w:r>
        <w:rPr>
          <w:color w:val="231F20"/>
          <w:spacing w:val="-7"/>
          <w:sz w:val="18"/>
        </w:rPr>
        <w:t> </w:t>
      </w:r>
      <w:r>
        <w:rPr>
          <w:color w:val="231F20"/>
          <w:sz w:val="18"/>
        </w:rPr>
        <w:t>le</w:t>
      </w:r>
      <w:r>
        <w:rPr>
          <w:color w:val="231F20"/>
          <w:spacing w:val="-7"/>
          <w:sz w:val="18"/>
        </w:rPr>
        <w:t> </w:t>
      </w:r>
      <w:r>
        <w:rPr>
          <w:color w:val="231F20"/>
          <w:sz w:val="18"/>
        </w:rPr>
        <w:t>Lias</w:t>
      </w:r>
      <w:r>
        <w:rPr>
          <w:color w:val="231F20"/>
          <w:spacing w:val="-7"/>
          <w:sz w:val="18"/>
        </w:rPr>
        <w:t> </w:t>
      </w:r>
      <w:r>
        <w:rPr>
          <w:color w:val="231F20"/>
          <w:sz w:val="18"/>
        </w:rPr>
        <w:t>du</w:t>
      </w:r>
      <w:r>
        <w:rPr>
          <w:color w:val="231F20"/>
          <w:spacing w:val="-7"/>
          <w:sz w:val="18"/>
        </w:rPr>
        <w:t> </w:t>
      </w:r>
      <w:r>
        <w:rPr>
          <w:color w:val="231F20"/>
          <w:sz w:val="18"/>
        </w:rPr>
        <w:t>Sud-Est</w:t>
      </w:r>
      <w:r>
        <w:rPr>
          <w:color w:val="231F20"/>
          <w:spacing w:val="-7"/>
          <w:sz w:val="18"/>
        </w:rPr>
        <w:t> </w:t>
      </w:r>
      <w:r>
        <w:rPr>
          <w:color w:val="231F20"/>
          <w:sz w:val="18"/>
        </w:rPr>
        <w:t>de</w:t>
      </w:r>
      <w:r>
        <w:rPr>
          <w:color w:val="231F20"/>
          <w:spacing w:val="-7"/>
          <w:sz w:val="18"/>
        </w:rPr>
        <w:t> </w:t>
      </w:r>
      <w:r>
        <w:rPr>
          <w:color w:val="231F20"/>
          <w:sz w:val="18"/>
        </w:rPr>
        <w:t>la</w:t>
      </w:r>
      <w:r>
        <w:rPr>
          <w:color w:val="231F20"/>
          <w:spacing w:val="-7"/>
          <w:sz w:val="18"/>
        </w:rPr>
        <w:t> </w:t>
      </w:r>
      <w:r>
        <w:rPr>
          <w:color w:val="231F20"/>
          <w:sz w:val="18"/>
        </w:rPr>
        <w:t>France’,</w:t>
      </w:r>
      <w:r>
        <w:rPr>
          <w:color w:val="231F20"/>
          <w:spacing w:val="-7"/>
          <w:sz w:val="18"/>
        </w:rPr>
        <w:t> </w:t>
      </w:r>
      <w:r>
        <w:rPr>
          <w:color w:val="231F20"/>
          <w:sz w:val="18"/>
        </w:rPr>
        <w:t>Geologie</w:t>
      </w:r>
      <w:r>
        <w:rPr>
          <w:color w:val="231F20"/>
          <w:spacing w:val="-7"/>
          <w:sz w:val="18"/>
        </w:rPr>
        <w:t> </w:t>
      </w:r>
      <w:r>
        <w:rPr>
          <w:color w:val="231F20"/>
          <w:sz w:val="18"/>
        </w:rPr>
        <w:t>de</w:t>
      </w:r>
      <w:r>
        <w:rPr>
          <w:color w:val="231F20"/>
          <w:spacing w:val="-7"/>
          <w:sz w:val="18"/>
        </w:rPr>
        <w:t> </w:t>
      </w:r>
      <w:r>
        <w:rPr>
          <w:color w:val="231F20"/>
          <w:sz w:val="18"/>
        </w:rPr>
        <w:t>France, 1–2, pp. 29–66, Paris.</w:t>
      </w:r>
    </w:p>
    <w:p>
      <w:pPr>
        <w:spacing w:line="249" w:lineRule="auto" w:before="173"/>
        <w:ind w:left="502" w:right="695" w:hanging="284"/>
        <w:jc w:val="both"/>
        <w:rPr>
          <w:sz w:val="18"/>
        </w:rPr>
      </w:pPr>
      <w:r>
        <w:rPr>
          <w:color w:val="231F20"/>
          <w:sz w:val="18"/>
        </w:rPr>
        <w:t>Tintant, H. (1987): Les nautiles du Jurassique d’Arabie Saoudite. Geobios, Mém. Spec., Nº 9: pp. 67-159.</w:t>
      </w:r>
    </w:p>
    <w:p>
      <w:pPr>
        <w:spacing w:line="249" w:lineRule="auto" w:before="171"/>
        <w:ind w:left="502" w:right="694" w:hanging="284"/>
        <w:jc w:val="both"/>
        <w:rPr>
          <w:sz w:val="18"/>
        </w:rPr>
      </w:pPr>
      <w:r>
        <w:rPr>
          <w:color w:val="231F20"/>
          <w:sz w:val="18"/>
        </w:rPr>
        <w:t>Thompson, M. &amp; Miller, A. (1949): Permian fusulinids and cephalopods from the vicinity of the Maracaibo basin in northern</w:t>
      </w:r>
      <w:r>
        <w:rPr>
          <w:color w:val="231F20"/>
          <w:spacing w:val="-3"/>
          <w:sz w:val="18"/>
        </w:rPr>
        <w:t> </w:t>
      </w:r>
      <w:r>
        <w:rPr>
          <w:color w:val="231F20"/>
          <w:sz w:val="18"/>
        </w:rPr>
        <w:t>South</w:t>
      </w:r>
      <w:r>
        <w:rPr>
          <w:color w:val="231F20"/>
          <w:spacing w:val="-3"/>
          <w:sz w:val="18"/>
        </w:rPr>
        <w:t> </w:t>
      </w:r>
      <w:r>
        <w:rPr>
          <w:color w:val="231F20"/>
          <w:sz w:val="18"/>
        </w:rPr>
        <w:t>America.</w:t>
      </w:r>
      <w:r>
        <w:rPr>
          <w:color w:val="231F20"/>
          <w:spacing w:val="-3"/>
          <w:sz w:val="18"/>
        </w:rPr>
        <w:t> </w:t>
      </w:r>
      <w:r>
        <w:rPr>
          <w:color w:val="231F20"/>
          <w:sz w:val="18"/>
        </w:rPr>
        <w:t>Journal</w:t>
      </w:r>
      <w:r>
        <w:rPr>
          <w:color w:val="231F20"/>
          <w:spacing w:val="-3"/>
          <w:sz w:val="18"/>
        </w:rPr>
        <w:t> </w:t>
      </w:r>
      <w:r>
        <w:rPr>
          <w:color w:val="231F20"/>
          <w:sz w:val="18"/>
        </w:rPr>
        <w:t>of</w:t>
      </w:r>
      <w:r>
        <w:rPr>
          <w:color w:val="231F20"/>
          <w:spacing w:val="-3"/>
          <w:sz w:val="18"/>
        </w:rPr>
        <w:t> </w:t>
      </w:r>
      <w:r>
        <w:rPr>
          <w:color w:val="231F20"/>
          <w:sz w:val="18"/>
        </w:rPr>
        <w:t>Paleontology,</w:t>
      </w:r>
      <w:r>
        <w:rPr>
          <w:color w:val="231F20"/>
          <w:spacing w:val="-3"/>
          <w:sz w:val="18"/>
        </w:rPr>
        <w:t> </w:t>
      </w:r>
      <w:r>
        <w:rPr>
          <w:color w:val="231F20"/>
          <w:sz w:val="18"/>
        </w:rPr>
        <w:t>vol.</w:t>
      </w:r>
      <w:r>
        <w:rPr>
          <w:color w:val="231F20"/>
          <w:spacing w:val="-3"/>
          <w:sz w:val="18"/>
        </w:rPr>
        <w:t> </w:t>
      </w:r>
      <w:r>
        <w:rPr>
          <w:color w:val="231F20"/>
          <w:sz w:val="18"/>
        </w:rPr>
        <w:t>23, Nº 1, pp.1-24, 1 Fig., 8 pl. Tulsa.</w:t>
      </w:r>
    </w:p>
    <w:p>
      <w:pPr>
        <w:spacing w:before="174"/>
        <w:ind w:left="219" w:right="0" w:firstLine="0"/>
        <w:jc w:val="left"/>
        <w:rPr>
          <w:sz w:val="18"/>
        </w:rPr>
      </w:pPr>
      <w:r>
        <w:rPr>
          <w:color w:val="231F20"/>
          <w:spacing w:val="-2"/>
          <w:sz w:val="18"/>
        </w:rPr>
        <w:t>Trumpy,</w:t>
      </w:r>
      <w:r>
        <w:rPr>
          <w:color w:val="231F20"/>
          <w:spacing w:val="-1"/>
          <w:sz w:val="18"/>
        </w:rPr>
        <w:t> </w:t>
      </w:r>
      <w:r>
        <w:rPr>
          <w:color w:val="231F20"/>
          <w:spacing w:val="-2"/>
          <w:sz w:val="18"/>
        </w:rPr>
        <w:t>D.</w:t>
      </w:r>
      <w:r>
        <w:rPr>
          <w:color w:val="231F20"/>
          <w:spacing w:val="-1"/>
          <w:sz w:val="18"/>
        </w:rPr>
        <w:t> </w:t>
      </w:r>
      <w:r>
        <w:rPr>
          <w:color w:val="231F20"/>
          <w:spacing w:val="-2"/>
          <w:sz w:val="18"/>
        </w:rPr>
        <w:t>(1943):</w:t>
      </w:r>
      <w:r>
        <w:rPr>
          <w:color w:val="231F20"/>
          <w:spacing w:val="-1"/>
          <w:sz w:val="18"/>
        </w:rPr>
        <w:t> </w:t>
      </w:r>
      <w:r>
        <w:rPr>
          <w:color w:val="231F20"/>
          <w:spacing w:val="-2"/>
          <w:sz w:val="18"/>
        </w:rPr>
        <w:t>Pre-Cretaceous</w:t>
      </w:r>
      <w:r>
        <w:rPr>
          <w:color w:val="231F20"/>
          <w:spacing w:val="-1"/>
          <w:sz w:val="18"/>
        </w:rPr>
        <w:t> </w:t>
      </w:r>
      <w:r>
        <w:rPr>
          <w:color w:val="231F20"/>
          <w:spacing w:val="-2"/>
          <w:sz w:val="18"/>
        </w:rPr>
        <w:t>of</w:t>
      </w:r>
      <w:r>
        <w:rPr>
          <w:color w:val="231F20"/>
          <w:sz w:val="18"/>
        </w:rPr>
        <w:t> </w:t>
      </w:r>
      <w:r>
        <w:rPr>
          <w:color w:val="231F20"/>
          <w:spacing w:val="-2"/>
          <w:sz w:val="18"/>
        </w:rPr>
        <w:t>Colombia.1297-1299p.</w:t>
      </w:r>
    </w:p>
    <w:p>
      <w:pPr>
        <w:spacing w:line="249" w:lineRule="auto" w:before="179"/>
        <w:ind w:left="502" w:right="693" w:hanging="284"/>
        <w:jc w:val="both"/>
        <w:rPr>
          <w:sz w:val="18"/>
        </w:rPr>
      </w:pPr>
      <w:r>
        <w:rPr>
          <w:color w:val="231F20"/>
          <w:sz w:val="18"/>
        </w:rPr>
        <w:t>Van Diggelen, J. (1194): Overzicht van de Mesozoische en Cenozoische Nautiloidea. gea vol. 27, Nº 2, pp. 45-76.</w:t>
      </w:r>
    </w:p>
    <w:p>
      <w:pPr>
        <w:spacing w:line="249" w:lineRule="auto" w:before="171"/>
        <w:ind w:left="502" w:right="694" w:hanging="284"/>
        <w:jc w:val="both"/>
        <w:rPr>
          <w:sz w:val="18"/>
        </w:rPr>
      </w:pPr>
      <w:r>
        <w:rPr>
          <w:color w:val="231F20"/>
          <w:sz w:val="18"/>
        </w:rPr>
        <w:t>Villarroel, C., Mojica, J. (1987): El Paleozoico Superior (Carbonífero-Pérmico) sedimentario de Colombia. Afloramientos conocidos y características generales. Geología Colombiana, Nº 16. pp. 81-87, 4 Figs. Bogotá.</w:t>
      </w:r>
    </w:p>
    <w:p>
      <w:pPr>
        <w:spacing w:line="249" w:lineRule="auto" w:before="173"/>
        <w:ind w:left="502" w:right="694" w:hanging="284"/>
        <w:jc w:val="both"/>
        <w:rPr>
          <w:sz w:val="18"/>
        </w:rPr>
      </w:pPr>
      <w:r>
        <w:rPr>
          <w:color w:val="231F20"/>
          <w:sz w:val="18"/>
        </w:rPr>
        <w:t>Wilckens, O. (1904): Revision der Fauna der Quiriquina- Schichten. Beiträge zur Geologie und Paleontologie von Südamerika, Nº11. pp. 181-284.</w:t>
      </w:r>
    </w:p>
    <w:p>
      <w:pPr>
        <w:spacing w:line="249" w:lineRule="auto" w:before="173"/>
        <w:ind w:left="502" w:right="694" w:hanging="284"/>
        <w:jc w:val="both"/>
        <w:rPr>
          <w:sz w:val="18"/>
        </w:rPr>
      </w:pPr>
      <w:r>
        <w:rPr>
          <w:color w:val="231F20"/>
          <w:spacing w:val="-2"/>
          <w:sz w:val="18"/>
        </w:rPr>
        <w:t>Zambrano,</w:t>
      </w:r>
      <w:r>
        <w:rPr>
          <w:color w:val="231F20"/>
          <w:spacing w:val="-7"/>
          <w:sz w:val="18"/>
        </w:rPr>
        <w:t> </w:t>
      </w:r>
      <w:r>
        <w:rPr>
          <w:color w:val="231F20"/>
          <w:spacing w:val="-2"/>
          <w:sz w:val="18"/>
        </w:rPr>
        <w:t>P.</w:t>
      </w:r>
      <w:r>
        <w:rPr>
          <w:color w:val="231F20"/>
          <w:spacing w:val="-7"/>
          <w:sz w:val="18"/>
        </w:rPr>
        <w:t> </w:t>
      </w:r>
      <w:r>
        <w:rPr>
          <w:color w:val="231F20"/>
          <w:spacing w:val="-2"/>
          <w:sz w:val="18"/>
        </w:rPr>
        <w:t>&amp;</w:t>
      </w:r>
      <w:r>
        <w:rPr>
          <w:color w:val="231F20"/>
          <w:spacing w:val="-7"/>
          <w:sz w:val="18"/>
        </w:rPr>
        <w:t> </w:t>
      </w:r>
      <w:r>
        <w:rPr>
          <w:color w:val="231F20"/>
          <w:spacing w:val="-2"/>
          <w:sz w:val="18"/>
        </w:rPr>
        <w:t>Nielsen,</w:t>
      </w:r>
      <w:r>
        <w:rPr>
          <w:color w:val="231F20"/>
          <w:spacing w:val="-7"/>
          <w:sz w:val="18"/>
        </w:rPr>
        <w:t> </w:t>
      </w:r>
      <w:r>
        <w:rPr>
          <w:color w:val="231F20"/>
          <w:spacing w:val="-2"/>
          <w:sz w:val="18"/>
        </w:rPr>
        <w:t>S.</w:t>
      </w:r>
      <w:r>
        <w:rPr>
          <w:color w:val="231F20"/>
          <w:spacing w:val="-7"/>
          <w:sz w:val="18"/>
        </w:rPr>
        <w:t> </w:t>
      </w:r>
      <w:r>
        <w:rPr>
          <w:color w:val="231F20"/>
          <w:spacing w:val="-2"/>
          <w:sz w:val="18"/>
        </w:rPr>
        <w:t>V.</w:t>
      </w:r>
      <w:r>
        <w:rPr>
          <w:color w:val="231F20"/>
          <w:spacing w:val="-7"/>
          <w:sz w:val="18"/>
        </w:rPr>
        <w:t> </w:t>
      </w:r>
      <w:r>
        <w:rPr>
          <w:color w:val="231F20"/>
          <w:spacing w:val="-2"/>
          <w:sz w:val="18"/>
        </w:rPr>
        <w:t>(2012):</w:t>
      </w:r>
      <w:r>
        <w:rPr>
          <w:color w:val="231F20"/>
          <w:spacing w:val="-7"/>
          <w:sz w:val="18"/>
        </w:rPr>
        <w:t> </w:t>
      </w:r>
      <w:r>
        <w:rPr>
          <w:color w:val="231F20"/>
          <w:spacing w:val="-2"/>
          <w:sz w:val="18"/>
        </w:rPr>
        <w:t>Nautiloideos</w:t>
      </w:r>
      <w:r>
        <w:rPr>
          <w:color w:val="231F20"/>
          <w:spacing w:val="-7"/>
          <w:sz w:val="18"/>
        </w:rPr>
        <w:t> </w:t>
      </w:r>
      <w:r>
        <w:rPr>
          <w:color w:val="231F20"/>
          <w:spacing w:val="-2"/>
          <w:sz w:val="18"/>
        </w:rPr>
        <w:t>paleógenos </w:t>
      </w:r>
      <w:r>
        <w:rPr>
          <w:color w:val="231F20"/>
          <w:sz w:val="18"/>
        </w:rPr>
        <w:t>de Chile Central-Austral. Póster en XIII Congreso de Geológico Chileno. Antofagasta-Chile.</w:t>
      </w:r>
    </w:p>
    <w:sectPr>
      <w:type w:val="continuous"/>
      <w:pgSz w:w="12260" w:h="15560"/>
      <w:pgMar w:header="373" w:footer="336" w:top="240" w:bottom="520" w:left="1275" w:right="708"/>
      <w:cols w:num="2" w:equalWidth="0">
        <w:col w:w="4739" w:space="137"/>
        <w:col w:w="5401"/>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Trebuchet MS">
    <w:altName w:val="Trebuchet MS"/>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441408">
              <wp:simplePos x="0" y="0"/>
              <wp:positionH relativeFrom="page">
                <wp:posOffset>3815598</wp:posOffset>
              </wp:positionH>
              <wp:positionV relativeFrom="page">
                <wp:posOffset>9521978</wp:posOffset>
              </wp:positionV>
              <wp:extent cx="219710" cy="17843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19710" cy="178435"/>
                      </a:xfrm>
                      <a:prstGeom prst="rect">
                        <a:avLst/>
                      </a:prstGeom>
                    </wps:spPr>
                    <wps:txbx>
                      <w:txbxContent>
                        <w:p>
                          <w:pPr>
                            <w:pStyle w:val="BodyText"/>
                            <w:spacing w:before="22"/>
                            <w:ind w:left="60"/>
                            <w:rPr>
                              <w:rFonts w:ascii="Trebuchet MS"/>
                            </w:rPr>
                          </w:pPr>
                          <w:r>
                            <w:rPr>
                              <w:rFonts w:ascii="Trebuchet MS"/>
                              <w:color w:val="231F20"/>
                              <w:spacing w:val="-5"/>
                            </w:rPr>
                            <w:fldChar w:fldCharType="begin"/>
                          </w:r>
                          <w:r>
                            <w:rPr>
                              <w:rFonts w:ascii="Trebuchet MS"/>
                              <w:color w:val="231F20"/>
                              <w:spacing w:val="-5"/>
                            </w:rPr>
                            <w:instrText> PAGE </w:instrText>
                          </w:r>
                          <w:r>
                            <w:rPr>
                              <w:rFonts w:ascii="Trebuchet MS"/>
                              <w:color w:val="231F20"/>
                              <w:spacing w:val="-5"/>
                            </w:rPr>
                            <w:fldChar w:fldCharType="separate"/>
                          </w:r>
                          <w:r>
                            <w:rPr>
                              <w:rFonts w:ascii="Trebuchet MS"/>
                              <w:color w:val="231F20"/>
                              <w:spacing w:val="-5"/>
                            </w:rPr>
                            <w:t>42</w:t>
                          </w:r>
                          <w:r>
                            <w:rPr>
                              <w:rFonts w:ascii="Trebuchet MS"/>
                              <w:color w:val="231F20"/>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0.440796pt;margin-top:749.762085pt;width:17.3pt;height:14.05pt;mso-position-horizontal-relative:page;mso-position-vertical-relative:page;z-index:-15875072" type="#_x0000_t202" id="docshape1" filled="false" stroked="false">
              <v:textbox inset="0,0,0,0">
                <w:txbxContent>
                  <w:p>
                    <w:pPr>
                      <w:pStyle w:val="BodyText"/>
                      <w:spacing w:before="22"/>
                      <w:ind w:left="60"/>
                      <w:rPr>
                        <w:rFonts w:ascii="Trebuchet MS"/>
                      </w:rPr>
                    </w:pPr>
                    <w:r>
                      <w:rPr>
                        <w:rFonts w:ascii="Trebuchet MS"/>
                        <w:color w:val="231F20"/>
                        <w:spacing w:val="-5"/>
                      </w:rPr>
                      <w:fldChar w:fldCharType="begin"/>
                    </w:r>
                    <w:r>
                      <w:rPr>
                        <w:rFonts w:ascii="Trebuchet MS"/>
                        <w:color w:val="231F20"/>
                        <w:spacing w:val="-5"/>
                      </w:rPr>
                      <w:instrText> PAGE </w:instrText>
                    </w:r>
                    <w:r>
                      <w:rPr>
                        <w:rFonts w:ascii="Trebuchet MS"/>
                        <w:color w:val="231F20"/>
                        <w:spacing w:val="-5"/>
                      </w:rPr>
                      <w:fldChar w:fldCharType="separate"/>
                    </w:r>
                    <w:r>
                      <w:rPr>
                        <w:rFonts w:ascii="Trebuchet MS"/>
                        <w:color w:val="231F20"/>
                        <w:spacing w:val="-5"/>
                      </w:rPr>
                      <w:t>42</w:t>
                    </w:r>
                    <w:r>
                      <w:rPr>
                        <w:rFonts w:ascii="Trebuchet MS"/>
                        <w:color w:val="231F20"/>
                        <w:spacing w:val="-5"/>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441920">
              <wp:simplePos x="0" y="0"/>
              <wp:positionH relativeFrom="page">
                <wp:posOffset>3779597</wp:posOffset>
              </wp:positionH>
              <wp:positionV relativeFrom="page">
                <wp:posOffset>9521753</wp:posOffset>
              </wp:positionV>
              <wp:extent cx="219710" cy="17843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19710" cy="178435"/>
                      </a:xfrm>
                      <a:prstGeom prst="rect">
                        <a:avLst/>
                      </a:prstGeom>
                    </wps:spPr>
                    <wps:txbx>
                      <w:txbxContent>
                        <w:p>
                          <w:pPr>
                            <w:pStyle w:val="BodyText"/>
                            <w:spacing w:before="22"/>
                            <w:ind w:left="60"/>
                            <w:rPr>
                              <w:rFonts w:ascii="Trebuchet MS"/>
                            </w:rPr>
                          </w:pPr>
                          <w:r>
                            <w:rPr>
                              <w:rFonts w:ascii="Trebuchet MS"/>
                              <w:color w:val="231F20"/>
                              <w:spacing w:val="-5"/>
                            </w:rPr>
                            <w:fldChar w:fldCharType="begin"/>
                          </w:r>
                          <w:r>
                            <w:rPr>
                              <w:rFonts w:ascii="Trebuchet MS"/>
                              <w:color w:val="231F20"/>
                              <w:spacing w:val="-5"/>
                            </w:rPr>
                            <w:instrText> PAGE </w:instrText>
                          </w:r>
                          <w:r>
                            <w:rPr>
                              <w:rFonts w:ascii="Trebuchet MS"/>
                              <w:color w:val="231F20"/>
                              <w:spacing w:val="-5"/>
                            </w:rPr>
                            <w:fldChar w:fldCharType="separate"/>
                          </w:r>
                          <w:r>
                            <w:rPr>
                              <w:rFonts w:ascii="Trebuchet MS"/>
                              <w:color w:val="231F20"/>
                              <w:spacing w:val="-5"/>
                            </w:rPr>
                            <w:t>43</w:t>
                          </w:r>
                          <w:r>
                            <w:rPr>
                              <w:rFonts w:ascii="Trebuchet MS"/>
                              <w:color w:val="231F20"/>
                              <w:spacing w:val="-5"/>
                            </w:rPr>
                            <w:fldChar w:fldCharType="end"/>
                          </w:r>
                        </w:p>
                      </w:txbxContent>
                    </wps:txbx>
                    <wps:bodyPr wrap="square" lIns="0" tIns="0" rIns="0" bIns="0" rtlCol="0">
                      <a:noAutofit/>
                    </wps:bodyPr>
                  </wps:wsp>
                </a:graphicData>
              </a:graphic>
            </wp:anchor>
          </w:drawing>
        </mc:Choice>
        <mc:Fallback>
          <w:pict>
            <v:shape style="position:absolute;margin-left:297.60611pt;margin-top:749.744385pt;width:17.3pt;height:14.05pt;mso-position-horizontal-relative:page;mso-position-vertical-relative:page;z-index:-15874560" type="#_x0000_t202" id="docshape2" filled="false" stroked="false">
              <v:textbox inset="0,0,0,0">
                <w:txbxContent>
                  <w:p>
                    <w:pPr>
                      <w:pStyle w:val="BodyText"/>
                      <w:spacing w:before="22"/>
                      <w:ind w:left="60"/>
                      <w:rPr>
                        <w:rFonts w:ascii="Trebuchet MS"/>
                      </w:rPr>
                    </w:pPr>
                    <w:r>
                      <w:rPr>
                        <w:rFonts w:ascii="Trebuchet MS"/>
                        <w:color w:val="231F20"/>
                        <w:spacing w:val="-5"/>
                      </w:rPr>
                      <w:fldChar w:fldCharType="begin"/>
                    </w:r>
                    <w:r>
                      <w:rPr>
                        <w:rFonts w:ascii="Trebuchet MS"/>
                        <w:color w:val="231F20"/>
                        <w:spacing w:val="-5"/>
                      </w:rPr>
                      <w:instrText> PAGE </w:instrText>
                    </w:r>
                    <w:r>
                      <w:rPr>
                        <w:rFonts w:ascii="Trebuchet MS"/>
                        <w:color w:val="231F20"/>
                        <w:spacing w:val="-5"/>
                      </w:rPr>
                      <w:fldChar w:fldCharType="separate"/>
                    </w:r>
                    <w:r>
                      <w:rPr>
                        <w:rFonts w:ascii="Trebuchet MS"/>
                        <w:color w:val="231F20"/>
                        <w:spacing w:val="-5"/>
                      </w:rPr>
                      <w:t>43</w:t>
                    </w:r>
                    <w:r>
                      <w:rPr>
                        <w:rFonts w:ascii="Trebuchet MS"/>
                        <w:color w:val="231F20"/>
                        <w:spacing w:val="-5"/>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445504">
              <wp:simplePos x="0" y="0"/>
              <wp:positionH relativeFrom="page">
                <wp:posOffset>3815598</wp:posOffset>
              </wp:positionH>
              <wp:positionV relativeFrom="page">
                <wp:posOffset>9521978</wp:posOffset>
              </wp:positionV>
              <wp:extent cx="219710" cy="178435"/>
              <wp:effectExtent l="0" t="0" r="0" b="0"/>
              <wp:wrapNone/>
              <wp:docPr id="17" name="Textbox 17"/>
              <wp:cNvGraphicFramePr>
                <a:graphicFrameLocks/>
              </wp:cNvGraphicFramePr>
              <a:graphic>
                <a:graphicData uri="http://schemas.microsoft.com/office/word/2010/wordprocessingShape">
                  <wps:wsp>
                    <wps:cNvPr id="17" name="Textbox 17"/>
                    <wps:cNvSpPr txBox="1"/>
                    <wps:spPr>
                      <a:xfrm>
                        <a:off x="0" y="0"/>
                        <a:ext cx="219710" cy="178435"/>
                      </a:xfrm>
                      <a:prstGeom prst="rect">
                        <a:avLst/>
                      </a:prstGeom>
                    </wps:spPr>
                    <wps:txbx>
                      <w:txbxContent>
                        <w:p>
                          <w:pPr>
                            <w:pStyle w:val="BodyText"/>
                            <w:spacing w:before="22"/>
                            <w:ind w:left="60"/>
                            <w:rPr>
                              <w:rFonts w:ascii="Trebuchet MS"/>
                            </w:rPr>
                          </w:pPr>
                          <w:r>
                            <w:rPr>
                              <w:rFonts w:ascii="Trebuchet MS"/>
                              <w:color w:val="231F20"/>
                              <w:spacing w:val="-5"/>
                            </w:rPr>
                            <w:fldChar w:fldCharType="begin"/>
                          </w:r>
                          <w:r>
                            <w:rPr>
                              <w:rFonts w:ascii="Trebuchet MS"/>
                              <w:color w:val="231F20"/>
                              <w:spacing w:val="-5"/>
                            </w:rPr>
                            <w:instrText> PAGE </w:instrText>
                          </w:r>
                          <w:r>
                            <w:rPr>
                              <w:rFonts w:ascii="Trebuchet MS"/>
                              <w:color w:val="231F20"/>
                              <w:spacing w:val="-5"/>
                            </w:rPr>
                            <w:fldChar w:fldCharType="separate"/>
                          </w:r>
                          <w:r>
                            <w:rPr>
                              <w:rFonts w:ascii="Trebuchet MS"/>
                              <w:color w:val="231F20"/>
                              <w:spacing w:val="-5"/>
                            </w:rPr>
                            <w:t>44</w:t>
                          </w:r>
                          <w:r>
                            <w:rPr>
                              <w:rFonts w:ascii="Trebuchet MS"/>
                              <w:color w:val="231F20"/>
                              <w:spacing w:val="-5"/>
                            </w:rPr>
                            <w:fldChar w:fldCharType="end"/>
                          </w:r>
                        </w:p>
                      </w:txbxContent>
                    </wps:txbx>
                    <wps:bodyPr wrap="square" lIns="0" tIns="0" rIns="0" bIns="0" rtlCol="0">
                      <a:noAutofit/>
                    </wps:bodyPr>
                  </wps:wsp>
                </a:graphicData>
              </a:graphic>
            </wp:anchor>
          </w:drawing>
        </mc:Choice>
        <mc:Fallback>
          <w:pict>
            <v:shape style="position:absolute;margin-left:300.440796pt;margin-top:749.762085pt;width:17.3pt;height:14.05pt;mso-position-horizontal-relative:page;mso-position-vertical-relative:page;z-index:-15870976" type="#_x0000_t202" id="docshape13" filled="false" stroked="false">
              <v:textbox inset="0,0,0,0">
                <w:txbxContent>
                  <w:p>
                    <w:pPr>
                      <w:pStyle w:val="BodyText"/>
                      <w:spacing w:before="22"/>
                      <w:ind w:left="60"/>
                      <w:rPr>
                        <w:rFonts w:ascii="Trebuchet MS"/>
                      </w:rPr>
                    </w:pPr>
                    <w:r>
                      <w:rPr>
                        <w:rFonts w:ascii="Trebuchet MS"/>
                        <w:color w:val="231F20"/>
                        <w:spacing w:val="-5"/>
                      </w:rPr>
                      <w:fldChar w:fldCharType="begin"/>
                    </w:r>
                    <w:r>
                      <w:rPr>
                        <w:rFonts w:ascii="Trebuchet MS"/>
                        <w:color w:val="231F20"/>
                        <w:spacing w:val="-5"/>
                      </w:rPr>
                      <w:instrText> PAGE </w:instrText>
                    </w:r>
                    <w:r>
                      <w:rPr>
                        <w:rFonts w:ascii="Trebuchet MS"/>
                        <w:color w:val="231F20"/>
                        <w:spacing w:val="-5"/>
                      </w:rPr>
                      <w:fldChar w:fldCharType="separate"/>
                    </w:r>
                    <w:r>
                      <w:rPr>
                        <w:rFonts w:ascii="Trebuchet MS"/>
                        <w:color w:val="231F20"/>
                        <w:spacing w:val="-5"/>
                      </w:rPr>
                      <w:t>44</w:t>
                    </w:r>
                    <w:r>
                      <w:rPr>
                        <w:rFonts w:ascii="Trebuchet MS"/>
                        <w:color w:val="231F20"/>
                        <w:spacing w:val="-5"/>
                      </w:rPr>
                      <w:fldChar w:fldCharType="end"/>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446016">
              <wp:simplePos x="0" y="0"/>
              <wp:positionH relativeFrom="page">
                <wp:posOffset>3779597</wp:posOffset>
              </wp:positionH>
              <wp:positionV relativeFrom="page">
                <wp:posOffset>9521753</wp:posOffset>
              </wp:positionV>
              <wp:extent cx="219710" cy="178435"/>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219710" cy="178435"/>
                      </a:xfrm>
                      <a:prstGeom prst="rect">
                        <a:avLst/>
                      </a:prstGeom>
                    </wps:spPr>
                    <wps:txbx>
                      <w:txbxContent>
                        <w:p>
                          <w:pPr>
                            <w:pStyle w:val="BodyText"/>
                            <w:spacing w:before="22"/>
                            <w:ind w:left="60"/>
                            <w:rPr>
                              <w:rFonts w:ascii="Trebuchet MS"/>
                            </w:rPr>
                          </w:pPr>
                          <w:r>
                            <w:rPr>
                              <w:rFonts w:ascii="Trebuchet MS"/>
                              <w:color w:val="231F20"/>
                              <w:spacing w:val="-5"/>
                            </w:rPr>
                            <w:fldChar w:fldCharType="begin"/>
                          </w:r>
                          <w:r>
                            <w:rPr>
                              <w:rFonts w:ascii="Trebuchet MS"/>
                              <w:color w:val="231F20"/>
                              <w:spacing w:val="-5"/>
                            </w:rPr>
                            <w:instrText> PAGE </w:instrText>
                          </w:r>
                          <w:r>
                            <w:rPr>
                              <w:rFonts w:ascii="Trebuchet MS"/>
                              <w:color w:val="231F20"/>
                              <w:spacing w:val="-5"/>
                            </w:rPr>
                            <w:fldChar w:fldCharType="separate"/>
                          </w:r>
                          <w:r>
                            <w:rPr>
                              <w:rFonts w:ascii="Trebuchet MS"/>
                              <w:color w:val="231F20"/>
                              <w:spacing w:val="-5"/>
                            </w:rPr>
                            <w:t>45</w:t>
                          </w:r>
                          <w:r>
                            <w:rPr>
                              <w:rFonts w:ascii="Trebuchet MS"/>
                              <w:color w:val="231F20"/>
                              <w:spacing w:val="-5"/>
                            </w:rPr>
                            <w:fldChar w:fldCharType="end"/>
                          </w:r>
                        </w:p>
                      </w:txbxContent>
                    </wps:txbx>
                    <wps:bodyPr wrap="square" lIns="0" tIns="0" rIns="0" bIns="0" rtlCol="0">
                      <a:noAutofit/>
                    </wps:bodyPr>
                  </wps:wsp>
                </a:graphicData>
              </a:graphic>
            </wp:anchor>
          </w:drawing>
        </mc:Choice>
        <mc:Fallback>
          <w:pict>
            <v:shape style="position:absolute;margin-left:297.60611pt;margin-top:749.744385pt;width:17.3pt;height:14.05pt;mso-position-horizontal-relative:page;mso-position-vertical-relative:page;z-index:-15870464" type="#_x0000_t202" id="docshape14" filled="false" stroked="false">
              <v:textbox inset="0,0,0,0">
                <w:txbxContent>
                  <w:p>
                    <w:pPr>
                      <w:pStyle w:val="BodyText"/>
                      <w:spacing w:before="22"/>
                      <w:ind w:left="60"/>
                      <w:rPr>
                        <w:rFonts w:ascii="Trebuchet MS"/>
                      </w:rPr>
                    </w:pPr>
                    <w:r>
                      <w:rPr>
                        <w:rFonts w:ascii="Trebuchet MS"/>
                        <w:color w:val="231F20"/>
                        <w:spacing w:val="-5"/>
                      </w:rPr>
                      <w:fldChar w:fldCharType="begin"/>
                    </w:r>
                    <w:r>
                      <w:rPr>
                        <w:rFonts w:ascii="Trebuchet MS"/>
                        <w:color w:val="231F20"/>
                        <w:spacing w:val="-5"/>
                      </w:rPr>
                      <w:instrText> PAGE </w:instrText>
                    </w:r>
                    <w:r>
                      <w:rPr>
                        <w:rFonts w:ascii="Trebuchet MS"/>
                        <w:color w:val="231F20"/>
                        <w:spacing w:val="-5"/>
                      </w:rPr>
                      <w:fldChar w:fldCharType="separate"/>
                    </w:r>
                    <w:r>
                      <w:rPr>
                        <w:rFonts w:ascii="Trebuchet MS"/>
                        <w:color w:val="231F20"/>
                        <w:spacing w:val="-5"/>
                      </w:rPr>
                      <w:t>45</w:t>
                    </w:r>
                    <w:r>
                      <w:rPr>
                        <w:rFonts w:ascii="Trebuchet MS"/>
                        <w:color w:val="231F20"/>
                        <w:spacing w:val="-5"/>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442432">
              <wp:simplePos x="0" y="0"/>
              <wp:positionH relativeFrom="page">
                <wp:posOffset>527447</wp:posOffset>
              </wp:positionH>
              <wp:positionV relativeFrom="page">
                <wp:posOffset>244539</wp:posOffset>
              </wp:positionV>
              <wp:extent cx="3973829" cy="132715"/>
              <wp:effectExtent l="0" t="0" r="0" b="0"/>
              <wp:wrapNone/>
              <wp:docPr id="11" name="Textbox 11"/>
              <wp:cNvGraphicFramePr>
                <a:graphicFrameLocks/>
              </wp:cNvGraphicFramePr>
              <a:graphic>
                <a:graphicData uri="http://schemas.microsoft.com/office/word/2010/wordprocessingShape">
                  <wps:wsp>
                    <wps:cNvPr id="11" name="Textbox 11"/>
                    <wps:cNvSpPr txBox="1"/>
                    <wps:spPr>
                      <a:xfrm>
                        <a:off x="0" y="0"/>
                        <a:ext cx="3973829" cy="132715"/>
                      </a:xfrm>
                      <a:prstGeom prst="rect">
                        <a:avLst/>
                      </a:prstGeom>
                    </wps:spPr>
                    <wps:txbx>
                      <w:txbxContent>
                        <w:p>
                          <w:pPr>
                            <w:spacing w:before="22"/>
                            <w:ind w:left="20" w:right="0" w:firstLine="0"/>
                            <w:jc w:val="left"/>
                            <w:rPr>
                              <w:rFonts w:ascii="Trebuchet MS" w:hAnsi="Trebuchet MS"/>
                              <w:sz w:val="14"/>
                            </w:rPr>
                          </w:pPr>
                          <w:r>
                            <w:rPr>
                              <w:rFonts w:ascii="Trebuchet MS" w:hAnsi="Trebuchet MS"/>
                              <w:color w:val="231F20"/>
                              <w:spacing w:val="-2"/>
                              <w:w w:val="90"/>
                              <w:sz w:val="14"/>
                            </w:rPr>
                            <w:t>Perilla,</w:t>
                          </w:r>
                          <w:r>
                            <w:rPr>
                              <w:rFonts w:ascii="Trebuchet MS" w:hAnsi="Trebuchet MS"/>
                              <w:color w:val="231F20"/>
                              <w:spacing w:val="-11"/>
                              <w:w w:val="90"/>
                              <w:sz w:val="14"/>
                            </w:rPr>
                            <w:t> </w:t>
                          </w:r>
                          <w:r>
                            <w:rPr>
                              <w:rFonts w:ascii="Trebuchet MS" w:hAnsi="Trebuchet MS"/>
                              <w:color w:val="231F20"/>
                              <w:spacing w:val="-2"/>
                              <w:w w:val="90"/>
                              <w:sz w:val="14"/>
                            </w:rPr>
                            <w:t>A.</w:t>
                          </w:r>
                          <w:r>
                            <w:rPr>
                              <w:rFonts w:ascii="Trebuchet MS" w:hAnsi="Trebuchet MS"/>
                              <w:color w:val="231F20"/>
                              <w:spacing w:val="-11"/>
                              <w:w w:val="90"/>
                              <w:sz w:val="14"/>
                            </w:rPr>
                            <w:t> </w:t>
                          </w:r>
                          <w:r>
                            <w:rPr>
                              <w:rFonts w:ascii="Trebuchet MS" w:hAnsi="Trebuchet MS"/>
                              <w:color w:val="231F20"/>
                              <w:spacing w:val="-2"/>
                              <w:w w:val="90"/>
                              <w:sz w:val="14"/>
                            </w:rPr>
                            <w:t>Nuevo</w:t>
                          </w:r>
                          <w:r>
                            <w:rPr>
                              <w:rFonts w:ascii="Trebuchet MS" w:hAnsi="Trebuchet MS"/>
                              <w:color w:val="231F20"/>
                              <w:spacing w:val="-10"/>
                              <w:w w:val="90"/>
                              <w:sz w:val="14"/>
                            </w:rPr>
                            <w:t> </w:t>
                          </w:r>
                          <w:r>
                            <w:rPr>
                              <w:rFonts w:ascii="Trebuchet MS" w:hAnsi="Trebuchet MS"/>
                              <w:color w:val="231F20"/>
                              <w:spacing w:val="-2"/>
                              <w:w w:val="90"/>
                              <w:sz w:val="14"/>
                            </w:rPr>
                            <w:t>registro</w:t>
                          </w:r>
                          <w:r>
                            <w:rPr>
                              <w:rFonts w:ascii="Trebuchet MS" w:hAnsi="Trebuchet MS"/>
                              <w:color w:val="231F20"/>
                              <w:spacing w:val="-11"/>
                              <w:w w:val="90"/>
                              <w:sz w:val="14"/>
                            </w:rPr>
                            <w:t> </w:t>
                          </w:r>
                          <w:r>
                            <w:rPr>
                              <w:rFonts w:ascii="Trebuchet MS" w:hAnsi="Trebuchet MS"/>
                              <w:color w:val="231F20"/>
                              <w:spacing w:val="-2"/>
                              <w:w w:val="90"/>
                              <w:sz w:val="14"/>
                            </w:rPr>
                            <w:t>fósil</w:t>
                          </w:r>
                          <w:r>
                            <w:rPr>
                              <w:rFonts w:ascii="Trebuchet MS" w:hAnsi="Trebuchet MS"/>
                              <w:color w:val="231F20"/>
                              <w:spacing w:val="-11"/>
                              <w:w w:val="90"/>
                              <w:sz w:val="14"/>
                            </w:rPr>
                            <w:t> </w:t>
                          </w:r>
                          <w:r>
                            <w:rPr>
                              <w:rFonts w:ascii="Trebuchet MS" w:hAnsi="Trebuchet MS"/>
                              <w:color w:val="231F20"/>
                              <w:spacing w:val="-2"/>
                              <w:w w:val="90"/>
                              <w:sz w:val="14"/>
                            </w:rPr>
                            <w:t>de</w:t>
                          </w:r>
                          <w:r>
                            <w:rPr>
                              <w:rFonts w:ascii="Trebuchet MS" w:hAnsi="Trebuchet MS"/>
                              <w:color w:val="231F20"/>
                              <w:spacing w:val="-10"/>
                              <w:w w:val="90"/>
                              <w:sz w:val="14"/>
                            </w:rPr>
                            <w:t> </w:t>
                          </w:r>
                          <w:r>
                            <w:rPr>
                              <w:rFonts w:ascii="Trebuchet MS" w:hAnsi="Trebuchet MS"/>
                              <w:color w:val="231F20"/>
                              <w:spacing w:val="-2"/>
                              <w:w w:val="90"/>
                              <w:sz w:val="14"/>
                            </w:rPr>
                            <w:t>nautiloideos</w:t>
                          </w:r>
                          <w:r>
                            <w:rPr>
                              <w:rFonts w:ascii="Trebuchet MS" w:hAnsi="Trebuchet MS"/>
                              <w:color w:val="231F20"/>
                              <w:spacing w:val="-11"/>
                              <w:w w:val="90"/>
                              <w:sz w:val="14"/>
                            </w:rPr>
                            <w:t> </w:t>
                          </w:r>
                          <w:r>
                            <w:rPr>
                              <w:rFonts w:ascii="Trebuchet MS" w:hAnsi="Trebuchet MS"/>
                              <w:color w:val="231F20"/>
                              <w:spacing w:val="-2"/>
                              <w:w w:val="90"/>
                              <w:sz w:val="14"/>
                            </w:rPr>
                            <w:t>para</w:t>
                          </w:r>
                          <w:r>
                            <w:rPr>
                              <w:rFonts w:ascii="Trebuchet MS" w:hAnsi="Trebuchet MS"/>
                              <w:color w:val="231F20"/>
                              <w:spacing w:val="-11"/>
                              <w:w w:val="90"/>
                              <w:sz w:val="14"/>
                            </w:rPr>
                            <w:t> </w:t>
                          </w:r>
                          <w:r>
                            <w:rPr>
                              <w:rFonts w:ascii="Trebuchet MS" w:hAnsi="Trebuchet MS"/>
                              <w:color w:val="231F20"/>
                              <w:spacing w:val="-2"/>
                              <w:w w:val="90"/>
                              <w:sz w:val="14"/>
                            </w:rPr>
                            <w:t>el</w:t>
                          </w:r>
                          <w:r>
                            <w:rPr>
                              <w:rFonts w:ascii="Trebuchet MS" w:hAnsi="Trebuchet MS"/>
                              <w:color w:val="231F20"/>
                              <w:spacing w:val="-16"/>
                              <w:w w:val="90"/>
                              <w:sz w:val="14"/>
                            </w:rPr>
                            <w:t> </w:t>
                          </w:r>
                          <w:r>
                            <w:rPr>
                              <w:rFonts w:ascii="Trebuchet MS" w:hAnsi="Trebuchet MS"/>
                              <w:color w:val="231F20"/>
                              <w:spacing w:val="-2"/>
                              <w:w w:val="90"/>
                              <w:sz w:val="14"/>
                            </w:rPr>
                            <w:t>Triásico</w:t>
                          </w:r>
                          <w:r>
                            <w:rPr>
                              <w:rFonts w:ascii="Trebuchet MS" w:hAnsi="Trebuchet MS"/>
                              <w:color w:val="231F20"/>
                              <w:spacing w:val="-11"/>
                              <w:w w:val="90"/>
                              <w:sz w:val="14"/>
                            </w:rPr>
                            <w:t> </w:t>
                          </w:r>
                          <w:r>
                            <w:rPr>
                              <w:rFonts w:ascii="Trebuchet MS" w:hAnsi="Trebuchet MS"/>
                              <w:color w:val="231F20"/>
                              <w:spacing w:val="-2"/>
                              <w:w w:val="90"/>
                              <w:sz w:val="14"/>
                            </w:rPr>
                            <w:t>superior</w:t>
                          </w:r>
                          <w:r>
                            <w:rPr>
                              <w:rFonts w:ascii="Trebuchet MS" w:hAnsi="Trebuchet MS"/>
                              <w:color w:val="231F20"/>
                              <w:spacing w:val="-11"/>
                              <w:w w:val="90"/>
                              <w:sz w:val="14"/>
                            </w:rPr>
                            <w:t> </w:t>
                          </w:r>
                          <w:r>
                            <w:rPr>
                              <w:rFonts w:ascii="Trebuchet MS" w:hAnsi="Trebuchet MS"/>
                              <w:color w:val="231F20"/>
                              <w:spacing w:val="-2"/>
                              <w:w w:val="90"/>
                              <w:sz w:val="14"/>
                            </w:rPr>
                            <w:t>colombiano</w:t>
                          </w:r>
                          <w:r>
                            <w:rPr>
                              <w:rFonts w:ascii="Trebuchet MS" w:hAnsi="Trebuchet MS"/>
                              <w:color w:val="231F20"/>
                              <w:spacing w:val="-10"/>
                              <w:w w:val="90"/>
                              <w:sz w:val="14"/>
                            </w:rPr>
                            <w:t> </w:t>
                          </w:r>
                          <w:r>
                            <w:rPr>
                              <w:rFonts w:ascii="Trebuchet MS" w:hAnsi="Trebuchet MS"/>
                              <w:color w:val="231F20"/>
                              <w:spacing w:val="-2"/>
                              <w:w w:val="90"/>
                              <w:sz w:val="14"/>
                            </w:rPr>
                            <w:t>en</w:t>
                          </w:r>
                          <w:r>
                            <w:rPr>
                              <w:rFonts w:ascii="Trebuchet MS" w:hAnsi="Trebuchet MS"/>
                              <w:color w:val="231F20"/>
                              <w:spacing w:val="-11"/>
                              <w:w w:val="90"/>
                              <w:sz w:val="14"/>
                            </w:rPr>
                            <w:t> </w:t>
                          </w:r>
                          <w:r>
                            <w:rPr>
                              <w:rFonts w:ascii="Trebuchet MS" w:hAnsi="Trebuchet MS"/>
                              <w:color w:val="231F20"/>
                              <w:spacing w:val="-2"/>
                              <w:w w:val="90"/>
                              <w:sz w:val="14"/>
                            </w:rPr>
                            <w:t>el</w:t>
                          </w:r>
                          <w:r>
                            <w:rPr>
                              <w:rFonts w:ascii="Trebuchet MS" w:hAnsi="Trebuchet MS"/>
                              <w:color w:val="231F20"/>
                              <w:spacing w:val="-11"/>
                              <w:w w:val="90"/>
                              <w:sz w:val="14"/>
                            </w:rPr>
                            <w:t> </w:t>
                          </w:r>
                          <w:r>
                            <w:rPr>
                              <w:rFonts w:ascii="Trebuchet MS" w:hAnsi="Trebuchet MS"/>
                              <w:color w:val="231F20"/>
                              <w:spacing w:val="-2"/>
                              <w:w w:val="90"/>
                              <w:sz w:val="14"/>
                            </w:rPr>
                            <w:t>área</w:t>
                          </w:r>
                          <w:r>
                            <w:rPr>
                              <w:rFonts w:ascii="Trebuchet MS" w:hAnsi="Trebuchet MS"/>
                              <w:color w:val="231F20"/>
                              <w:spacing w:val="-10"/>
                              <w:w w:val="90"/>
                              <w:sz w:val="14"/>
                            </w:rPr>
                            <w:t> </w:t>
                          </w:r>
                          <w:r>
                            <w:rPr>
                              <w:rFonts w:ascii="Trebuchet MS" w:hAnsi="Trebuchet MS"/>
                              <w:color w:val="231F20"/>
                              <w:spacing w:val="-2"/>
                              <w:w w:val="90"/>
                              <w:sz w:val="14"/>
                            </w:rPr>
                            <w:t>de</w:t>
                          </w:r>
                          <w:r>
                            <w:rPr>
                              <w:rFonts w:ascii="Trebuchet MS" w:hAnsi="Trebuchet MS"/>
                              <w:color w:val="231F20"/>
                              <w:spacing w:val="-11"/>
                              <w:w w:val="90"/>
                              <w:sz w:val="14"/>
                            </w:rPr>
                            <w:t> </w:t>
                          </w:r>
                          <w:r>
                            <w:rPr>
                              <w:rFonts w:ascii="Trebuchet MS" w:hAnsi="Trebuchet MS"/>
                              <w:color w:val="231F20"/>
                              <w:spacing w:val="-2"/>
                              <w:w w:val="90"/>
                              <w:sz w:val="14"/>
                            </w:rPr>
                            <w:t>Chaparral,</w:t>
                          </w:r>
                          <w:r>
                            <w:rPr>
                              <w:rFonts w:ascii="Trebuchet MS" w:hAnsi="Trebuchet MS"/>
                              <w:color w:val="231F20"/>
                              <w:spacing w:val="-17"/>
                              <w:w w:val="90"/>
                              <w:sz w:val="14"/>
                            </w:rPr>
                            <w:t> </w:t>
                          </w:r>
                          <w:r>
                            <w:rPr>
                              <w:rFonts w:ascii="Trebuchet MS" w:hAnsi="Trebuchet MS"/>
                              <w:color w:val="231F20"/>
                              <w:spacing w:val="-2"/>
                              <w:w w:val="90"/>
                              <w:sz w:val="14"/>
                            </w:rPr>
                            <w:t>Tolima</w:t>
                          </w:r>
                        </w:p>
                      </w:txbxContent>
                    </wps:txbx>
                    <wps:bodyPr wrap="square" lIns="0" tIns="0" rIns="0" bIns="0" rtlCol="0">
                      <a:noAutofit/>
                    </wps:bodyPr>
                  </wps:wsp>
                </a:graphicData>
              </a:graphic>
            </wp:anchor>
          </w:drawing>
        </mc:Choice>
        <mc:Fallback>
          <w:pict>
            <v:shape style="position:absolute;margin-left:41.5313pt;margin-top:19.255077pt;width:312.9pt;height:10.45pt;mso-position-horizontal-relative:page;mso-position-vertical-relative:page;z-index:-15874048" type="#_x0000_t202" id="docshape10" filled="false" stroked="false">
              <v:textbox inset="0,0,0,0">
                <w:txbxContent>
                  <w:p>
                    <w:pPr>
                      <w:spacing w:before="22"/>
                      <w:ind w:left="20" w:right="0" w:firstLine="0"/>
                      <w:jc w:val="left"/>
                      <w:rPr>
                        <w:rFonts w:ascii="Trebuchet MS" w:hAnsi="Trebuchet MS"/>
                        <w:sz w:val="14"/>
                      </w:rPr>
                    </w:pPr>
                    <w:r>
                      <w:rPr>
                        <w:rFonts w:ascii="Trebuchet MS" w:hAnsi="Trebuchet MS"/>
                        <w:color w:val="231F20"/>
                        <w:spacing w:val="-2"/>
                        <w:w w:val="90"/>
                        <w:sz w:val="14"/>
                      </w:rPr>
                      <w:t>Perilla,</w:t>
                    </w:r>
                    <w:r>
                      <w:rPr>
                        <w:rFonts w:ascii="Trebuchet MS" w:hAnsi="Trebuchet MS"/>
                        <w:color w:val="231F20"/>
                        <w:spacing w:val="-11"/>
                        <w:w w:val="90"/>
                        <w:sz w:val="14"/>
                      </w:rPr>
                      <w:t> </w:t>
                    </w:r>
                    <w:r>
                      <w:rPr>
                        <w:rFonts w:ascii="Trebuchet MS" w:hAnsi="Trebuchet MS"/>
                        <w:color w:val="231F20"/>
                        <w:spacing w:val="-2"/>
                        <w:w w:val="90"/>
                        <w:sz w:val="14"/>
                      </w:rPr>
                      <w:t>A.</w:t>
                    </w:r>
                    <w:r>
                      <w:rPr>
                        <w:rFonts w:ascii="Trebuchet MS" w:hAnsi="Trebuchet MS"/>
                        <w:color w:val="231F20"/>
                        <w:spacing w:val="-11"/>
                        <w:w w:val="90"/>
                        <w:sz w:val="14"/>
                      </w:rPr>
                      <w:t> </w:t>
                    </w:r>
                    <w:r>
                      <w:rPr>
                        <w:rFonts w:ascii="Trebuchet MS" w:hAnsi="Trebuchet MS"/>
                        <w:color w:val="231F20"/>
                        <w:spacing w:val="-2"/>
                        <w:w w:val="90"/>
                        <w:sz w:val="14"/>
                      </w:rPr>
                      <w:t>Nuevo</w:t>
                    </w:r>
                    <w:r>
                      <w:rPr>
                        <w:rFonts w:ascii="Trebuchet MS" w:hAnsi="Trebuchet MS"/>
                        <w:color w:val="231F20"/>
                        <w:spacing w:val="-10"/>
                        <w:w w:val="90"/>
                        <w:sz w:val="14"/>
                      </w:rPr>
                      <w:t> </w:t>
                    </w:r>
                    <w:r>
                      <w:rPr>
                        <w:rFonts w:ascii="Trebuchet MS" w:hAnsi="Trebuchet MS"/>
                        <w:color w:val="231F20"/>
                        <w:spacing w:val="-2"/>
                        <w:w w:val="90"/>
                        <w:sz w:val="14"/>
                      </w:rPr>
                      <w:t>registro</w:t>
                    </w:r>
                    <w:r>
                      <w:rPr>
                        <w:rFonts w:ascii="Trebuchet MS" w:hAnsi="Trebuchet MS"/>
                        <w:color w:val="231F20"/>
                        <w:spacing w:val="-11"/>
                        <w:w w:val="90"/>
                        <w:sz w:val="14"/>
                      </w:rPr>
                      <w:t> </w:t>
                    </w:r>
                    <w:r>
                      <w:rPr>
                        <w:rFonts w:ascii="Trebuchet MS" w:hAnsi="Trebuchet MS"/>
                        <w:color w:val="231F20"/>
                        <w:spacing w:val="-2"/>
                        <w:w w:val="90"/>
                        <w:sz w:val="14"/>
                      </w:rPr>
                      <w:t>fósil</w:t>
                    </w:r>
                    <w:r>
                      <w:rPr>
                        <w:rFonts w:ascii="Trebuchet MS" w:hAnsi="Trebuchet MS"/>
                        <w:color w:val="231F20"/>
                        <w:spacing w:val="-11"/>
                        <w:w w:val="90"/>
                        <w:sz w:val="14"/>
                      </w:rPr>
                      <w:t> </w:t>
                    </w:r>
                    <w:r>
                      <w:rPr>
                        <w:rFonts w:ascii="Trebuchet MS" w:hAnsi="Trebuchet MS"/>
                        <w:color w:val="231F20"/>
                        <w:spacing w:val="-2"/>
                        <w:w w:val="90"/>
                        <w:sz w:val="14"/>
                      </w:rPr>
                      <w:t>de</w:t>
                    </w:r>
                    <w:r>
                      <w:rPr>
                        <w:rFonts w:ascii="Trebuchet MS" w:hAnsi="Trebuchet MS"/>
                        <w:color w:val="231F20"/>
                        <w:spacing w:val="-10"/>
                        <w:w w:val="90"/>
                        <w:sz w:val="14"/>
                      </w:rPr>
                      <w:t> </w:t>
                    </w:r>
                    <w:r>
                      <w:rPr>
                        <w:rFonts w:ascii="Trebuchet MS" w:hAnsi="Trebuchet MS"/>
                        <w:color w:val="231F20"/>
                        <w:spacing w:val="-2"/>
                        <w:w w:val="90"/>
                        <w:sz w:val="14"/>
                      </w:rPr>
                      <w:t>nautiloideos</w:t>
                    </w:r>
                    <w:r>
                      <w:rPr>
                        <w:rFonts w:ascii="Trebuchet MS" w:hAnsi="Trebuchet MS"/>
                        <w:color w:val="231F20"/>
                        <w:spacing w:val="-11"/>
                        <w:w w:val="90"/>
                        <w:sz w:val="14"/>
                      </w:rPr>
                      <w:t> </w:t>
                    </w:r>
                    <w:r>
                      <w:rPr>
                        <w:rFonts w:ascii="Trebuchet MS" w:hAnsi="Trebuchet MS"/>
                        <w:color w:val="231F20"/>
                        <w:spacing w:val="-2"/>
                        <w:w w:val="90"/>
                        <w:sz w:val="14"/>
                      </w:rPr>
                      <w:t>para</w:t>
                    </w:r>
                    <w:r>
                      <w:rPr>
                        <w:rFonts w:ascii="Trebuchet MS" w:hAnsi="Trebuchet MS"/>
                        <w:color w:val="231F20"/>
                        <w:spacing w:val="-11"/>
                        <w:w w:val="90"/>
                        <w:sz w:val="14"/>
                      </w:rPr>
                      <w:t> </w:t>
                    </w:r>
                    <w:r>
                      <w:rPr>
                        <w:rFonts w:ascii="Trebuchet MS" w:hAnsi="Trebuchet MS"/>
                        <w:color w:val="231F20"/>
                        <w:spacing w:val="-2"/>
                        <w:w w:val="90"/>
                        <w:sz w:val="14"/>
                      </w:rPr>
                      <w:t>el</w:t>
                    </w:r>
                    <w:r>
                      <w:rPr>
                        <w:rFonts w:ascii="Trebuchet MS" w:hAnsi="Trebuchet MS"/>
                        <w:color w:val="231F20"/>
                        <w:spacing w:val="-16"/>
                        <w:w w:val="90"/>
                        <w:sz w:val="14"/>
                      </w:rPr>
                      <w:t> </w:t>
                    </w:r>
                    <w:r>
                      <w:rPr>
                        <w:rFonts w:ascii="Trebuchet MS" w:hAnsi="Trebuchet MS"/>
                        <w:color w:val="231F20"/>
                        <w:spacing w:val="-2"/>
                        <w:w w:val="90"/>
                        <w:sz w:val="14"/>
                      </w:rPr>
                      <w:t>Triásico</w:t>
                    </w:r>
                    <w:r>
                      <w:rPr>
                        <w:rFonts w:ascii="Trebuchet MS" w:hAnsi="Trebuchet MS"/>
                        <w:color w:val="231F20"/>
                        <w:spacing w:val="-11"/>
                        <w:w w:val="90"/>
                        <w:sz w:val="14"/>
                      </w:rPr>
                      <w:t> </w:t>
                    </w:r>
                    <w:r>
                      <w:rPr>
                        <w:rFonts w:ascii="Trebuchet MS" w:hAnsi="Trebuchet MS"/>
                        <w:color w:val="231F20"/>
                        <w:spacing w:val="-2"/>
                        <w:w w:val="90"/>
                        <w:sz w:val="14"/>
                      </w:rPr>
                      <w:t>superior</w:t>
                    </w:r>
                    <w:r>
                      <w:rPr>
                        <w:rFonts w:ascii="Trebuchet MS" w:hAnsi="Trebuchet MS"/>
                        <w:color w:val="231F20"/>
                        <w:spacing w:val="-11"/>
                        <w:w w:val="90"/>
                        <w:sz w:val="14"/>
                      </w:rPr>
                      <w:t> </w:t>
                    </w:r>
                    <w:r>
                      <w:rPr>
                        <w:rFonts w:ascii="Trebuchet MS" w:hAnsi="Trebuchet MS"/>
                        <w:color w:val="231F20"/>
                        <w:spacing w:val="-2"/>
                        <w:w w:val="90"/>
                        <w:sz w:val="14"/>
                      </w:rPr>
                      <w:t>colombiano</w:t>
                    </w:r>
                    <w:r>
                      <w:rPr>
                        <w:rFonts w:ascii="Trebuchet MS" w:hAnsi="Trebuchet MS"/>
                        <w:color w:val="231F20"/>
                        <w:spacing w:val="-10"/>
                        <w:w w:val="90"/>
                        <w:sz w:val="14"/>
                      </w:rPr>
                      <w:t> </w:t>
                    </w:r>
                    <w:r>
                      <w:rPr>
                        <w:rFonts w:ascii="Trebuchet MS" w:hAnsi="Trebuchet MS"/>
                        <w:color w:val="231F20"/>
                        <w:spacing w:val="-2"/>
                        <w:w w:val="90"/>
                        <w:sz w:val="14"/>
                      </w:rPr>
                      <w:t>en</w:t>
                    </w:r>
                    <w:r>
                      <w:rPr>
                        <w:rFonts w:ascii="Trebuchet MS" w:hAnsi="Trebuchet MS"/>
                        <w:color w:val="231F20"/>
                        <w:spacing w:val="-11"/>
                        <w:w w:val="90"/>
                        <w:sz w:val="14"/>
                      </w:rPr>
                      <w:t> </w:t>
                    </w:r>
                    <w:r>
                      <w:rPr>
                        <w:rFonts w:ascii="Trebuchet MS" w:hAnsi="Trebuchet MS"/>
                        <w:color w:val="231F20"/>
                        <w:spacing w:val="-2"/>
                        <w:w w:val="90"/>
                        <w:sz w:val="14"/>
                      </w:rPr>
                      <w:t>el</w:t>
                    </w:r>
                    <w:r>
                      <w:rPr>
                        <w:rFonts w:ascii="Trebuchet MS" w:hAnsi="Trebuchet MS"/>
                        <w:color w:val="231F20"/>
                        <w:spacing w:val="-11"/>
                        <w:w w:val="90"/>
                        <w:sz w:val="14"/>
                      </w:rPr>
                      <w:t> </w:t>
                    </w:r>
                    <w:r>
                      <w:rPr>
                        <w:rFonts w:ascii="Trebuchet MS" w:hAnsi="Trebuchet MS"/>
                        <w:color w:val="231F20"/>
                        <w:spacing w:val="-2"/>
                        <w:w w:val="90"/>
                        <w:sz w:val="14"/>
                      </w:rPr>
                      <w:t>área</w:t>
                    </w:r>
                    <w:r>
                      <w:rPr>
                        <w:rFonts w:ascii="Trebuchet MS" w:hAnsi="Trebuchet MS"/>
                        <w:color w:val="231F20"/>
                        <w:spacing w:val="-10"/>
                        <w:w w:val="90"/>
                        <w:sz w:val="14"/>
                      </w:rPr>
                      <w:t> </w:t>
                    </w:r>
                    <w:r>
                      <w:rPr>
                        <w:rFonts w:ascii="Trebuchet MS" w:hAnsi="Trebuchet MS"/>
                        <w:color w:val="231F20"/>
                        <w:spacing w:val="-2"/>
                        <w:w w:val="90"/>
                        <w:sz w:val="14"/>
                      </w:rPr>
                      <w:t>de</w:t>
                    </w:r>
                    <w:r>
                      <w:rPr>
                        <w:rFonts w:ascii="Trebuchet MS" w:hAnsi="Trebuchet MS"/>
                        <w:color w:val="231F20"/>
                        <w:spacing w:val="-11"/>
                        <w:w w:val="90"/>
                        <w:sz w:val="14"/>
                      </w:rPr>
                      <w:t> </w:t>
                    </w:r>
                    <w:r>
                      <w:rPr>
                        <w:rFonts w:ascii="Trebuchet MS" w:hAnsi="Trebuchet MS"/>
                        <w:color w:val="231F20"/>
                        <w:spacing w:val="-2"/>
                        <w:w w:val="90"/>
                        <w:sz w:val="14"/>
                      </w:rPr>
                      <w:t>Chaparral,</w:t>
                    </w:r>
                    <w:r>
                      <w:rPr>
                        <w:rFonts w:ascii="Trebuchet MS" w:hAnsi="Trebuchet MS"/>
                        <w:color w:val="231F20"/>
                        <w:spacing w:val="-17"/>
                        <w:w w:val="90"/>
                        <w:sz w:val="14"/>
                      </w:rPr>
                      <w:t> </w:t>
                    </w:r>
                    <w:r>
                      <w:rPr>
                        <w:rFonts w:ascii="Trebuchet MS" w:hAnsi="Trebuchet MS"/>
                        <w:color w:val="231F20"/>
                        <w:spacing w:val="-2"/>
                        <w:w w:val="90"/>
                        <w:sz w:val="14"/>
                      </w:rPr>
                      <w:t>Tolima</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442944">
              <wp:simplePos x="0" y="0"/>
              <wp:positionH relativeFrom="page">
                <wp:posOffset>1329672</wp:posOffset>
              </wp:positionH>
              <wp:positionV relativeFrom="page">
                <wp:posOffset>194970</wp:posOffset>
              </wp:positionV>
              <wp:extent cx="5080" cy="317500"/>
              <wp:effectExtent l="0" t="0" r="0" b="0"/>
              <wp:wrapNone/>
              <wp:docPr id="12" name="Graphic 12"/>
              <wp:cNvGraphicFramePr>
                <a:graphicFrameLocks/>
              </wp:cNvGraphicFramePr>
              <a:graphic>
                <a:graphicData uri="http://schemas.microsoft.com/office/word/2010/wordprocessingShape">
                  <wps:wsp>
                    <wps:cNvPr id="12" name="Graphic 12"/>
                    <wps:cNvSpPr/>
                    <wps:spPr>
                      <a:xfrm>
                        <a:off x="0" y="0"/>
                        <a:ext cx="5080" cy="317500"/>
                      </a:xfrm>
                      <a:custGeom>
                        <a:avLst/>
                        <a:gdLst/>
                        <a:ahLst/>
                        <a:cxnLst/>
                        <a:rect l="l" t="t" r="r" b="b"/>
                        <a:pathLst>
                          <a:path w="5080" h="317500">
                            <a:moveTo>
                              <a:pt x="4914" y="0"/>
                            </a:moveTo>
                            <a:lnTo>
                              <a:pt x="0" y="0"/>
                            </a:lnTo>
                            <a:lnTo>
                              <a:pt x="0" y="317436"/>
                            </a:lnTo>
                            <a:lnTo>
                              <a:pt x="4914" y="317436"/>
                            </a:lnTo>
                            <a:lnTo>
                              <a:pt x="4914" y="0"/>
                            </a:lnTo>
                            <a:close/>
                          </a:path>
                        </a:pathLst>
                      </a:custGeom>
                      <a:solidFill>
                        <a:srgbClr val="58595B"/>
                      </a:solidFill>
                    </wps:spPr>
                    <wps:bodyPr wrap="square" lIns="0" tIns="0" rIns="0" bIns="0" rtlCol="0">
                      <a:prstTxWarp prst="textNoShape">
                        <a:avLst/>
                      </a:prstTxWarp>
                      <a:noAutofit/>
                    </wps:bodyPr>
                  </wps:wsp>
                </a:graphicData>
              </a:graphic>
            </wp:anchor>
          </w:drawing>
        </mc:Choice>
        <mc:Fallback>
          <w:pict>
            <v:rect style="position:absolute;margin-left:104.698601pt;margin-top:15.351978pt;width:.387pt;height:24.995pt;mso-position-horizontal-relative:page;mso-position-vertical-relative:page;z-index:-15873536" id="docshape11" filled="true" fillcolor="#58595b" stroked="false">
              <v:fill type="solid"/>
              <w10:wrap type="none"/>
            </v:rect>
          </w:pict>
        </mc:Fallback>
      </mc:AlternateContent>
    </w:r>
    <w:r>
      <w:rPr/>
      <w:drawing>
        <wp:anchor distT="0" distB="0" distL="0" distR="0" allowOverlap="1" layoutInCell="1" locked="0" behindDoc="1" simplePos="0" relativeHeight="487443456">
          <wp:simplePos x="0" y="0"/>
          <wp:positionH relativeFrom="page">
            <wp:posOffset>1378681</wp:posOffset>
          </wp:positionH>
          <wp:positionV relativeFrom="page">
            <wp:posOffset>200608</wp:posOffset>
          </wp:positionV>
          <wp:extent cx="244843" cy="313689"/>
          <wp:effectExtent l="0" t="0" r="0" b="0"/>
          <wp:wrapNone/>
          <wp:docPr id="13" name="Image 13"/>
          <wp:cNvGraphicFramePr>
            <a:graphicFrameLocks/>
          </wp:cNvGraphicFramePr>
          <a:graphic>
            <a:graphicData uri="http://schemas.openxmlformats.org/drawingml/2006/picture">
              <pic:pic>
                <pic:nvPicPr>
                  <pic:cNvPr id="13" name="Image 13"/>
                  <pic:cNvPicPr/>
                </pic:nvPicPr>
                <pic:blipFill>
                  <a:blip r:embed="rId1" cstate="print"/>
                  <a:stretch>
                    <a:fillRect/>
                  </a:stretch>
                </pic:blipFill>
                <pic:spPr>
                  <a:xfrm>
                    <a:off x="0" y="0"/>
                    <a:ext cx="244843" cy="313689"/>
                  </a:xfrm>
                  <a:prstGeom prst="rect">
                    <a:avLst/>
                  </a:prstGeom>
                </pic:spPr>
              </pic:pic>
            </a:graphicData>
          </a:graphic>
        </wp:anchor>
      </w:drawing>
    </w:r>
    <w:r>
      <w:rPr/>
      <w:drawing>
        <wp:anchor distT="0" distB="0" distL="0" distR="0" allowOverlap="1" layoutInCell="1" locked="0" behindDoc="1" simplePos="0" relativeHeight="487443968">
          <wp:simplePos x="0" y="0"/>
          <wp:positionH relativeFrom="page">
            <wp:posOffset>1662649</wp:posOffset>
          </wp:positionH>
          <wp:positionV relativeFrom="page">
            <wp:posOffset>290155</wp:posOffset>
          </wp:positionV>
          <wp:extent cx="454844" cy="173680"/>
          <wp:effectExtent l="0" t="0" r="0" b="0"/>
          <wp:wrapNone/>
          <wp:docPr id="14" name="Image 14"/>
          <wp:cNvGraphicFramePr>
            <a:graphicFrameLocks/>
          </wp:cNvGraphicFramePr>
          <a:graphic>
            <a:graphicData uri="http://schemas.openxmlformats.org/drawingml/2006/picture">
              <pic:pic>
                <pic:nvPicPr>
                  <pic:cNvPr id="14" name="Image 14"/>
                  <pic:cNvPicPr/>
                </pic:nvPicPr>
                <pic:blipFill>
                  <a:blip r:embed="rId2" cstate="print"/>
                  <a:stretch>
                    <a:fillRect/>
                  </a:stretch>
                </pic:blipFill>
                <pic:spPr>
                  <a:xfrm>
                    <a:off x="0" y="0"/>
                    <a:ext cx="454844" cy="173680"/>
                  </a:xfrm>
                  <a:prstGeom prst="rect">
                    <a:avLst/>
                  </a:prstGeom>
                </pic:spPr>
              </pic:pic>
            </a:graphicData>
          </a:graphic>
        </wp:anchor>
      </w:drawing>
    </w:r>
    <w:r>
      <w:rPr/>
      <w:drawing>
        <wp:anchor distT="0" distB="0" distL="0" distR="0" allowOverlap="1" layoutInCell="1" locked="0" behindDoc="1" simplePos="0" relativeHeight="487444480">
          <wp:simplePos x="0" y="0"/>
          <wp:positionH relativeFrom="page">
            <wp:posOffset>754456</wp:posOffset>
          </wp:positionH>
          <wp:positionV relativeFrom="page">
            <wp:posOffset>343551</wp:posOffset>
          </wp:positionV>
          <wp:extent cx="531850" cy="131608"/>
          <wp:effectExtent l="0" t="0" r="0" b="0"/>
          <wp:wrapNone/>
          <wp:docPr id="15" name="Image 15"/>
          <wp:cNvGraphicFramePr>
            <a:graphicFrameLocks/>
          </wp:cNvGraphicFramePr>
          <a:graphic>
            <a:graphicData uri="http://schemas.openxmlformats.org/drawingml/2006/picture">
              <pic:pic>
                <pic:nvPicPr>
                  <pic:cNvPr id="15" name="Image 15"/>
                  <pic:cNvPicPr/>
                </pic:nvPicPr>
                <pic:blipFill>
                  <a:blip r:embed="rId3" cstate="print"/>
                  <a:stretch>
                    <a:fillRect/>
                  </a:stretch>
                </pic:blipFill>
                <pic:spPr>
                  <a:xfrm>
                    <a:off x="0" y="0"/>
                    <a:ext cx="531850" cy="131608"/>
                  </a:xfrm>
                  <a:prstGeom prst="rect">
                    <a:avLst/>
                  </a:prstGeom>
                </pic:spPr>
              </pic:pic>
            </a:graphicData>
          </a:graphic>
        </wp:anchor>
      </w:drawing>
    </w:r>
    <w:r>
      <w:rPr/>
      <mc:AlternateContent>
        <mc:Choice Requires="wps">
          <w:drawing>
            <wp:anchor distT="0" distB="0" distL="0" distR="0" allowOverlap="1" layoutInCell="1" locked="0" behindDoc="1" simplePos="0" relativeHeight="487444992">
              <wp:simplePos x="0" y="0"/>
              <wp:positionH relativeFrom="page">
                <wp:posOffset>5793515</wp:posOffset>
              </wp:positionH>
              <wp:positionV relativeFrom="page">
                <wp:posOffset>344573</wp:posOffset>
              </wp:positionV>
              <wp:extent cx="1552575" cy="147955"/>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1552575" cy="147955"/>
                      </a:xfrm>
                      <a:prstGeom prst="rect">
                        <a:avLst/>
                      </a:prstGeom>
                    </wps:spPr>
                    <wps:txbx>
                      <w:txbxContent>
                        <w:p>
                          <w:pPr>
                            <w:spacing w:before="22"/>
                            <w:ind w:left="20" w:right="0" w:firstLine="0"/>
                            <w:jc w:val="left"/>
                            <w:rPr>
                              <w:rFonts w:ascii="Trebuchet MS" w:hAnsi="Trebuchet MS"/>
                              <w:sz w:val="16"/>
                            </w:rPr>
                          </w:pPr>
                          <w:r>
                            <w:rPr>
                              <w:rFonts w:ascii="Trebuchet MS" w:hAnsi="Trebuchet MS"/>
                              <w:color w:val="231F20"/>
                              <w:w w:val="90"/>
                              <w:sz w:val="16"/>
                            </w:rPr>
                            <w:t>Geología</w:t>
                          </w:r>
                          <w:r>
                            <w:rPr>
                              <w:rFonts w:ascii="Trebuchet MS" w:hAnsi="Trebuchet MS"/>
                              <w:color w:val="231F20"/>
                              <w:spacing w:val="1"/>
                              <w:sz w:val="16"/>
                            </w:rPr>
                            <w:t> </w:t>
                          </w:r>
                          <w:r>
                            <w:rPr>
                              <w:rFonts w:ascii="Trebuchet MS" w:hAnsi="Trebuchet MS"/>
                              <w:color w:val="231F20"/>
                              <w:w w:val="90"/>
                              <w:sz w:val="16"/>
                            </w:rPr>
                            <w:t>Colombiana,</w:t>
                          </w:r>
                          <w:r>
                            <w:rPr>
                              <w:rFonts w:ascii="Trebuchet MS" w:hAnsi="Trebuchet MS"/>
                              <w:color w:val="231F20"/>
                              <w:spacing w:val="1"/>
                              <w:sz w:val="16"/>
                            </w:rPr>
                            <w:t> </w:t>
                          </w:r>
                          <w:r>
                            <w:rPr>
                              <w:rFonts w:ascii="Trebuchet MS" w:hAnsi="Trebuchet MS"/>
                              <w:color w:val="231F20"/>
                              <w:w w:val="90"/>
                              <w:sz w:val="16"/>
                            </w:rPr>
                            <w:t>2020</w:t>
                          </w:r>
                          <w:r>
                            <w:rPr>
                              <w:rFonts w:ascii="Trebuchet MS" w:hAnsi="Trebuchet MS"/>
                              <w:color w:val="231F20"/>
                              <w:spacing w:val="1"/>
                              <w:sz w:val="16"/>
                            </w:rPr>
                            <w:t> </w:t>
                          </w:r>
                          <w:r>
                            <w:rPr>
                              <w:rFonts w:ascii="Trebuchet MS" w:hAnsi="Trebuchet MS"/>
                              <w:color w:val="231F20"/>
                              <w:w w:val="90"/>
                              <w:sz w:val="16"/>
                            </w:rPr>
                            <w:t>-</w:t>
                          </w:r>
                          <w:r>
                            <w:rPr>
                              <w:rFonts w:ascii="Trebuchet MS" w:hAnsi="Trebuchet MS"/>
                              <w:color w:val="231F20"/>
                              <w:spacing w:val="2"/>
                              <w:sz w:val="16"/>
                            </w:rPr>
                            <w:t> </w:t>
                          </w:r>
                          <w:r>
                            <w:rPr>
                              <w:rFonts w:ascii="Trebuchet MS" w:hAnsi="Trebuchet MS"/>
                              <w:color w:val="231F20"/>
                              <w:w w:val="90"/>
                              <w:sz w:val="16"/>
                            </w:rPr>
                            <w:t>Vol.</w:t>
                          </w:r>
                          <w:r>
                            <w:rPr>
                              <w:rFonts w:ascii="Trebuchet MS" w:hAnsi="Trebuchet MS"/>
                              <w:color w:val="231F20"/>
                              <w:spacing w:val="1"/>
                              <w:sz w:val="16"/>
                            </w:rPr>
                            <w:t> </w:t>
                          </w:r>
                          <w:r>
                            <w:rPr>
                              <w:rFonts w:ascii="Trebuchet MS" w:hAnsi="Trebuchet MS"/>
                              <w:color w:val="231F20"/>
                              <w:spacing w:val="-5"/>
                              <w:w w:val="90"/>
                              <w:sz w:val="16"/>
                            </w:rPr>
                            <w:t>42</w:t>
                          </w:r>
                        </w:p>
                      </w:txbxContent>
                    </wps:txbx>
                    <wps:bodyPr wrap="square" lIns="0" tIns="0" rIns="0" bIns="0" rtlCol="0">
                      <a:noAutofit/>
                    </wps:bodyPr>
                  </wps:wsp>
                </a:graphicData>
              </a:graphic>
            </wp:anchor>
          </w:drawing>
        </mc:Choice>
        <mc:Fallback>
          <w:pict>
            <v:shape style="position:absolute;margin-left:456.182312pt;margin-top:27.131779pt;width:122.25pt;height:11.65pt;mso-position-horizontal-relative:page;mso-position-vertical-relative:page;z-index:-15871488" type="#_x0000_t202" id="docshape12" filled="false" stroked="false">
              <v:textbox inset="0,0,0,0">
                <w:txbxContent>
                  <w:p>
                    <w:pPr>
                      <w:spacing w:before="22"/>
                      <w:ind w:left="20" w:right="0" w:firstLine="0"/>
                      <w:jc w:val="left"/>
                      <w:rPr>
                        <w:rFonts w:ascii="Trebuchet MS" w:hAnsi="Trebuchet MS"/>
                        <w:sz w:val="16"/>
                      </w:rPr>
                    </w:pPr>
                    <w:r>
                      <w:rPr>
                        <w:rFonts w:ascii="Trebuchet MS" w:hAnsi="Trebuchet MS"/>
                        <w:color w:val="231F20"/>
                        <w:w w:val="90"/>
                        <w:sz w:val="16"/>
                      </w:rPr>
                      <w:t>Geología</w:t>
                    </w:r>
                    <w:r>
                      <w:rPr>
                        <w:rFonts w:ascii="Trebuchet MS" w:hAnsi="Trebuchet MS"/>
                        <w:color w:val="231F20"/>
                        <w:spacing w:val="1"/>
                        <w:sz w:val="16"/>
                      </w:rPr>
                      <w:t> </w:t>
                    </w:r>
                    <w:r>
                      <w:rPr>
                        <w:rFonts w:ascii="Trebuchet MS" w:hAnsi="Trebuchet MS"/>
                        <w:color w:val="231F20"/>
                        <w:w w:val="90"/>
                        <w:sz w:val="16"/>
                      </w:rPr>
                      <w:t>Colombiana,</w:t>
                    </w:r>
                    <w:r>
                      <w:rPr>
                        <w:rFonts w:ascii="Trebuchet MS" w:hAnsi="Trebuchet MS"/>
                        <w:color w:val="231F20"/>
                        <w:spacing w:val="1"/>
                        <w:sz w:val="16"/>
                      </w:rPr>
                      <w:t> </w:t>
                    </w:r>
                    <w:r>
                      <w:rPr>
                        <w:rFonts w:ascii="Trebuchet MS" w:hAnsi="Trebuchet MS"/>
                        <w:color w:val="231F20"/>
                        <w:w w:val="90"/>
                        <w:sz w:val="16"/>
                      </w:rPr>
                      <w:t>2020</w:t>
                    </w:r>
                    <w:r>
                      <w:rPr>
                        <w:rFonts w:ascii="Trebuchet MS" w:hAnsi="Trebuchet MS"/>
                        <w:color w:val="231F20"/>
                        <w:spacing w:val="1"/>
                        <w:sz w:val="16"/>
                      </w:rPr>
                      <w:t> </w:t>
                    </w:r>
                    <w:r>
                      <w:rPr>
                        <w:rFonts w:ascii="Trebuchet MS" w:hAnsi="Trebuchet MS"/>
                        <w:color w:val="231F20"/>
                        <w:w w:val="90"/>
                        <w:sz w:val="16"/>
                      </w:rPr>
                      <w:t>-</w:t>
                    </w:r>
                    <w:r>
                      <w:rPr>
                        <w:rFonts w:ascii="Trebuchet MS" w:hAnsi="Trebuchet MS"/>
                        <w:color w:val="231F20"/>
                        <w:spacing w:val="2"/>
                        <w:sz w:val="16"/>
                      </w:rPr>
                      <w:t> </w:t>
                    </w:r>
                    <w:r>
                      <w:rPr>
                        <w:rFonts w:ascii="Trebuchet MS" w:hAnsi="Trebuchet MS"/>
                        <w:color w:val="231F20"/>
                        <w:w w:val="90"/>
                        <w:sz w:val="16"/>
                      </w:rPr>
                      <w:t>Vol.</w:t>
                    </w:r>
                    <w:r>
                      <w:rPr>
                        <w:rFonts w:ascii="Trebuchet MS" w:hAnsi="Trebuchet MS"/>
                        <w:color w:val="231F20"/>
                        <w:spacing w:val="1"/>
                        <w:sz w:val="16"/>
                      </w:rPr>
                      <w:t> </w:t>
                    </w:r>
                    <w:r>
                      <w:rPr>
                        <w:rFonts w:ascii="Trebuchet MS" w:hAnsi="Trebuchet MS"/>
                        <w:color w:val="231F20"/>
                        <w:spacing w:val="-5"/>
                        <w:w w:val="90"/>
                        <w:sz w:val="16"/>
                      </w:rPr>
                      <w:t>42</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evenAndOddHeaders/>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s-ES"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es-ES" w:eastAsia="en-US" w:bidi="ar-SA"/>
    </w:rPr>
  </w:style>
  <w:style w:styleId="Heading1" w:type="paragraph">
    <w:name w:val="Heading 1"/>
    <w:basedOn w:val="Normal"/>
    <w:uiPriority w:val="1"/>
    <w:qFormat/>
    <w:pPr>
      <w:ind w:left="166"/>
      <w:outlineLvl w:val="1"/>
    </w:pPr>
    <w:rPr>
      <w:rFonts w:ascii="Times New Roman" w:hAnsi="Times New Roman" w:eastAsia="Times New Roman" w:cs="Times New Roman"/>
      <w:b/>
      <w:bCs/>
      <w:sz w:val="20"/>
      <w:szCs w:val="20"/>
      <w:lang w:val="es-ES" w:eastAsia="en-US" w:bidi="ar-SA"/>
    </w:rPr>
  </w:style>
  <w:style w:styleId="Heading2" w:type="paragraph">
    <w:name w:val="Heading 2"/>
    <w:basedOn w:val="Normal"/>
    <w:uiPriority w:val="1"/>
    <w:qFormat/>
    <w:pPr>
      <w:ind w:left="219"/>
      <w:outlineLvl w:val="2"/>
    </w:pPr>
    <w:rPr>
      <w:rFonts w:ascii="Times New Roman" w:hAnsi="Times New Roman" w:eastAsia="Times New Roman" w:cs="Times New Roman"/>
      <w:b/>
      <w:bCs/>
      <w:i/>
      <w:iCs/>
      <w:sz w:val="20"/>
      <w:szCs w:val="20"/>
      <w:lang w:val="es-ES" w:eastAsia="en-US" w:bidi="ar-SA"/>
    </w:rPr>
  </w:style>
  <w:style w:styleId="ListParagraph" w:type="paragraph">
    <w:name w:val="List Paragraph"/>
    <w:basedOn w:val="Normal"/>
    <w:uiPriority w:val="1"/>
    <w:qFormat/>
    <w:pPr/>
    <w:rPr>
      <w:lang w:val="es-ES" w:eastAsia="en-US" w:bidi="ar-SA"/>
    </w:rPr>
  </w:style>
  <w:style w:styleId="TableParagraph" w:type="paragraph">
    <w:name w:val="Table Paragraph"/>
    <w:basedOn w:val="Normal"/>
    <w:uiPriority w:val="1"/>
    <w:qFormat/>
    <w:pPr/>
    <w:rPr>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hyperlink" Target="mailto:amperillav@unal.edu.co" TargetMode="External"/><Relationship Id="rId11" Type="http://schemas.openxmlformats.org/officeDocument/2006/relationships/image" Target="media/image4.jpeg"/><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3.xml"/><Relationship Id="rId15" Type="http://schemas.openxmlformats.org/officeDocument/2006/relationships/footer" Target="footer4.xml"/><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6.png"/><Relationship Id="rId3"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2026-01-14T16:47:57Z</dcterms:created>
  <dcterms:modified xsi:type="dcterms:W3CDTF">2026-01-14T16:47:57Z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2022-07-26T00:00:00Z</vt:filetime>
  </property>
  <property fmtid="{D5CDD505-2E9C-101B-9397-08002B2CF9AE}" pid="3" name="LastSaved">
    <vt:filetime>2026-01-14T00:00:00Z</vt:filetime>
  </property>
  <property fmtid="{D5CDD505-2E9C-101B-9397-08002B2CF9AE}" pid="4" name="Producer">
    <vt:lpwstr>PDFTron PDFNet, V9.20793
</vt:lpwstr>
  </property>
</Properties>
</file>