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505CA" w14:textId="77777777" w:rsidR="00260AC3" w:rsidRDefault="00A22920">
      <w:pPr>
        <w:spacing w:after="280" w:line="276" w:lineRule="auto"/>
        <w:rPr>
          <w:rFonts w:ascii="Arial Narrow" w:eastAsia="Arial Narrow" w:hAnsi="Arial Narrow" w:cs="Arial Narrow"/>
          <w:b/>
        </w:rPr>
      </w:pPr>
      <w:r>
        <w:rPr>
          <w:noProof/>
        </w:rPr>
        <w:drawing>
          <wp:inline distT="0" distB="0" distL="0" distR="0" wp14:anchorId="079F5721" wp14:editId="06DE3168">
            <wp:extent cx="3495692" cy="148550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95692" cy="1485501"/>
                    </a:xfrm>
                    <a:prstGeom prst="rect">
                      <a:avLst/>
                    </a:prstGeom>
                    <a:ln/>
                  </pic:spPr>
                </pic:pic>
              </a:graphicData>
            </a:graphic>
          </wp:inline>
        </w:drawing>
      </w:r>
    </w:p>
    <w:p w14:paraId="195BD40D" w14:textId="77777777" w:rsidR="00260AC3" w:rsidRDefault="00260AC3">
      <w:pPr>
        <w:spacing w:before="280" w:after="280" w:line="276" w:lineRule="auto"/>
        <w:rPr>
          <w:rFonts w:ascii="Arial Narrow" w:eastAsia="Arial Narrow" w:hAnsi="Arial Narrow" w:cs="Arial Narrow"/>
          <w:b/>
        </w:rPr>
      </w:pPr>
    </w:p>
    <w:p w14:paraId="72E2BD01" w14:textId="77777777" w:rsidR="00260AC3" w:rsidRDefault="00A22920">
      <w:pPr>
        <w:spacing w:before="280" w:after="280" w:line="276" w:lineRule="auto"/>
        <w:jc w:val="center"/>
        <w:rPr>
          <w:rFonts w:ascii="Arial Narrow" w:eastAsia="Arial Narrow" w:hAnsi="Arial Narrow" w:cs="Arial Narrow"/>
          <w:sz w:val="28"/>
          <w:szCs w:val="28"/>
        </w:rPr>
      </w:pPr>
      <w:r>
        <w:rPr>
          <w:rFonts w:ascii="Arial Narrow" w:eastAsia="Arial Narrow" w:hAnsi="Arial Narrow" w:cs="Arial Narrow"/>
          <w:sz w:val="28"/>
          <w:szCs w:val="28"/>
        </w:rPr>
        <w:t>Universidad Nacional de Colombia - Sede Bogotá</w:t>
      </w:r>
    </w:p>
    <w:p w14:paraId="7F79B7BC" w14:textId="77777777" w:rsidR="00260AC3" w:rsidRDefault="00A22920">
      <w:pPr>
        <w:spacing w:before="280" w:after="280" w:line="276" w:lineRule="auto"/>
        <w:jc w:val="center"/>
        <w:rPr>
          <w:rFonts w:ascii="Arial Narrow" w:eastAsia="Arial Narrow" w:hAnsi="Arial Narrow" w:cs="Arial Narrow"/>
          <w:sz w:val="28"/>
          <w:szCs w:val="28"/>
        </w:rPr>
      </w:pPr>
      <w:r>
        <w:rPr>
          <w:rFonts w:ascii="Arial Narrow" w:eastAsia="Arial Narrow" w:hAnsi="Arial Narrow" w:cs="Arial Narrow"/>
          <w:sz w:val="28"/>
          <w:szCs w:val="28"/>
        </w:rPr>
        <w:t>Departamento de Ingeniería Civil y Agrícola</w:t>
      </w:r>
    </w:p>
    <w:p w14:paraId="7B8AA88B" w14:textId="77777777" w:rsidR="00260AC3" w:rsidRDefault="00260AC3">
      <w:pPr>
        <w:spacing w:before="280" w:after="280" w:line="276" w:lineRule="auto"/>
        <w:jc w:val="center"/>
        <w:rPr>
          <w:rFonts w:ascii="Arial Narrow" w:eastAsia="Arial Narrow" w:hAnsi="Arial Narrow" w:cs="Arial Narrow"/>
          <w:b/>
          <w:i/>
        </w:rPr>
      </w:pPr>
    </w:p>
    <w:tbl>
      <w:tblPr>
        <w:tblStyle w:val="a"/>
        <w:tblW w:w="8830" w:type="dxa"/>
        <w:tblBorders>
          <w:top w:val="single" w:sz="12" w:space="0" w:color="000000"/>
          <w:left w:val="nil"/>
          <w:bottom w:val="single" w:sz="12" w:space="0" w:color="000000"/>
          <w:right w:val="nil"/>
          <w:insideH w:val="nil"/>
          <w:insideV w:val="nil"/>
        </w:tblBorders>
        <w:tblLayout w:type="fixed"/>
        <w:tblLook w:val="0400" w:firstRow="0" w:lastRow="0" w:firstColumn="0" w:lastColumn="0" w:noHBand="0" w:noVBand="1"/>
      </w:tblPr>
      <w:tblGrid>
        <w:gridCol w:w="8830"/>
      </w:tblGrid>
      <w:tr w:rsidR="00260AC3" w14:paraId="33B83ACA" w14:textId="77777777">
        <w:trPr>
          <w:trHeight w:val="800"/>
        </w:trPr>
        <w:tc>
          <w:tcPr>
            <w:tcW w:w="8830" w:type="dxa"/>
            <w:vAlign w:val="center"/>
          </w:tcPr>
          <w:p w14:paraId="1170E970" w14:textId="77777777" w:rsidR="00260AC3" w:rsidRDefault="00A22920">
            <w:pPr>
              <w:spacing w:line="276" w:lineRule="auto"/>
              <w:jc w:val="center"/>
              <w:rPr>
                <w:rFonts w:ascii="Arial Narrow" w:eastAsia="Arial Narrow" w:hAnsi="Arial Narrow" w:cs="Arial Narrow"/>
                <w:b/>
                <w:i/>
              </w:rPr>
            </w:pPr>
            <w:r>
              <w:rPr>
                <w:rFonts w:ascii="Arial Narrow" w:eastAsia="Arial Narrow" w:hAnsi="Arial Narrow" w:cs="Arial Narrow"/>
                <w:b/>
                <w:sz w:val="36"/>
                <w:szCs w:val="36"/>
              </w:rPr>
              <w:t>Plan de Trabajo Docente e Investigador</w:t>
            </w:r>
          </w:p>
        </w:tc>
      </w:tr>
    </w:tbl>
    <w:p w14:paraId="3DB42DB3" w14:textId="77777777" w:rsidR="00260AC3" w:rsidRDefault="00260AC3">
      <w:pPr>
        <w:spacing w:before="280" w:after="280" w:line="276" w:lineRule="auto"/>
        <w:jc w:val="center"/>
        <w:rPr>
          <w:rFonts w:ascii="Arial Narrow" w:eastAsia="Arial Narrow" w:hAnsi="Arial Narrow" w:cs="Arial Narrow"/>
          <w:b/>
          <w:i/>
        </w:rPr>
      </w:pPr>
    </w:p>
    <w:p w14:paraId="444A0F75" w14:textId="77777777" w:rsidR="00260AC3" w:rsidRDefault="00260AC3">
      <w:pPr>
        <w:spacing w:before="280" w:after="280" w:line="276" w:lineRule="auto"/>
        <w:jc w:val="center"/>
        <w:rPr>
          <w:rFonts w:ascii="Arial Narrow" w:eastAsia="Arial Narrow" w:hAnsi="Arial Narrow" w:cs="Arial Narrow"/>
          <w:b/>
          <w:i/>
        </w:rPr>
      </w:pPr>
    </w:p>
    <w:p w14:paraId="683FD6C4" w14:textId="77777777" w:rsidR="00260AC3" w:rsidRDefault="00A22920">
      <w:pPr>
        <w:spacing w:before="280" w:after="280" w:line="276" w:lineRule="auto"/>
        <w:rPr>
          <w:rFonts w:ascii="Arial Narrow" w:eastAsia="Arial Narrow" w:hAnsi="Arial Narrow" w:cs="Arial Narrow"/>
        </w:rPr>
      </w:pPr>
      <w:r>
        <w:rPr>
          <w:rFonts w:ascii="Arial Narrow" w:eastAsia="Arial Narrow" w:hAnsi="Arial Narrow" w:cs="Arial Narrow"/>
          <w:b/>
        </w:rPr>
        <w:t>Autor:</w:t>
      </w:r>
      <w:r>
        <w:rPr>
          <w:rFonts w:ascii="Arial Narrow" w:eastAsia="Arial Narrow" w:hAnsi="Arial Narrow" w:cs="Arial Narrow"/>
        </w:rPr>
        <w:br/>
        <w:t>Camilo Andrés López Santamaría</w:t>
      </w:r>
    </w:p>
    <w:p w14:paraId="741F002E" w14:textId="77777777" w:rsidR="00260AC3" w:rsidRDefault="00260AC3">
      <w:pPr>
        <w:spacing w:before="280" w:after="280" w:line="276" w:lineRule="auto"/>
        <w:rPr>
          <w:rFonts w:ascii="Arial Narrow" w:eastAsia="Arial Narrow" w:hAnsi="Arial Narrow" w:cs="Arial Narrow"/>
        </w:rPr>
      </w:pPr>
    </w:p>
    <w:p w14:paraId="6456E2E3" w14:textId="77777777" w:rsidR="00260AC3" w:rsidRDefault="00260AC3">
      <w:pPr>
        <w:spacing w:before="280" w:after="280" w:line="276" w:lineRule="auto"/>
        <w:rPr>
          <w:rFonts w:ascii="Arial Narrow" w:eastAsia="Arial Narrow" w:hAnsi="Arial Narrow" w:cs="Arial Narrow"/>
        </w:rPr>
      </w:pPr>
    </w:p>
    <w:p w14:paraId="744B1A2B" w14:textId="77777777" w:rsidR="00260AC3" w:rsidRDefault="00260AC3">
      <w:pPr>
        <w:spacing w:before="280" w:after="280" w:line="276" w:lineRule="auto"/>
        <w:rPr>
          <w:rFonts w:ascii="Arial Narrow" w:eastAsia="Arial Narrow" w:hAnsi="Arial Narrow" w:cs="Arial Narrow"/>
        </w:rPr>
      </w:pPr>
    </w:p>
    <w:p w14:paraId="0037DF8F" w14:textId="77777777" w:rsidR="00260AC3" w:rsidRDefault="00260AC3">
      <w:pPr>
        <w:spacing w:before="280" w:after="280" w:line="276" w:lineRule="auto"/>
        <w:rPr>
          <w:rFonts w:ascii="Arial Narrow" w:eastAsia="Arial Narrow" w:hAnsi="Arial Narrow" w:cs="Arial Narrow"/>
        </w:rPr>
      </w:pPr>
    </w:p>
    <w:p w14:paraId="7A880ED8" w14:textId="77777777" w:rsidR="00260AC3" w:rsidRDefault="00260AC3">
      <w:pPr>
        <w:spacing w:before="280" w:after="280" w:line="276" w:lineRule="auto"/>
        <w:rPr>
          <w:rFonts w:ascii="Arial Narrow" w:eastAsia="Arial Narrow" w:hAnsi="Arial Narrow" w:cs="Arial Narrow"/>
        </w:rPr>
      </w:pPr>
    </w:p>
    <w:p w14:paraId="50AE6084" w14:textId="1528CC46" w:rsidR="00260AC3" w:rsidRDefault="00A22920">
      <w:pPr>
        <w:spacing w:before="280" w:after="280" w:line="276" w:lineRule="auto"/>
        <w:jc w:val="center"/>
        <w:rPr>
          <w:rFonts w:ascii="Arial Narrow" w:eastAsia="Arial Narrow" w:hAnsi="Arial Narrow" w:cs="Arial Narrow"/>
        </w:rPr>
      </w:pPr>
      <w:r>
        <w:rPr>
          <w:rFonts w:ascii="Arial Narrow" w:eastAsia="Arial Narrow" w:hAnsi="Arial Narrow" w:cs="Arial Narrow"/>
        </w:rPr>
        <w:t>Plan de trabajo para participar en el concurso de Docente de Planta</w:t>
      </w:r>
      <w:r>
        <w:rPr>
          <w:rFonts w:ascii="Arial Narrow" w:eastAsia="Arial Narrow" w:hAnsi="Arial Narrow" w:cs="Arial Narrow"/>
        </w:rPr>
        <w:br/>
        <w:t xml:space="preserve">Perfil TC2 - </w:t>
      </w:r>
      <w:proofErr w:type="spellStart"/>
      <w:r>
        <w:rPr>
          <w:rFonts w:ascii="Arial Narrow" w:eastAsia="Arial Narrow" w:hAnsi="Arial Narrow" w:cs="Arial Narrow"/>
        </w:rPr>
        <w:t>Poscosecha</w:t>
      </w:r>
      <w:proofErr w:type="spellEnd"/>
      <w:r>
        <w:rPr>
          <w:rFonts w:ascii="Arial Narrow" w:eastAsia="Arial Narrow" w:hAnsi="Arial Narrow" w:cs="Arial Narrow"/>
        </w:rPr>
        <w:t xml:space="preserve"> y Agroindustria de Productos Agrícolas</w:t>
      </w:r>
      <w:r>
        <w:rPr>
          <w:rFonts w:ascii="Arial Narrow" w:eastAsia="Arial Narrow" w:hAnsi="Arial Narrow" w:cs="Arial Narrow"/>
        </w:rPr>
        <w:br/>
      </w:r>
      <w:r w:rsidR="0076637F">
        <w:rPr>
          <w:rFonts w:ascii="Arial Narrow" w:eastAsia="Arial Narrow" w:hAnsi="Arial Narrow" w:cs="Arial Narrow"/>
        </w:rPr>
        <w:t>5 de septiembre</w:t>
      </w:r>
      <w:r>
        <w:rPr>
          <w:rFonts w:ascii="Arial Narrow" w:eastAsia="Arial Narrow" w:hAnsi="Arial Narrow" w:cs="Arial Narrow"/>
        </w:rPr>
        <w:t xml:space="preserve"> de 2024</w:t>
      </w:r>
    </w:p>
    <w:p w14:paraId="4CB98D55" w14:textId="77777777" w:rsidR="00260AC3" w:rsidRDefault="00A22920">
      <w:pPr>
        <w:spacing w:line="276" w:lineRule="auto"/>
        <w:rPr>
          <w:rFonts w:ascii="Arial Narrow" w:eastAsia="Arial Narrow" w:hAnsi="Arial Narrow" w:cs="Arial Narrow"/>
        </w:rPr>
      </w:pPr>
      <w:r>
        <w:br w:type="page"/>
      </w:r>
    </w:p>
    <w:p w14:paraId="056FC681" w14:textId="77777777" w:rsidR="00260AC3" w:rsidRDefault="00260AC3">
      <w:pPr>
        <w:spacing w:after="0" w:line="276" w:lineRule="auto"/>
        <w:rPr>
          <w:rFonts w:ascii="Arial Narrow" w:eastAsia="Arial Narrow" w:hAnsi="Arial Narrow" w:cs="Arial Narrow"/>
        </w:rPr>
      </w:pPr>
    </w:p>
    <w:p w14:paraId="2C1F076D" w14:textId="77777777" w:rsidR="00260AC3" w:rsidRDefault="00A22920">
      <w:pPr>
        <w:pStyle w:val="Heading3"/>
        <w:spacing w:before="280" w:after="80" w:line="276" w:lineRule="auto"/>
        <w:rPr>
          <w:rFonts w:ascii="Arial Narrow" w:eastAsia="Arial Narrow" w:hAnsi="Arial Narrow" w:cs="Arial Narrow"/>
          <w:sz w:val="26"/>
          <w:szCs w:val="26"/>
        </w:rPr>
      </w:pPr>
      <w:bookmarkStart w:id="0" w:name="_heading=h.qm95u8o63ek" w:colFirst="0" w:colLast="0"/>
      <w:bookmarkEnd w:id="0"/>
      <w:r>
        <w:rPr>
          <w:rFonts w:ascii="Arial Narrow" w:eastAsia="Arial Narrow" w:hAnsi="Arial Narrow" w:cs="Arial Narrow"/>
          <w:sz w:val="26"/>
          <w:szCs w:val="26"/>
        </w:rPr>
        <w:t>1. Justificación</w:t>
      </w:r>
    </w:p>
    <w:p w14:paraId="62ADEA7D"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 xml:space="preserve">La Universidad Nacional de Colombia, como institución líder en el desarrollo del país, juega un papel crucial en la transformación del sector agrícola. La </w:t>
      </w:r>
      <w:proofErr w:type="spellStart"/>
      <w:r w:rsidRPr="004C13E5">
        <w:rPr>
          <w:rFonts w:ascii="Arial Narrow" w:eastAsia="Arial Narrow" w:hAnsi="Arial Narrow" w:cs="Arial Narrow"/>
        </w:rPr>
        <w:t>poscosecha</w:t>
      </w:r>
      <w:proofErr w:type="spellEnd"/>
      <w:r w:rsidRPr="004C13E5">
        <w:rPr>
          <w:rFonts w:ascii="Arial Narrow" w:eastAsia="Arial Narrow" w:hAnsi="Arial Narrow" w:cs="Arial Narrow"/>
        </w:rPr>
        <w:t xml:space="preserve"> y la agroindustria son áreas estratégicas que requieren no solo conocimientos avanzados, sino también innovación en los procesos de la cadena de valor de los productos agrícolas. En Colombia, la agroindustria enfrenta desafíos que incluyen la reducción de pérdidas de materiales en las operaciones de </w:t>
      </w:r>
      <w:proofErr w:type="spellStart"/>
      <w:r w:rsidRPr="004C13E5">
        <w:rPr>
          <w:rFonts w:ascii="Arial Narrow" w:eastAsia="Arial Narrow" w:hAnsi="Arial Narrow" w:cs="Arial Narrow"/>
        </w:rPr>
        <w:t>poscosecha</w:t>
      </w:r>
      <w:proofErr w:type="spellEnd"/>
      <w:r w:rsidRPr="004C13E5">
        <w:rPr>
          <w:rFonts w:ascii="Arial Narrow" w:eastAsia="Arial Narrow" w:hAnsi="Arial Narrow" w:cs="Arial Narrow"/>
        </w:rPr>
        <w:t>, el aprovechamiento eficiente de los recursos, y la optimización económica de procesos para asegurar productos de alta calidad y competitividad en los mercados nacionales e internacionales (FAO, 2019). Estos desafíos son exacerbados por la variabilidad climática, la falta de infraestructura adecuada, y el acceso limitado a tecnologías avanzadas, lo que subraya la necesidad de intervenciones innovadoras y adaptativas (Ospina et al., 2020).</w:t>
      </w:r>
    </w:p>
    <w:p w14:paraId="1F606855"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Es en este contexto que mi experiencia como ingeniero químico, con conocimientos en operaciones unitarias, y algoritmos de aprendizaje de máquina (IA), me posicionan de manera ideal para contribuir a la misión del programa de Ingeniería Agrícola en la Universidad Nacional de Colombia (</w:t>
      </w:r>
      <w:proofErr w:type="spellStart"/>
      <w:r w:rsidRPr="004C13E5">
        <w:rPr>
          <w:rFonts w:ascii="Arial Narrow" w:eastAsia="Arial Narrow" w:hAnsi="Arial Narrow" w:cs="Arial Narrow"/>
        </w:rPr>
        <w:t>Demirbas</w:t>
      </w:r>
      <w:proofErr w:type="spellEnd"/>
      <w:r w:rsidRPr="004C13E5">
        <w:rPr>
          <w:rFonts w:ascii="Arial Narrow" w:eastAsia="Arial Narrow" w:hAnsi="Arial Narrow" w:cs="Arial Narrow"/>
        </w:rPr>
        <w:t>, 2009). Mi formación técnica y mi enfoque en la integración de tecnologías emergentes me permiten abordar de manera efectiva los problemas complejos que enfrenta el sector agrícola, proponiendo soluciones que mejoren la eficiencia, reduzcan las pérdidas y promuevan la sostenibilidad a largo plazo (</w:t>
      </w:r>
      <w:proofErr w:type="spellStart"/>
      <w:r w:rsidRPr="004C13E5">
        <w:rPr>
          <w:rFonts w:ascii="Arial Narrow" w:eastAsia="Arial Narrow" w:hAnsi="Arial Narrow" w:cs="Arial Narrow"/>
        </w:rPr>
        <w:t>Klemeš</w:t>
      </w:r>
      <w:proofErr w:type="spellEnd"/>
      <w:r w:rsidRPr="004C13E5">
        <w:rPr>
          <w:rFonts w:ascii="Arial Narrow" w:eastAsia="Arial Narrow" w:hAnsi="Arial Narrow" w:cs="Arial Narrow"/>
        </w:rPr>
        <w:t xml:space="preserve"> et al., 2018).</w:t>
      </w:r>
    </w:p>
    <w:p w14:paraId="2363165C"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Durante mi formación como ingeniero químico, he aprendido a diseñar y evaluar procesos que incluyen operaciones como el almacenamiento, secado, molienda, extracción, destilación, absorción, adecuación térmica, entre otros, que son fundamentales para mejorar la calidad y el valor de los productos agrícolas (Smith, 2016). Por ejemplo, he trabajado en proyectos que optimizan la extracción de aceites esenciales y vegetales, utilizando métodos que maximizan el rendimiento y minimizan el impacto ambiental (</w:t>
      </w:r>
      <w:proofErr w:type="spellStart"/>
      <w:r w:rsidRPr="004C13E5">
        <w:rPr>
          <w:rFonts w:ascii="Arial Narrow" w:eastAsia="Arial Narrow" w:hAnsi="Arial Narrow" w:cs="Arial Narrow"/>
        </w:rPr>
        <w:t>Bridgwater</w:t>
      </w:r>
      <w:proofErr w:type="spellEnd"/>
      <w:r w:rsidRPr="004C13E5">
        <w:rPr>
          <w:rFonts w:ascii="Arial Narrow" w:eastAsia="Arial Narrow" w:hAnsi="Arial Narrow" w:cs="Arial Narrow"/>
        </w:rPr>
        <w:t xml:space="preserve">, 2012). Además, durante mi estancia postdoctoral, investigué sobre la producción de </w:t>
      </w:r>
      <w:proofErr w:type="spellStart"/>
      <w:r w:rsidRPr="004C13E5">
        <w:rPr>
          <w:rFonts w:ascii="Arial Narrow" w:eastAsia="Arial Narrow" w:hAnsi="Arial Narrow" w:cs="Arial Narrow"/>
        </w:rPr>
        <w:t>biocarbones</w:t>
      </w:r>
      <w:proofErr w:type="spellEnd"/>
      <w:r w:rsidRPr="004C13E5">
        <w:rPr>
          <w:rFonts w:ascii="Arial Narrow" w:eastAsia="Arial Narrow" w:hAnsi="Arial Narrow" w:cs="Arial Narrow"/>
        </w:rPr>
        <w:t xml:space="preserve"> a partir de residuos de postcosecha, un enfoque que no sólo agrega valor a los residuos agrícolas, sino que también contribuye a la mitigación del cambio climático mediante la captura de carbono (International </w:t>
      </w:r>
      <w:proofErr w:type="spellStart"/>
      <w:r w:rsidRPr="004C13E5">
        <w:rPr>
          <w:rFonts w:ascii="Arial Narrow" w:eastAsia="Arial Narrow" w:hAnsi="Arial Narrow" w:cs="Arial Narrow"/>
        </w:rPr>
        <w:t>Renewable</w:t>
      </w:r>
      <w:proofErr w:type="spellEnd"/>
      <w:r w:rsidRPr="004C13E5">
        <w:rPr>
          <w:rFonts w:ascii="Arial Narrow" w:eastAsia="Arial Narrow" w:hAnsi="Arial Narrow" w:cs="Arial Narrow"/>
        </w:rPr>
        <w:t xml:space="preserve"> Energy Agency [IRENA], 2021). Adicionalmente, he estado expandiendo mis conocimientos hacia el uso de tecnologías avanzadas como la IA y el aprendizaje de máquina. Estas tecnologías tienen el potencial de revolucionar la agroindustria, proporcionando herramientas para la toma de decisiones basadas en datos, la automatización de procesos, y la personalización de soluciones a las condiciones locales (</w:t>
      </w:r>
      <w:proofErr w:type="spellStart"/>
      <w:r w:rsidRPr="004C13E5">
        <w:rPr>
          <w:rFonts w:ascii="Arial Narrow" w:eastAsia="Arial Narrow" w:hAnsi="Arial Narrow" w:cs="Arial Narrow"/>
        </w:rPr>
        <w:t>Goodfellow</w:t>
      </w:r>
      <w:proofErr w:type="spellEnd"/>
      <w:r w:rsidRPr="004C13E5">
        <w:rPr>
          <w:rFonts w:ascii="Arial Narrow" w:eastAsia="Arial Narrow" w:hAnsi="Arial Narrow" w:cs="Arial Narrow"/>
        </w:rPr>
        <w:t xml:space="preserve">, </w:t>
      </w:r>
      <w:proofErr w:type="spellStart"/>
      <w:r w:rsidRPr="004C13E5">
        <w:rPr>
          <w:rFonts w:ascii="Arial Narrow" w:eastAsia="Arial Narrow" w:hAnsi="Arial Narrow" w:cs="Arial Narrow"/>
        </w:rPr>
        <w:t>Bengio</w:t>
      </w:r>
      <w:proofErr w:type="spellEnd"/>
      <w:r w:rsidRPr="004C13E5">
        <w:rPr>
          <w:rFonts w:ascii="Arial Narrow" w:eastAsia="Arial Narrow" w:hAnsi="Arial Narrow" w:cs="Arial Narrow"/>
        </w:rPr>
        <w:t xml:space="preserve">, &amp; </w:t>
      </w:r>
      <w:proofErr w:type="spellStart"/>
      <w:r w:rsidRPr="004C13E5">
        <w:rPr>
          <w:rFonts w:ascii="Arial Narrow" w:eastAsia="Arial Narrow" w:hAnsi="Arial Narrow" w:cs="Arial Narrow"/>
        </w:rPr>
        <w:t>Courville</w:t>
      </w:r>
      <w:proofErr w:type="spellEnd"/>
      <w:r w:rsidRPr="004C13E5">
        <w:rPr>
          <w:rFonts w:ascii="Arial Narrow" w:eastAsia="Arial Narrow" w:hAnsi="Arial Narrow" w:cs="Arial Narrow"/>
        </w:rPr>
        <w:t>, 2016).</w:t>
      </w:r>
    </w:p>
    <w:p w14:paraId="3E93A075"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El enfoque en la sede Bogotá de la Universidad Nacional es estratégico, dado su potencial como centro de innovación agrícola que no solo beneficia a la región, sino también al país en su conjunto (Ospina et al., 2020). La región de la Sabana de Bogotá ofrece un entorno ideal para la investigación y desarrollo de tecnologías aplicables a nivel nacional, promoviendo un desarrollo agropecuario sostenible. La diversidad climática y de suelos de la región proporciona un laboratorio natural para el desarrollo de tecnologías que puedan adaptarse a diversas condiciones, permitiendo a los ingenieros agrícolas formarse con un enfoque integral y contextualizado a las necesidades del país (FAO, 2019). Además, la proximidad a centros urbanos y a instituciones gubernamentales facilita la colaboración interdisciplinaria y la transferencia rápida de tecnologías y conocimientos (</w:t>
      </w:r>
      <w:proofErr w:type="spellStart"/>
      <w:r w:rsidRPr="004C13E5">
        <w:rPr>
          <w:rFonts w:ascii="Arial Narrow" w:eastAsia="Arial Narrow" w:hAnsi="Arial Narrow" w:cs="Arial Narrow"/>
        </w:rPr>
        <w:t>Muller</w:t>
      </w:r>
      <w:proofErr w:type="spellEnd"/>
      <w:r w:rsidRPr="004C13E5">
        <w:rPr>
          <w:rFonts w:ascii="Arial Narrow" w:eastAsia="Arial Narrow" w:hAnsi="Arial Narrow" w:cs="Arial Narrow"/>
        </w:rPr>
        <w:t xml:space="preserve"> &amp; </w:t>
      </w:r>
      <w:proofErr w:type="spellStart"/>
      <w:r w:rsidRPr="004C13E5">
        <w:rPr>
          <w:rFonts w:ascii="Arial Narrow" w:eastAsia="Arial Narrow" w:hAnsi="Arial Narrow" w:cs="Arial Narrow"/>
        </w:rPr>
        <w:t>Colby</w:t>
      </w:r>
      <w:proofErr w:type="spellEnd"/>
      <w:r w:rsidRPr="004C13E5">
        <w:rPr>
          <w:rFonts w:ascii="Arial Narrow" w:eastAsia="Arial Narrow" w:hAnsi="Arial Narrow" w:cs="Arial Narrow"/>
        </w:rPr>
        <w:t>, 2021).</w:t>
      </w:r>
    </w:p>
    <w:p w14:paraId="10B0C9D5" w14:textId="754B2C10" w:rsidR="00260AC3"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lastRenderedPageBreak/>
        <w:t xml:space="preserve">A nivel de Colombia, el fortalecimiento del sector agrícola a través de la investigación y la formación es crucial para la seguridad alimentaria y la sostenibilidad económica del país (FAO, 2019). Las pérdidas por </w:t>
      </w:r>
      <w:proofErr w:type="spellStart"/>
      <w:r w:rsidRPr="004C13E5">
        <w:rPr>
          <w:rFonts w:ascii="Arial Narrow" w:eastAsia="Arial Narrow" w:hAnsi="Arial Narrow" w:cs="Arial Narrow"/>
        </w:rPr>
        <w:t>poscosecha</w:t>
      </w:r>
      <w:proofErr w:type="spellEnd"/>
      <w:r w:rsidRPr="004C13E5">
        <w:rPr>
          <w:rFonts w:ascii="Arial Narrow" w:eastAsia="Arial Narrow" w:hAnsi="Arial Narrow" w:cs="Arial Narrow"/>
        </w:rPr>
        <w:t xml:space="preserve"> representan un desafío significativo que, si se aborda adecuadamente, podría mejorar considerablemente la rentabilidad y la eficiencia del sector agroindustrial. Esto no solo beneficiará a los grandes productores, sino también a los pequeños agricultores, quienes podrán acceder a tecnologías más avanzadas y eficientes para mejorar la calidad de sus productos y reducir pérdidas (</w:t>
      </w:r>
      <w:proofErr w:type="spellStart"/>
      <w:r w:rsidRPr="004C13E5">
        <w:rPr>
          <w:rFonts w:ascii="Arial Narrow" w:eastAsia="Arial Narrow" w:hAnsi="Arial Narrow" w:cs="Arial Narrow"/>
        </w:rPr>
        <w:t>Demirbas</w:t>
      </w:r>
      <w:proofErr w:type="spellEnd"/>
      <w:r w:rsidRPr="004C13E5">
        <w:rPr>
          <w:rFonts w:ascii="Arial Narrow" w:eastAsia="Arial Narrow" w:hAnsi="Arial Narrow" w:cs="Arial Narrow"/>
        </w:rPr>
        <w:t>, 2009). La integración de tecnologías avanzadas, como la inteligencia artificial, en los procesos agroindustriales no solo tiene el potencial de mejorar la eficiencia y reducir costos, sino que también puede facilitar la adaptación a las cambiantes condiciones del mercado y del medio ambiente, asegurando así la competitividad a largo plazo del sector agrícola colombiano (</w:t>
      </w:r>
      <w:proofErr w:type="spellStart"/>
      <w:r w:rsidRPr="004C13E5">
        <w:rPr>
          <w:rFonts w:ascii="Arial Narrow" w:eastAsia="Arial Narrow" w:hAnsi="Arial Narrow" w:cs="Arial Narrow"/>
        </w:rPr>
        <w:t>Goodfellow</w:t>
      </w:r>
      <w:proofErr w:type="spellEnd"/>
      <w:r w:rsidRPr="004C13E5">
        <w:rPr>
          <w:rFonts w:ascii="Arial Narrow" w:eastAsia="Arial Narrow" w:hAnsi="Arial Narrow" w:cs="Arial Narrow"/>
        </w:rPr>
        <w:t xml:space="preserve"> et al., 2016</w:t>
      </w:r>
      <w:proofErr w:type="gramStart"/>
      <w:r w:rsidRPr="004C13E5">
        <w:rPr>
          <w:rFonts w:ascii="Arial Narrow" w:eastAsia="Arial Narrow" w:hAnsi="Arial Narrow" w:cs="Arial Narrow"/>
        </w:rPr>
        <w:t>).</w:t>
      </w:r>
      <w:r w:rsidR="00A22920">
        <w:rPr>
          <w:rFonts w:ascii="Arial Narrow" w:eastAsia="Arial Narrow" w:hAnsi="Arial Narrow" w:cs="Arial Narrow"/>
        </w:rPr>
        <w:t>.</w:t>
      </w:r>
      <w:proofErr w:type="gramEnd"/>
    </w:p>
    <w:p w14:paraId="693BA80C" w14:textId="77777777" w:rsidR="00260AC3" w:rsidRDefault="00A22920">
      <w:pPr>
        <w:pStyle w:val="Heading3"/>
        <w:spacing w:before="280" w:after="80" w:line="276" w:lineRule="auto"/>
        <w:rPr>
          <w:rFonts w:ascii="Arial Narrow" w:eastAsia="Arial Narrow" w:hAnsi="Arial Narrow" w:cs="Arial Narrow"/>
          <w:sz w:val="26"/>
          <w:szCs w:val="26"/>
        </w:rPr>
      </w:pPr>
      <w:bookmarkStart w:id="1" w:name="_heading=h.s2ri9milzano" w:colFirst="0" w:colLast="0"/>
      <w:bookmarkEnd w:id="1"/>
      <w:r>
        <w:rPr>
          <w:rFonts w:ascii="Arial Narrow" w:eastAsia="Arial Narrow" w:hAnsi="Arial Narrow" w:cs="Arial Narrow"/>
          <w:sz w:val="26"/>
          <w:szCs w:val="26"/>
        </w:rPr>
        <w:t>2. Objetivos</w:t>
      </w:r>
    </w:p>
    <w:p w14:paraId="30AAD2FD" w14:textId="77777777" w:rsidR="00260AC3" w:rsidRDefault="00A22920">
      <w:pPr>
        <w:spacing w:before="240" w:after="240" w:line="276" w:lineRule="auto"/>
        <w:rPr>
          <w:rFonts w:ascii="Arial Narrow" w:eastAsia="Arial Narrow" w:hAnsi="Arial Narrow" w:cs="Arial Narrow"/>
          <w:b/>
        </w:rPr>
      </w:pPr>
      <w:r>
        <w:rPr>
          <w:rFonts w:ascii="Arial Narrow" w:eastAsia="Arial Narrow" w:hAnsi="Arial Narrow" w:cs="Arial Narrow"/>
          <w:b/>
        </w:rPr>
        <w:t>Objetivo general:</w:t>
      </w:r>
    </w:p>
    <w:p w14:paraId="246D0CB4" w14:textId="1930AD82"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 xml:space="preserve">Contribuir al desarrollo sostenible de la agroindustria en Colombia mediante la integración de actividades de docencia, investigación y extensión en el área de </w:t>
      </w:r>
      <w:proofErr w:type="spellStart"/>
      <w:r>
        <w:rPr>
          <w:rFonts w:ascii="Arial Narrow" w:eastAsia="Arial Narrow" w:hAnsi="Arial Narrow" w:cs="Arial Narrow"/>
        </w:rPr>
        <w:t>poscosecha</w:t>
      </w:r>
      <w:proofErr w:type="spellEnd"/>
      <w:r>
        <w:rPr>
          <w:rFonts w:ascii="Arial Narrow" w:eastAsia="Arial Narrow" w:hAnsi="Arial Narrow" w:cs="Arial Narrow"/>
        </w:rPr>
        <w:t xml:space="preserve"> y agroindustria de productos agrícolas.</w:t>
      </w:r>
    </w:p>
    <w:p w14:paraId="068D123C" w14:textId="77777777" w:rsidR="00260AC3" w:rsidRDefault="00A22920">
      <w:pPr>
        <w:spacing w:before="240" w:after="240" w:line="276" w:lineRule="auto"/>
        <w:rPr>
          <w:rFonts w:ascii="Arial Narrow" w:eastAsia="Arial Narrow" w:hAnsi="Arial Narrow" w:cs="Arial Narrow"/>
          <w:b/>
        </w:rPr>
      </w:pPr>
      <w:r>
        <w:rPr>
          <w:rFonts w:ascii="Arial Narrow" w:eastAsia="Arial Narrow" w:hAnsi="Arial Narrow" w:cs="Arial Narrow"/>
          <w:b/>
        </w:rPr>
        <w:t>Objetivos específicos:</w:t>
      </w:r>
    </w:p>
    <w:p w14:paraId="6D014E27" w14:textId="7B7D2020" w:rsidR="00260AC3" w:rsidRDefault="00A22920">
      <w:pPr>
        <w:numPr>
          <w:ilvl w:val="0"/>
          <w:numId w:val="2"/>
        </w:numPr>
        <w:spacing w:before="240" w:after="0" w:line="276" w:lineRule="auto"/>
        <w:jc w:val="both"/>
        <w:rPr>
          <w:rFonts w:ascii="Arial Narrow" w:eastAsia="Arial Narrow" w:hAnsi="Arial Narrow" w:cs="Arial Narrow"/>
        </w:rPr>
      </w:pPr>
      <w:r>
        <w:rPr>
          <w:rFonts w:ascii="Arial Narrow" w:eastAsia="Arial Narrow" w:hAnsi="Arial Narrow" w:cs="Arial Narrow"/>
        </w:rPr>
        <w:t xml:space="preserve">Docencia: Implementar metodologías activas y participativas en la enseñanza de las operaciones unitarias aplicadas a la </w:t>
      </w:r>
      <w:proofErr w:type="spellStart"/>
      <w:r>
        <w:rPr>
          <w:rFonts w:ascii="Arial Narrow" w:eastAsia="Arial Narrow" w:hAnsi="Arial Narrow" w:cs="Arial Narrow"/>
        </w:rPr>
        <w:t>poscosecha</w:t>
      </w:r>
      <w:proofErr w:type="spellEnd"/>
      <w:r>
        <w:rPr>
          <w:rFonts w:ascii="Arial Narrow" w:eastAsia="Arial Narrow" w:hAnsi="Arial Narrow" w:cs="Arial Narrow"/>
        </w:rPr>
        <w:t xml:space="preserve"> y la agroindustria, utilizando tecnologías de simulación y herramientas digitales avanzadas. Estas metodologías buscarán no solo transmitir conocimientos teóricos, sino también fomentar el pensamiento crítico y la capacidad de resolución de problemas en los estudiantes, preparando a los futuros ingenieros para enfrentar los desafíos del sector.</w:t>
      </w:r>
    </w:p>
    <w:p w14:paraId="66201D82" w14:textId="422C32C8" w:rsidR="00260AC3" w:rsidRDefault="00A22920">
      <w:pPr>
        <w:numPr>
          <w:ilvl w:val="0"/>
          <w:numId w:val="2"/>
        </w:numPr>
        <w:spacing w:after="0" w:line="276" w:lineRule="auto"/>
        <w:jc w:val="both"/>
        <w:rPr>
          <w:rFonts w:ascii="Arial Narrow" w:eastAsia="Arial Narrow" w:hAnsi="Arial Narrow" w:cs="Arial Narrow"/>
        </w:rPr>
      </w:pPr>
      <w:r>
        <w:rPr>
          <w:rFonts w:ascii="Arial Narrow" w:eastAsia="Arial Narrow" w:hAnsi="Arial Narrow" w:cs="Arial Narrow"/>
        </w:rPr>
        <w:t xml:space="preserve">Investigación: Desarrollar proyectos de investigación que apliquen algoritmos de aprendizaje de máquina e inteligencia artificial para el diseño y optimización de </w:t>
      </w:r>
      <w:r w:rsidR="007E7603">
        <w:rPr>
          <w:rFonts w:ascii="Arial Narrow" w:eastAsia="Arial Narrow" w:hAnsi="Arial Narrow" w:cs="Arial Narrow"/>
        </w:rPr>
        <w:t xml:space="preserve">operaciones y </w:t>
      </w:r>
      <w:r>
        <w:rPr>
          <w:rFonts w:ascii="Arial Narrow" w:eastAsia="Arial Narrow" w:hAnsi="Arial Narrow" w:cs="Arial Narrow"/>
        </w:rPr>
        <w:t>procesos que valoricen los productos agrícolas, incrementando su calidad y eficiencia.</w:t>
      </w:r>
    </w:p>
    <w:p w14:paraId="7919016E" w14:textId="34A4F022" w:rsidR="00260AC3" w:rsidRDefault="00A22920">
      <w:pPr>
        <w:numPr>
          <w:ilvl w:val="0"/>
          <w:numId w:val="2"/>
        </w:numPr>
        <w:spacing w:after="240" w:line="276" w:lineRule="auto"/>
        <w:jc w:val="both"/>
        <w:rPr>
          <w:rFonts w:ascii="Arial Narrow" w:eastAsia="Arial Narrow" w:hAnsi="Arial Narrow" w:cs="Arial Narrow"/>
        </w:rPr>
      </w:pPr>
      <w:r>
        <w:rPr>
          <w:rFonts w:ascii="Arial Narrow" w:eastAsia="Arial Narrow" w:hAnsi="Arial Narrow" w:cs="Arial Narrow"/>
        </w:rPr>
        <w:t xml:space="preserve">Extensión: Facilitar la transferencia de conocimientos y tecnologías hacia los productores agrícolas y la industria mediante programas de formación continua, talleres y seminarios especializados en operaciones unitarias y optimización de procesos. Estos programas buscarán capacitar a los productores en el uso de tecnologías avanzadas, promoviendo prácticas agrícolas más eficientes y sostenibles. </w:t>
      </w:r>
    </w:p>
    <w:p w14:paraId="4F58C6CE" w14:textId="77777777" w:rsidR="00260AC3" w:rsidRDefault="00A22920">
      <w:pPr>
        <w:pStyle w:val="Heading3"/>
        <w:spacing w:before="280" w:after="80" w:line="276" w:lineRule="auto"/>
        <w:rPr>
          <w:rFonts w:ascii="Arial Narrow" w:eastAsia="Arial Narrow" w:hAnsi="Arial Narrow" w:cs="Arial Narrow"/>
          <w:sz w:val="26"/>
          <w:szCs w:val="26"/>
        </w:rPr>
      </w:pPr>
      <w:bookmarkStart w:id="2" w:name="_heading=h.7sxt4k14u2cu" w:colFirst="0" w:colLast="0"/>
      <w:bookmarkEnd w:id="2"/>
      <w:r>
        <w:rPr>
          <w:rFonts w:ascii="Arial Narrow" w:eastAsia="Arial Narrow" w:hAnsi="Arial Narrow" w:cs="Arial Narrow"/>
          <w:sz w:val="26"/>
          <w:szCs w:val="26"/>
        </w:rPr>
        <w:t>3. Propuesta en el Componente de Docencia</w:t>
      </w:r>
    </w:p>
    <w:p w14:paraId="3676ACBC"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 xml:space="preserve">La enseñanza de las operaciones unitarias en el contexto de la </w:t>
      </w:r>
      <w:proofErr w:type="spellStart"/>
      <w:r w:rsidRPr="004C13E5">
        <w:rPr>
          <w:rFonts w:ascii="Arial Narrow" w:eastAsia="Arial Narrow" w:hAnsi="Arial Narrow" w:cs="Arial Narrow"/>
        </w:rPr>
        <w:t>poscosecha</w:t>
      </w:r>
      <w:proofErr w:type="spellEnd"/>
      <w:r w:rsidRPr="004C13E5">
        <w:rPr>
          <w:rFonts w:ascii="Arial Narrow" w:eastAsia="Arial Narrow" w:hAnsi="Arial Narrow" w:cs="Arial Narrow"/>
        </w:rPr>
        <w:t xml:space="preserve"> y la agroindustria es fundamental para que los futuros ingenieros comprendan y apliquen procesos que mejoren la calidad y la eficiencia de los productos agrícolas (Smith, 2016). Propongo implementar un enfoque pedagógico que combine el aprendizaje basado en proyectos (ABP) con el uso de laboratorios reales y tecnologías de simulación, que permitan a los estudiantes visualizar y experimentar con los procesos que están aprendiendo (</w:t>
      </w:r>
      <w:proofErr w:type="spellStart"/>
      <w:r w:rsidRPr="004C13E5">
        <w:rPr>
          <w:rFonts w:ascii="Arial Narrow" w:eastAsia="Arial Narrow" w:hAnsi="Arial Narrow" w:cs="Arial Narrow"/>
        </w:rPr>
        <w:t>Goodfellow</w:t>
      </w:r>
      <w:proofErr w:type="spellEnd"/>
      <w:r w:rsidRPr="004C13E5">
        <w:rPr>
          <w:rFonts w:ascii="Arial Narrow" w:eastAsia="Arial Narrow" w:hAnsi="Arial Narrow" w:cs="Arial Narrow"/>
        </w:rPr>
        <w:t xml:space="preserve"> et al., 2016).</w:t>
      </w:r>
    </w:p>
    <w:p w14:paraId="01CD7CF8" w14:textId="77777777" w:rsidR="004C13E5" w:rsidRPr="004C13E5" w:rsidRDefault="004C13E5" w:rsidP="004C13E5">
      <w:pPr>
        <w:spacing w:before="240" w:after="240" w:line="276" w:lineRule="auto"/>
        <w:jc w:val="both"/>
        <w:rPr>
          <w:rFonts w:ascii="Arial Narrow" w:eastAsia="Arial Narrow" w:hAnsi="Arial Narrow" w:cs="Arial Narrow"/>
        </w:rPr>
      </w:pPr>
    </w:p>
    <w:p w14:paraId="433FF34F" w14:textId="77777777" w:rsidR="004C13E5" w:rsidRPr="004C13E5"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lastRenderedPageBreak/>
        <w:t>Este enfoque incluirá la creación de equipos y procesos a escala de planta piloto, así como también entornos virtuales, de tal modo que los estudiantes puedan simular y constatar de manera holística, operaciones unitarias como el secado, la destilación o la molienda, y optimizarlas utilizando algoritmos de aprendizaje de máquina (Ospina et al., 2020). Estas herramientas facilitarán la comprensión de conceptos complejos y permitirán a los estudiantes desarrollar soluciones innovadoras para problemas reales en la agroindustria.</w:t>
      </w:r>
    </w:p>
    <w:p w14:paraId="76B45B85" w14:textId="20700E1C" w:rsidR="00260AC3" w:rsidRDefault="004C13E5" w:rsidP="004C13E5">
      <w:pPr>
        <w:spacing w:before="240" w:after="240" w:line="276" w:lineRule="auto"/>
        <w:jc w:val="both"/>
        <w:rPr>
          <w:rFonts w:ascii="Arial Narrow" w:eastAsia="Arial Narrow" w:hAnsi="Arial Narrow" w:cs="Arial Narrow"/>
        </w:rPr>
      </w:pPr>
      <w:r w:rsidRPr="004C13E5">
        <w:rPr>
          <w:rFonts w:ascii="Arial Narrow" w:eastAsia="Arial Narrow" w:hAnsi="Arial Narrow" w:cs="Arial Narrow"/>
        </w:rPr>
        <w:t>Además, se integrará el uso de Objetos Virtuales de Aprendizaje (OVA) que proporcionen materiales interactivos y multimedia para que los estudiantes puedan aprender a su propio ritmo (</w:t>
      </w:r>
      <w:proofErr w:type="spellStart"/>
      <w:r w:rsidRPr="004C13E5">
        <w:rPr>
          <w:rFonts w:ascii="Arial Narrow" w:eastAsia="Arial Narrow" w:hAnsi="Arial Narrow" w:cs="Arial Narrow"/>
        </w:rPr>
        <w:t>Demirbas</w:t>
      </w:r>
      <w:proofErr w:type="spellEnd"/>
      <w:r w:rsidRPr="004C13E5">
        <w:rPr>
          <w:rFonts w:ascii="Arial Narrow" w:eastAsia="Arial Narrow" w:hAnsi="Arial Narrow" w:cs="Arial Narrow"/>
        </w:rPr>
        <w:t>, 2011). Estos recursos serán diseñados para complementar las clases presenciales y fomentar un aprendizaje más profundo y personalizado.</w:t>
      </w:r>
    </w:p>
    <w:p w14:paraId="002802FE" w14:textId="22C95C3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Para asegurar la efectividad de este enfoque, se implementarán métodos de evaluación continua que incluyan tanto la retroalimentación del instructor como la autoevaluación y la evaluación entre pares. Esto permitirá a los estudiantes identificar áreas de mejora y ajustar sus estrategias de aprendizaje en consecuencia, promoviendo un enfoque más reflexivo y metacognitivo hacia su formación.</w:t>
      </w:r>
    </w:p>
    <w:p w14:paraId="1A077F8D"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Se planearán actividades extracurriculares, como visitas a plantas de procesamiento y seminarios con expertos de la industria, para enriquecer la experiencia educativa y proporcionar a los estudiantes una visión más amplia de la agroindustria. Estas actividades facilitarán la conexión entre la teoría y la práctica, y permitirán a los estudiantes interactuar con profesionales del sector, expandiendo sus redes y explorando posibles trayectorias profesionales.</w:t>
      </w:r>
    </w:p>
    <w:p w14:paraId="2CB4FD52" w14:textId="77777777" w:rsidR="00260AC3" w:rsidRDefault="00A22920">
      <w:pPr>
        <w:pStyle w:val="Heading3"/>
        <w:spacing w:before="280" w:after="80" w:line="276" w:lineRule="auto"/>
        <w:rPr>
          <w:rFonts w:ascii="Arial Narrow" w:eastAsia="Arial Narrow" w:hAnsi="Arial Narrow" w:cs="Arial Narrow"/>
          <w:sz w:val="26"/>
          <w:szCs w:val="26"/>
        </w:rPr>
      </w:pPr>
      <w:bookmarkStart w:id="3" w:name="_heading=h.77nsncagsm2x" w:colFirst="0" w:colLast="0"/>
      <w:bookmarkEnd w:id="3"/>
      <w:r>
        <w:rPr>
          <w:rFonts w:ascii="Arial Narrow" w:eastAsia="Arial Narrow" w:hAnsi="Arial Narrow" w:cs="Arial Narrow"/>
          <w:sz w:val="26"/>
          <w:szCs w:val="26"/>
        </w:rPr>
        <w:t>4. Propuesta en el Componente de Investigación</w:t>
      </w:r>
    </w:p>
    <w:p w14:paraId="3667045E"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 xml:space="preserve">La investigación que propongo estará centrada en el desarrollo y aplicación de algoritmos de aprendizaje de máquina e inteligencia artificial para el diseño y optimización de procesos en la agroindustria. Aunque mi experiencia en la extracción de aceites o producción de </w:t>
      </w:r>
      <w:proofErr w:type="spellStart"/>
      <w:r>
        <w:rPr>
          <w:rFonts w:ascii="Arial Narrow" w:eastAsia="Arial Narrow" w:hAnsi="Arial Narrow" w:cs="Arial Narrow"/>
        </w:rPr>
        <w:t>biocarbones</w:t>
      </w:r>
      <w:proofErr w:type="spellEnd"/>
      <w:r>
        <w:rPr>
          <w:rFonts w:ascii="Arial Narrow" w:eastAsia="Arial Narrow" w:hAnsi="Arial Narrow" w:cs="Arial Narrow"/>
        </w:rPr>
        <w:t xml:space="preserve"> es relevante, veo una gran oportunidad en expandir este conocimiento hacia la aplicación de IA para mejorar la eficiencia de las operaciones unitarias en la </w:t>
      </w:r>
      <w:proofErr w:type="spellStart"/>
      <w:r>
        <w:rPr>
          <w:rFonts w:ascii="Arial Narrow" w:eastAsia="Arial Narrow" w:hAnsi="Arial Narrow" w:cs="Arial Narrow"/>
        </w:rPr>
        <w:t>poscosecha</w:t>
      </w:r>
      <w:proofErr w:type="spellEnd"/>
      <w:r>
        <w:rPr>
          <w:rFonts w:ascii="Arial Narrow" w:eastAsia="Arial Narrow" w:hAnsi="Arial Narrow" w:cs="Arial Narrow"/>
        </w:rPr>
        <w:t>.</w:t>
      </w:r>
    </w:p>
    <w:p w14:paraId="291F6470"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Por ejemplo, uno de los proyectos de investigación podría enfocarse en la optimización del secado de productos agrícolas, un proceso crítico en la cadena de valor que afecta directamente la calidad del producto final. Mediante la implementación de algoritmos de aprendizaje de máquina, se podrían desarrollar modelos predictivos que ajusten automáticamente los parámetros de secado para maximizar la eficiencia energética y minimizar las pérdidas de calidad. Estos modelos podrían considerar factores como la temperatura, la humedad, la velocidad del aire y el tiempo de secado, ajustando estos parámetros en tiempo real para optimizar el proceso.</w:t>
      </w:r>
    </w:p>
    <w:p w14:paraId="6CB552DC" w14:textId="0DCAA79A" w:rsidR="00260AC3" w:rsidRDefault="00033C66">
      <w:pPr>
        <w:spacing w:before="240" w:after="240" w:line="276" w:lineRule="auto"/>
        <w:jc w:val="both"/>
        <w:rPr>
          <w:rFonts w:ascii="Arial Narrow" w:eastAsia="Arial Narrow" w:hAnsi="Arial Narrow" w:cs="Arial Narrow"/>
        </w:rPr>
      </w:pPr>
      <w:r>
        <w:rPr>
          <w:rFonts w:ascii="Arial Narrow" w:eastAsia="Arial Narrow" w:hAnsi="Arial Narrow" w:cs="Arial Narrow"/>
        </w:rPr>
        <w:t>Además del secado, o</w:t>
      </w:r>
      <w:r w:rsidR="00A22920">
        <w:rPr>
          <w:rFonts w:ascii="Arial Narrow" w:eastAsia="Arial Narrow" w:hAnsi="Arial Narrow" w:cs="Arial Narrow"/>
        </w:rPr>
        <w:t>tro posible proyecto de investigación podría explorar el uso de IA para desarrollar sistemas de control avanzados en operaciones de almacenamiento de granos, donde los algoritmos puedan predecir y prevenir la aparición de problemas como la infestación de plagas o la degradación por humedad. Estos sistemas podrían incluir sensores que monitoreen continuamente las condiciones internas y externas del almacenamiento, permitiendo ajustes automáticos en tiempo real que mantengan un ambiente óptimo para la preservación del grano.</w:t>
      </w:r>
    </w:p>
    <w:p w14:paraId="0338B8C3"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lastRenderedPageBreak/>
        <w:t>La aplicación de IA en la agroindustria no solo mejorará los procesos existentes, sino que también abrirá nuevas posibilidades para el desarrollo de tecnologías más sostenibles y adaptadas a las condiciones específicas de las regiones productoras. Este enfoque innovador contribuirá al desarrollo de una agroindustria más competitiva y sostenible, alineada con las metas de desarrollo del país. Además, la investigación en IA y aprendizaje de máquina tiene el potencial de atraer a estudiantes y colaboradores interesados en la tecnología y la innovación, fortaleciendo así la capacidad investigativa de la universidad.</w:t>
      </w:r>
    </w:p>
    <w:p w14:paraId="3214C79D"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Se buscará la colaboración con otros departamentos y universidades, tanto a nivel nacional como internacional, para desarrollar proyectos de investigación multidisciplinarios que aborden los desafíos complejos del sector agroindustrial. Estas colaboraciones no solo ampliarán el alcance y el impacto de la investigación, sino que también proporcionarán a los estudiantes y jóvenes investigadores oportunidades para desarrollar sus habilidades y conocimientos en un entorno de investigación colaborativo y diverso.</w:t>
      </w:r>
    </w:p>
    <w:p w14:paraId="623AA368" w14:textId="77777777" w:rsidR="00260AC3" w:rsidRDefault="00A22920">
      <w:pPr>
        <w:pStyle w:val="Heading3"/>
        <w:spacing w:before="280" w:after="80" w:line="276" w:lineRule="auto"/>
        <w:rPr>
          <w:rFonts w:ascii="Arial Narrow" w:eastAsia="Arial Narrow" w:hAnsi="Arial Narrow" w:cs="Arial Narrow"/>
          <w:sz w:val="26"/>
          <w:szCs w:val="26"/>
        </w:rPr>
      </w:pPr>
      <w:bookmarkStart w:id="4" w:name="_heading=h.q2datkeq89wt" w:colFirst="0" w:colLast="0"/>
      <w:bookmarkEnd w:id="4"/>
      <w:r>
        <w:rPr>
          <w:rFonts w:ascii="Arial Narrow" w:eastAsia="Arial Narrow" w:hAnsi="Arial Narrow" w:cs="Arial Narrow"/>
          <w:sz w:val="26"/>
          <w:szCs w:val="26"/>
        </w:rPr>
        <w:t>5. Propuesta en el Componente de Extensión</w:t>
      </w:r>
    </w:p>
    <w:p w14:paraId="7E9BC7A9" w14:textId="6042DAE2"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El componente de extensión se centrará en la transferencia de tecnologías avanzadas y conocimientos a los productores agrícolas y la industria. Propongo la creación de programas de formación continua que capaciten a los técnicos y productores en el uso de herramientas de simulación y optimización basadas en IA</w:t>
      </w:r>
      <w:r w:rsidR="00033C66">
        <w:rPr>
          <w:rFonts w:ascii="Arial Narrow" w:eastAsia="Arial Narrow" w:hAnsi="Arial Narrow" w:cs="Arial Narrow"/>
        </w:rPr>
        <w:t>, así como de los nuevos sistemas de control con sensores y actuadores de vanguardia</w:t>
      </w:r>
      <w:r>
        <w:rPr>
          <w:rFonts w:ascii="Arial Narrow" w:eastAsia="Arial Narrow" w:hAnsi="Arial Narrow" w:cs="Arial Narrow"/>
        </w:rPr>
        <w:t xml:space="preserve"> para mejorar sus procesos de </w:t>
      </w:r>
      <w:proofErr w:type="spellStart"/>
      <w:r>
        <w:rPr>
          <w:rFonts w:ascii="Arial Narrow" w:eastAsia="Arial Narrow" w:hAnsi="Arial Narrow" w:cs="Arial Narrow"/>
        </w:rPr>
        <w:t>poscosecha</w:t>
      </w:r>
      <w:proofErr w:type="spellEnd"/>
      <w:r>
        <w:rPr>
          <w:rFonts w:ascii="Arial Narrow" w:eastAsia="Arial Narrow" w:hAnsi="Arial Narrow" w:cs="Arial Narrow"/>
        </w:rPr>
        <w:t>. Estos programas serán diseñados para ser accesibles y prácticos, con un enfoque en la aplicación directa de los conocimientos adquiridos a las operaciones diarias de los productores.</w:t>
      </w:r>
    </w:p>
    <w:p w14:paraId="39479A67" w14:textId="4F837173"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 xml:space="preserve">Un ejemplo concreto de la importancia de mejorar las operaciones de </w:t>
      </w:r>
      <w:proofErr w:type="spellStart"/>
      <w:r>
        <w:rPr>
          <w:rFonts w:ascii="Arial Narrow" w:eastAsia="Arial Narrow" w:hAnsi="Arial Narrow" w:cs="Arial Narrow"/>
        </w:rPr>
        <w:t>poscosecha</w:t>
      </w:r>
      <w:proofErr w:type="spellEnd"/>
      <w:r>
        <w:rPr>
          <w:rFonts w:ascii="Arial Narrow" w:eastAsia="Arial Narrow" w:hAnsi="Arial Narrow" w:cs="Arial Narrow"/>
        </w:rPr>
        <w:t xml:space="preserve"> se puede ver en el caso del almacenamiento de granos. Un almacenamiento inadecuado puede llevar a la pérdida de hasta un 30% de la producción debido a problemas como la infestación de plagas o la mala gestión de la humedad. Mediante la implementación de tecnologías de optimización basadas en IA, </w:t>
      </w:r>
      <w:r w:rsidR="00033C66">
        <w:rPr>
          <w:rFonts w:ascii="Arial Narrow" w:eastAsia="Arial Narrow" w:hAnsi="Arial Narrow" w:cs="Arial Narrow"/>
        </w:rPr>
        <w:t>sincronizadas a</w:t>
      </w:r>
      <w:r>
        <w:rPr>
          <w:rFonts w:ascii="Arial Narrow" w:eastAsia="Arial Narrow" w:hAnsi="Arial Narrow" w:cs="Arial Narrow"/>
        </w:rPr>
        <w:t xml:space="preserve"> sistemas de monitoreo y control</w:t>
      </w:r>
      <w:r w:rsidR="00033C66">
        <w:rPr>
          <w:rFonts w:ascii="Arial Narrow" w:eastAsia="Arial Narrow" w:hAnsi="Arial Narrow" w:cs="Arial Narrow"/>
        </w:rPr>
        <w:t xml:space="preserve"> de variables como la ventilación, la temperatura y la humedad,</w:t>
      </w:r>
      <w:r>
        <w:rPr>
          <w:rFonts w:ascii="Arial Narrow" w:eastAsia="Arial Narrow" w:hAnsi="Arial Narrow" w:cs="Arial Narrow"/>
        </w:rPr>
        <w:t xml:space="preserve"> </w:t>
      </w:r>
      <w:r w:rsidR="00033C66">
        <w:rPr>
          <w:rFonts w:ascii="Arial Narrow" w:eastAsia="Arial Narrow" w:hAnsi="Arial Narrow" w:cs="Arial Narrow"/>
        </w:rPr>
        <w:t>se ajustarían</w:t>
      </w:r>
      <w:r>
        <w:rPr>
          <w:rFonts w:ascii="Arial Narrow" w:eastAsia="Arial Narrow" w:hAnsi="Arial Narrow" w:cs="Arial Narrow"/>
        </w:rPr>
        <w:t xml:space="preserve"> las condiciones de almacenamiento en tiempo real, </w:t>
      </w:r>
      <w:r w:rsidR="00033C66">
        <w:rPr>
          <w:rFonts w:ascii="Arial Narrow" w:eastAsia="Arial Narrow" w:hAnsi="Arial Narrow" w:cs="Arial Narrow"/>
        </w:rPr>
        <w:t>reduciendo</w:t>
      </w:r>
      <w:r>
        <w:rPr>
          <w:rFonts w:ascii="Arial Narrow" w:eastAsia="Arial Narrow" w:hAnsi="Arial Narrow" w:cs="Arial Narrow"/>
        </w:rPr>
        <w:t xml:space="preserve"> significativamente las pérdidas y </w:t>
      </w:r>
      <w:r w:rsidR="00033C66">
        <w:rPr>
          <w:rFonts w:ascii="Arial Narrow" w:eastAsia="Arial Narrow" w:hAnsi="Arial Narrow" w:cs="Arial Narrow"/>
        </w:rPr>
        <w:t xml:space="preserve">mejorando </w:t>
      </w:r>
      <w:r>
        <w:rPr>
          <w:rFonts w:ascii="Arial Narrow" w:eastAsia="Arial Narrow" w:hAnsi="Arial Narrow" w:cs="Arial Narrow"/>
        </w:rPr>
        <w:t>la</w:t>
      </w:r>
      <w:r w:rsidR="00033C66">
        <w:rPr>
          <w:rFonts w:ascii="Arial Narrow" w:eastAsia="Arial Narrow" w:hAnsi="Arial Narrow" w:cs="Arial Narrow"/>
        </w:rPr>
        <w:t xml:space="preserve"> calidad de los productos</w:t>
      </w:r>
      <w:r>
        <w:rPr>
          <w:rFonts w:ascii="Arial Narrow" w:eastAsia="Arial Narrow" w:hAnsi="Arial Narrow" w:cs="Arial Narrow"/>
        </w:rPr>
        <w:t>.</w:t>
      </w:r>
    </w:p>
    <w:p w14:paraId="0AFB2C93"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Además, estos programas de formación se complementarán con talleres y seminarios enfocados en la implementación práctica de los conocimientos adquiridos, facilitando la adopción de estas tecnologías en el campo. Los talleres proporcionarán a los productores la oportunidad de practicar con las herramientas y tecnologías en un entorno supervisado, mientras que los seminarios ofrecerán una plataforma para el intercambio de experiencias y mejores prácticas. Se planearán actividades de seguimiento, como visitas a campo y asesorías técnicas, para apoyar a los productores en la implementación de nuevas tecnologías y prácticas, asegurando que tengan el apoyo necesario para superar cualquier desafío y maximizar el impacto de las innovaciones.</w:t>
      </w:r>
    </w:p>
    <w:p w14:paraId="60E9BDFF" w14:textId="77AC6640"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t>Se promoverá la colaboración entre la universidad, la industria y los productores, creando redes de trabajo que impulsen el desarrollo agroindustrial sostenible en el país. Estas redes facilitarán la transferencia de conocimientos y tecnologías, fomentando la innovación y la mejora continua en el sector. Además, se buscará involucrar a estudiantes y jóvenes investigadores en las actividades de extensión, proporcionando oportunidades para que apliquen sus conocimientos y habilidades en un contexto real, al tiempo que contribuyen al desarrollo de sus comunidades.</w:t>
      </w:r>
    </w:p>
    <w:p w14:paraId="022ABB21" w14:textId="77777777" w:rsidR="00260AC3" w:rsidRDefault="00A22920">
      <w:pPr>
        <w:spacing w:before="240" w:after="240" w:line="276" w:lineRule="auto"/>
        <w:jc w:val="both"/>
        <w:rPr>
          <w:rFonts w:ascii="Arial Narrow" w:eastAsia="Arial Narrow" w:hAnsi="Arial Narrow" w:cs="Arial Narrow"/>
        </w:rPr>
      </w:pPr>
      <w:r>
        <w:rPr>
          <w:rFonts w:ascii="Arial Narrow" w:eastAsia="Arial Narrow" w:hAnsi="Arial Narrow" w:cs="Arial Narrow"/>
        </w:rPr>
        <w:lastRenderedPageBreak/>
        <w:t>Finalmente, se buscará la participación activa de las comunidades locales en las actividades de extensión, asegurando que las soluciones desarrolladas sean culturalmente apropiadas y respondan a las necesidades y prioridades de los productores. Esto se logrará mediante un enfoque participativo, donde los productores y otros actores locales sean involucrados desde el inicio en el diseño y la implementación de las actividades de extensión, fomentando un sentido de propiedad y compromiso hacia los proyectos.</w:t>
      </w:r>
    </w:p>
    <w:p w14:paraId="3C598C26" w14:textId="77777777" w:rsidR="00260AC3" w:rsidRPr="004C13E5" w:rsidRDefault="00A22920">
      <w:pPr>
        <w:pStyle w:val="Heading3"/>
        <w:spacing w:before="280" w:after="80" w:line="276" w:lineRule="auto"/>
        <w:rPr>
          <w:rFonts w:ascii="Arial Narrow" w:eastAsia="Arial Narrow" w:hAnsi="Arial Narrow" w:cs="Arial Narrow"/>
          <w:sz w:val="26"/>
          <w:szCs w:val="26"/>
          <w:lang w:val="en-GB"/>
        </w:rPr>
      </w:pPr>
      <w:bookmarkStart w:id="5" w:name="_heading=h.mi4mnr9ul2dy" w:colFirst="0" w:colLast="0"/>
      <w:bookmarkEnd w:id="5"/>
      <w:r w:rsidRPr="004C13E5">
        <w:rPr>
          <w:rFonts w:ascii="Arial Narrow" w:eastAsia="Arial Narrow" w:hAnsi="Arial Narrow" w:cs="Arial Narrow"/>
          <w:sz w:val="26"/>
          <w:szCs w:val="26"/>
          <w:lang w:val="en-GB"/>
        </w:rPr>
        <w:t xml:space="preserve">6. </w:t>
      </w:r>
      <w:proofErr w:type="spellStart"/>
      <w:r w:rsidRPr="004C13E5">
        <w:rPr>
          <w:rFonts w:ascii="Arial Narrow" w:eastAsia="Arial Narrow" w:hAnsi="Arial Narrow" w:cs="Arial Narrow"/>
          <w:sz w:val="26"/>
          <w:szCs w:val="26"/>
          <w:lang w:val="en-GB"/>
        </w:rPr>
        <w:t>Bibliografía</w:t>
      </w:r>
      <w:proofErr w:type="spellEnd"/>
    </w:p>
    <w:p w14:paraId="0886CE56" w14:textId="3F9266AD"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Bridgwater, A. V. (2012). Review of fast pyrolysis of biomass and product upgrading. Biomass and Bioenergy, 38, 68-94. https://doi.org/10.1016/j.biombioe.2011.01.048</w:t>
      </w:r>
    </w:p>
    <w:p w14:paraId="36A6665A" w14:textId="77777777" w:rsidR="004C13E5" w:rsidRPr="004C13E5" w:rsidRDefault="004C13E5" w:rsidP="004C13E5">
      <w:pPr>
        <w:spacing w:after="0" w:line="276" w:lineRule="auto"/>
        <w:jc w:val="both"/>
        <w:rPr>
          <w:rFonts w:ascii="Arial Narrow" w:eastAsia="Arial Narrow" w:hAnsi="Arial Narrow" w:cs="Arial Narrow"/>
        </w:rPr>
      </w:pPr>
      <w:proofErr w:type="spellStart"/>
      <w:r w:rsidRPr="004C13E5">
        <w:rPr>
          <w:rFonts w:ascii="Arial Narrow" w:eastAsia="Arial Narrow" w:hAnsi="Arial Narrow" w:cs="Arial Narrow"/>
        </w:rPr>
        <w:t>Demirbas</w:t>
      </w:r>
      <w:proofErr w:type="spellEnd"/>
      <w:r w:rsidRPr="004C13E5">
        <w:rPr>
          <w:rFonts w:ascii="Arial Narrow" w:eastAsia="Arial Narrow" w:hAnsi="Arial Narrow" w:cs="Arial Narrow"/>
        </w:rPr>
        <w:t>, A. (2009). Biofuels: Securing the planet’s future energy needs. Springer Science &amp; Business Media.</w:t>
      </w:r>
    </w:p>
    <w:p w14:paraId="28B14B83" w14:textId="501E156C" w:rsidR="004C13E5" w:rsidRPr="004C13E5" w:rsidRDefault="004C13E5" w:rsidP="004C13E5">
      <w:pPr>
        <w:spacing w:after="0" w:line="276" w:lineRule="auto"/>
        <w:jc w:val="both"/>
        <w:rPr>
          <w:rFonts w:ascii="Arial Narrow" w:eastAsia="Arial Narrow" w:hAnsi="Arial Narrow" w:cs="Arial Narrow"/>
        </w:rPr>
      </w:pPr>
      <w:proofErr w:type="spellStart"/>
      <w:r w:rsidRPr="004C13E5">
        <w:rPr>
          <w:rFonts w:ascii="Arial Narrow" w:eastAsia="Arial Narrow" w:hAnsi="Arial Narrow" w:cs="Arial Narrow"/>
        </w:rPr>
        <w:t>Demirbas</w:t>
      </w:r>
      <w:proofErr w:type="spellEnd"/>
      <w:r w:rsidRPr="004C13E5">
        <w:rPr>
          <w:rFonts w:ascii="Arial Narrow" w:eastAsia="Arial Narrow" w:hAnsi="Arial Narrow" w:cs="Arial Narrow"/>
        </w:rPr>
        <w:t>, A. (2011). Importance of biomass energy sources for Turkey. Energy Policy, 39(10), 6120-6125. https://doi.org/10.1016/j.enpol.2011.07.003</w:t>
      </w:r>
    </w:p>
    <w:p w14:paraId="34AA98A3"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FAO. (2019). The State of Food and Agriculture 2019. Moving Forward on Food Loss and Waste Reduction. Food and Agriculture Organization of the United Nations.</w:t>
      </w:r>
    </w:p>
    <w:p w14:paraId="0FAE79F6"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 xml:space="preserve">Goodfellow, I., </w:t>
      </w:r>
      <w:proofErr w:type="spellStart"/>
      <w:r w:rsidRPr="004C13E5">
        <w:rPr>
          <w:rFonts w:ascii="Arial Narrow" w:eastAsia="Arial Narrow" w:hAnsi="Arial Narrow" w:cs="Arial Narrow"/>
        </w:rPr>
        <w:t>Bengio</w:t>
      </w:r>
      <w:proofErr w:type="spellEnd"/>
      <w:r w:rsidRPr="004C13E5">
        <w:rPr>
          <w:rFonts w:ascii="Arial Narrow" w:eastAsia="Arial Narrow" w:hAnsi="Arial Narrow" w:cs="Arial Narrow"/>
        </w:rPr>
        <w:t>, Y., &amp; Courville, A. (2016). Deep learning. MIT Press.</w:t>
      </w:r>
    </w:p>
    <w:p w14:paraId="3389968E"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International Renewable Energy Agency (IRENA). (2021). Global Renewables Outlook: Energy Transformation 2050. IRENA.</w:t>
      </w:r>
    </w:p>
    <w:p w14:paraId="4061844D" w14:textId="77777777" w:rsidR="004C13E5" w:rsidRPr="004C13E5" w:rsidRDefault="004C13E5" w:rsidP="004C13E5">
      <w:pPr>
        <w:spacing w:after="0" w:line="276" w:lineRule="auto"/>
        <w:jc w:val="both"/>
        <w:rPr>
          <w:rFonts w:ascii="Arial Narrow" w:eastAsia="Arial Narrow" w:hAnsi="Arial Narrow" w:cs="Arial Narrow"/>
        </w:rPr>
      </w:pPr>
      <w:proofErr w:type="spellStart"/>
      <w:r w:rsidRPr="004C13E5">
        <w:rPr>
          <w:rFonts w:ascii="Arial Narrow" w:eastAsia="Arial Narrow" w:hAnsi="Arial Narrow" w:cs="Arial Narrow"/>
        </w:rPr>
        <w:t>Klemeš</w:t>
      </w:r>
      <w:proofErr w:type="spellEnd"/>
      <w:r w:rsidRPr="004C13E5">
        <w:rPr>
          <w:rFonts w:ascii="Arial Narrow" w:eastAsia="Arial Narrow" w:hAnsi="Arial Narrow" w:cs="Arial Narrow"/>
        </w:rPr>
        <w:t xml:space="preserve">, J. J., </w:t>
      </w:r>
      <w:proofErr w:type="spellStart"/>
      <w:r w:rsidRPr="004C13E5">
        <w:rPr>
          <w:rFonts w:ascii="Arial Narrow" w:eastAsia="Arial Narrow" w:hAnsi="Arial Narrow" w:cs="Arial Narrow"/>
        </w:rPr>
        <w:t>Varbanov</w:t>
      </w:r>
      <w:proofErr w:type="spellEnd"/>
      <w:r w:rsidRPr="004C13E5">
        <w:rPr>
          <w:rFonts w:ascii="Arial Narrow" w:eastAsia="Arial Narrow" w:hAnsi="Arial Narrow" w:cs="Arial Narrow"/>
        </w:rPr>
        <w:t xml:space="preserve">, P. S., &amp; </w:t>
      </w:r>
      <w:proofErr w:type="spellStart"/>
      <w:r w:rsidRPr="004C13E5">
        <w:rPr>
          <w:rFonts w:ascii="Arial Narrow" w:eastAsia="Arial Narrow" w:hAnsi="Arial Narrow" w:cs="Arial Narrow"/>
        </w:rPr>
        <w:t>Walmsley</w:t>
      </w:r>
      <w:proofErr w:type="spellEnd"/>
      <w:r w:rsidRPr="004C13E5">
        <w:rPr>
          <w:rFonts w:ascii="Arial Narrow" w:eastAsia="Arial Narrow" w:hAnsi="Arial Narrow" w:cs="Arial Narrow"/>
        </w:rPr>
        <w:t>, T. G. (2018). Handbook of process integration (PI): Minimisation of energy and water use, waste and emissions. Woodhead Publishing.</w:t>
      </w:r>
    </w:p>
    <w:p w14:paraId="781D5915"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Muller, J., &amp; Colby, P. (2021). Machine learning applications in energy management systems: A review. Renewable and Sustainable Energy Reviews, 143, 111156.</w:t>
      </w:r>
    </w:p>
    <w:p w14:paraId="18EF760A"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Ospina, D., Lozano, F., &amp; Pérez, M. (2020). Challenges in post-harvest handling in Colombia. Journal of Agricultural Research, 56(4), 512-523.</w:t>
      </w:r>
    </w:p>
    <w:p w14:paraId="35901767" w14:textId="77777777" w:rsidR="004C13E5" w:rsidRPr="004C13E5" w:rsidRDefault="004C13E5" w:rsidP="004C13E5">
      <w:pPr>
        <w:spacing w:after="0" w:line="276" w:lineRule="auto"/>
        <w:jc w:val="both"/>
        <w:rPr>
          <w:rFonts w:ascii="Arial Narrow" w:eastAsia="Arial Narrow" w:hAnsi="Arial Narrow" w:cs="Arial Narrow"/>
        </w:rPr>
      </w:pPr>
      <w:r w:rsidRPr="004C13E5">
        <w:rPr>
          <w:rFonts w:ascii="Arial Narrow" w:eastAsia="Arial Narrow" w:hAnsi="Arial Narrow" w:cs="Arial Narrow"/>
        </w:rPr>
        <w:t xml:space="preserve">Smith, R. (2016). Chemical process design and integration (2nd ed.). John Wiley &amp; </w:t>
      </w:r>
      <w:proofErr w:type="spellStart"/>
      <w:r w:rsidRPr="004C13E5">
        <w:rPr>
          <w:rFonts w:ascii="Arial Narrow" w:eastAsia="Arial Narrow" w:hAnsi="Arial Narrow" w:cs="Arial Narrow"/>
        </w:rPr>
        <w:t>Sons</w:t>
      </w:r>
      <w:proofErr w:type="spellEnd"/>
      <w:r w:rsidRPr="004C13E5">
        <w:rPr>
          <w:rFonts w:ascii="Arial Narrow" w:eastAsia="Arial Narrow" w:hAnsi="Arial Narrow" w:cs="Arial Narrow"/>
        </w:rPr>
        <w:t>.</w:t>
      </w:r>
    </w:p>
    <w:p w14:paraId="037055FC" w14:textId="0FC50866" w:rsidR="00260AC3" w:rsidRDefault="00260AC3" w:rsidP="004C13E5">
      <w:pPr>
        <w:spacing w:after="240" w:line="276" w:lineRule="auto"/>
      </w:pPr>
    </w:p>
    <w:sectPr w:rsidR="00260AC3">
      <w:pgSz w:w="12242" w:h="15842"/>
      <w:pgMar w:top="1417" w:right="1701" w:bottom="1417"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B370E"/>
    <w:multiLevelType w:val="multilevel"/>
    <w:tmpl w:val="A5A2C8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FF19D5"/>
    <w:multiLevelType w:val="multilevel"/>
    <w:tmpl w:val="66FEA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AC3"/>
    <w:rsid w:val="00033C66"/>
    <w:rsid w:val="000C5566"/>
    <w:rsid w:val="00260AC3"/>
    <w:rsid w:val="00266E51"/>
    <w:rsid w:val="00417DD6"/>
    <w:rsid w:val="00425D51"/>
    <w:rsid w:val="004C13E5"/>
    <w:rsid w:val="0076637F"/>
    <w:rsid w:val="007E7603"/>
    <w:rsid w:val="00A039E0"/>
    <w:rsid w:val="00A2292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E149"/>
  <w15:docId w15:val="{18665AA8-945B-4A12-993A-99D90E8D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link w:val="Heading3Char"/>
    <w:uiPriority w:val="9"/>
    <w:unhideWhenUsed/>
    <w:qFormat/>
    <w:rsid w:val="00CA5D2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TDC1Car">
    <w:name w:val="TDC 1 Car"/>
    <w:basedOn w:val="DefaultParagraphFont"/>
    <w:rsid w:val="0055412C"/>
    <w:rPr>
      <w:rFonts w:ascii="Arial" w:eastAsia="SimSun" w:hAnsi="Arial" w:cs="Arial" w:hint="default"/>
      <w:sz w:val="24"/>
      <w:szCs w:val="24"/>
      <w:lang w:val="es-MX" w:eastAsia="zh-CN" w:bidi="ar-SA"/>
    </w:rPr>
  </w:style>
  <w:style w:type="paragraph" w:styleId="TOC2">
    <w:name w:val="toc 2"/>
    <w:basedOn w:val="Normal"/>
    <w:next w:val="Normal"/>
    <w:autoRedefine/>
    <w:uiPriority w:val="39"/>
    <w:rsid w:val="0055412C"/>
    <w:pPr>
      <w:tabs>
        <w:tab w:val="left" w:pos="880"/>
        <w:tab w:val="right" w:leader="dot" w:pos="9683"/>
      </w:tabs>
      <w:spacing w:after="0" w:line="240" w:lineRule="auto"/>
      <w:ind w:left="221"/>
      <w:jc w:val="both"/>
    </w:pPr>
    <w:rPr>
      <w:rFonts w:asciiTheme="majorHAnsi" w:eastAsiaTheme="minorEastAsia" w:hAnsiTheme="majorHAnsi" w:cstheme="minorHAnsi"/>
      <w:bCs/>
      <w:color w:val="404040" w:themeColor="text1" w:themeTint="BF"/>
      <w:sz w:val="20"/>
      <w:lang w:val="es-ES" w:eastAsia="es-ES"/>
    </w:rPr>
  </w:style>
  <w:style w:type="paragraph" w:styleId="TOC3">
    <w:name w:val="toc 3"/>
    <w:basedOn w:val="Normal"/>
    <w:next w:val="Normal"/>
    <w:autoRedefine/>
    <w:uiPriority w:val="39"/>
    <w:rsid w:val="0055412C"/>
    <w:pPr>
      <w:tabs>
        <w:tab w:val="left" w:pos="1320"/>
        <w:tab w:val="right" w:leader="dot" w:pos="9683"/>
      </w:tabs>
      <w:spacing w:after="0" w:line="240" w:lineRule="auto"/>
      <w:ind w:left="442"/>
      <w:jc w:val="both"/>
    </w:pPr>
    <w:rPr>
      <w:rFonts w:asciiTheme="majorHAnsi" w:eastAsiaTheme="minorEastAsia" w:hAnsiTheme="majorHAnsi" w:cstheme="minorHAnsi"/>
      <w:color w:val="404040" w:themeColor="text1" w:themeTint="BF"/>
      <w:sz w:val="20"/>
      <w:szCs w:val="20"/>
      <w:lang w:val="es-ES" w:eastAsia="es-ES"/>
    </w:rPr>
  </w:style>
  <w:style w:type="paragraph" w:styleId="TOC4">
    <w:name w:val="toc 4"/>
    <w:basedOn w:val="Normal"/>
    <w:next w:val="Normal"/>
    <w:autoRedefine/>
    <w:uiPriority w:val="39"/>
    <w:unhideWhenUsed/>
    <w:rsid w:val="0055412C"/>
    <w:pPr>
      <w:spacing w:before="120" w:after="120" w:line="264" w:lineRule="auto"/>
      <w:ind w:left="660"/>
      <w:jc w:val="both"/>
    </w:pPr>
    <w:rPr>
      <w:rFonts w:asciiTheme="majorHAnsi" w:eastAsiaTheme="minorEastAsia" w:hAnsiTheme="majorHAnsi" w:cstheme="minorHAnsi"/>
      <w:color w:val="404040" w:themeColor="text1" w:themeTint="BF"/>
      <w:sz w:val="20"/>
      <w:szCs w:val="20"/>
      <w:lang w:val="es-ES" w:eastAsia="es-ES"/>
    </w:rPr>
  </w:style>
  <w:style w:type="paragraph" w:styleId="TOC5">
    <w:name w:val="toc 5"/>
    <w:basedOn w:val="Normal"/>
    <w:next w:val="Normal"/>
    <w:autoRedefine/>
    <w:uiPriority w:val="39"/>
    <w:unhideWhenUsed/>
    <w:rsid w:val="0055412C"/>
    <w:pPr>
      <w:spacing w:before="120" w:after="120" w:line="264" w:lineRule="auto"/>
      <w:ind w:left="880"/>
      <w:jc w:val="both"/>
    </w:pPr>
    <w:rPr>
      <w:rFonts w:asciiTheme="majorHAnsi" w:eastAsiaTheme="minorEastAsia" w:hAnsiTheme="majorHAnsi" w:cstheme="minorHAnsi"/>
      <w:color w:val="404040" w:themeColor="text1" w:themeTint="BF"/>
      <w:sz w:val="20"/>
      <w:szCs w:val="20"/>
      <w:lang w:val="es-ES" w:eastAsia="es-ES"/>
    </w:rPr>
  </w:style>
  <w:style w:type="paragraph" w:styleId="TOC6">
    <w:name w:val="toc 6"/>
    <w:basedOn w:val="Normal"/>
    <w:next w:val="Normal"/>
    <w:autoRedefine/>
    <w:uiPriority w:val="39"/>
    <w:unhideWhenUsed/>
    <w:rsid w:val="0055412C"/>
    <w:pPr>
      <w:spacing w:before="120" w:after="120" w:line="264" w:lineRule="auto"/>
      <w:ind w:left="1100"/>
      <w:jc w:val="both"/>
    </w:pPr>
    <w:rPr>
      <w:rFonts w:asciiTheme="majorHAnsi" w:eastAsiaTheme="minorEastAsia" w:hAnsiTheme="majorHAnsi" w:cstheme="minorHAnsi"/>
      <w:color w:val="404040" w:themeColor="text1" w:themeTint="BF"/>
      <w:sz w:val="20"/>
      <w:szCs w:val="20"/>
      <w:lang w:val="es-ES" w:eastAsia="es-ES"/>
    </w:rPr>
  </w:style>
  <w:style w:type="paragraph" w:styleId="TOC7">
    <w:name w:val="toc 7"/>
    <w:basedOn w:val="Normal"/>
    <w:next w:val="Normal"/>
    <w:autoRedefine/>
    <w:uiPriority w:val="39"/>
    <w:unhideWhenUsed/>
    <w:rsid w:val="0055412C"/>
    <w:pPr>
      <w:spacing w:before="120" w:after="120" w:line="264" w:lineRule="auto"/>
      <w:ind w:left="1320"/>
      <w:jc w:val="both"/>
    </w:pPr>
    <w:rPr>
      <w:rFonts w:asciiTheme="majorHAnsi" w:eastAsiaTheme="minorEastAsia" w:hAnsiTheme="majorHAnsi" w:cstheme="minorHAnsi"/>
      <w:color w:val="404040" w:themeColor="text1" w:themeTint="BF"/>
      <w:sz w:val="20"/>
      <w:szCs w:val="20"/>
      <w:lang w:val="es-ES" w:eastAsia="es-ES"/>
    </w:rPr>
  </w:style>
  <w:style w:type="paragraph" w:styleId="TOC8">
    <w:name w:val="toc 8"/>
    <w:basedOn w:val="Normal"/>
    <w:next w:val="Normal"/>
    <w:autoRedefine/>
    <w:uiPriority w:val="39"/>
    <w:unhideWhenUsed/>
    <w:rsid w:val="0055412C"/>
    <w:pPr>
      <w:spacing w:before="120" w:after="120" w:line="264" w:lineRule="auto"/>
      <w:ind w:left="1540"/>
      <w:jc w:val="both"/>
    </w:pPr>
    <w:rPr>
      <w:rFonts w:asciiTheme="majorHAnsi" w:eastAsiaTheme="minorEastAsia" w:hAnsiTheme="majorHAnsi" w:cstheme="minorHAnsi"/>
      <w:color w:val="404040" w:themeColor="text1" w:themeTint="BF"/>
      <w:sz w:val="20"/>
      <w:szCs w:val="20"/>
      <w:lang w:val="es-ES" w:eastAsia="es-ES"/>
    </w:rPr>
  </w:style>
  <w:style w:type="paragraph" w:styleId="TOC9">
    <w:name w:val="toc 9"/>
    <w:basedOn w:val="Normal"/>
    <w:next w:val="Normal"/>
    <w:autoRedefine/>
    <w:uiPriority w:val="39"/>
    <w:unhideWhenUsed/>
    <w:rsid w:val="0055412C"/>
    <w:pPr>
      <w:spacing w:before="120" w:after="120" w:line="264" w:lineRule="auto"/>
      <w:ind w:left="1760"/>
      <w:jc w:val="both"/>
    </w:pPr>
    <w:rPr>
      <w:rFonts w:asciiTheme="majorHAnsi" w:eastAsiaTheme="minorEastAsia" w:hAnsiTheme="majorHAnsi" w:cstheme="minorHAnsi"/>
      <w:color w:val="404040" w:themeColor="text1" w:themeTint="BF"/>
      <w:sz w:val="20"/>
      <w:szCs w:val="20"/>
      <w:lang w:val="es-ES" w:eastAsia="es-ES"/>
    </w:rPr>
  </w:style>
  <w:style w:type="character" w:customStyle="1" w:styleId="Heading3Char">
    <w:name w:val="Heading 3 Char"/>
    <w:basedOn w:val="DefaultParagraphFont"/>
    <w:link w:val="Heading3"/>
    <w:uiPriority w:val="9"/>
    <w:rsid w:val="00CA5D2F"/>
    <w:rPr>
      <w:rFonts w:ascii="Times New Roman" w:eastAsia="Times New Roman" w:hAnsi="Times New Roman" w:cs="Times New Roman"/>
      <w:b/>
      <w:bCs/>
      <w:sz w:val="27"/>
      <w:szCs w:val="27"/>
      <w:lang w:eastAsia="es-419"/>
    </w:rPr>
  </w:style>
  <w:style w:type="paragraph" w:styleId="NormalWeb">
    <w:name w:val="Normal (Web)"/>
    <w:basedOn w:val="Normal"/>
    <w:uiPriority w:val="99"/>
    <w:semiHidden/>
    <w:unhideWhenUsed/>
    <w:rsid w:val="00CA5D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5D2F"/>
    <w:rPr>
      <w:b/>
      <w:bCs/>
    </w:rPr>
  </w:style>
  <w:style w:type="character" w:styleId="Emphasis">
    <w:name w:val="Emphasis"/>
    <w:basedOn w:val="DefaultParagraphFont"/>
    <w:uiPriority w:val="20"/>
    <w:qFormat/>
    <w:rsid w:val="00CA5D2F"/>
    <w:rPr>
      <w:i/>
      <w:iCs/>
    </w:rPr>
  </w:style>
  <w:style w:type="table" w:styleId="TableGrid">
    <w:name w:val="Table Grid"/>
    <w:basedOn w:val="TableNormal"/>
    <w:uiPriority w:val="39"/>
    <w:rsid w:val="0052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4C13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2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U8wOLgBO4LvYVWPh3XWQOKDhNA==">CgMxLjAyDWgucW05NXU4bzYzZWsyDmguczJyaTltaWx6YW5vMg5oLjdzeHQ0azE0dTJjdTIOaC43N25zbmNhZ3NtMngyDmgucTJkYXRrZXE4OXd0Mg5oLm1pNG1ucjl1bDJkeTgAciExYS1YczktT3lDTWpzejNjMTlzc3hramdiVTN4NEVVR0w=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6</Pages>
  <Words>2475</Words>
  <Characters>13616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López Santamaría</dc:creator>
  <cp:lastModifiedBy>Camilo López Santamaría</cp:lastModifiedBy>
  <cp:revision>7</cp:revision>
  <dcterms:created xsi:type="dcterms:W3CDTF">2024-08-11T00:02:00Z</dcterms:created>
  <dcterms:modified xsi:type="dcterms:W3CDTF">2024-09-16T00:27:00Z</dcterms:modified>
</cp:coreProperties>
</file>