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1814" w:rsidRPr="001B292A" w:rsidRDefault="001F1814" w:rsidP="002D0878">
      <w:pPr>
        <w:spacing w:after="0" w:line="276" w:lineRule="auto"/>
        <w:jc w:val="center"/>
        <w:rPr>
          <w:rFonts w:ascii="Arial Narrow" w:hAnsi="Arial Narrow"/>
          <w:b/>
        </w:rPr>
      </w:pPr>
      <w:r w:rsidRPr="001B292A">
        <w:rPr>
          <w:rFonts w:ascii="Arial Narrow" w:hAnsi="Arial Narrow"/>
          <w:b/>
        </w:rPr>
        <w:t xml:space="preserve">Procesos constructivos sostenibles para </w:t>
      </w:r>
      <w:r w:rsidR="00D12459" w:rsidRPr="001B292A">
        <w:rPr>
          <w:rFonts w:ascii="Arial Narrow" w:hAnsi="Arial Narrow"/>
          <w:b/>
        </w:rPr>
        <w:t xml:space="preserve">la </w:t>
      </w:r>
      <w:r w:rsidRPr="001B292A">
        <w:rPr>
          <w:rFonts w:ascii="Arial Narrow" w:hAnsi="Arial Narrow"/>
          <w:b/>
        </w:rPr>
        <w:t>eficiencia energética</w:t>
      </w:r>
      <w:r w:rsidR="00D12459" w:rsidRPr="001B292A">
        <w:rPr>
          <w:rFonts w:ascii="Arial Narrow" w:hAnsi="Arial Narrow"/>
          <w:b/>
        </w:rPr>
        <w:t xml:space="preserve"> y confort </w:t>
      </w:r>
      <w:r w:rsidR="00E56069" w:rsidRPr="001B292A">
        <w:rPr>
          <w:rFonts w:ascii="Arial Narrow" w:hAnsi="Arial Narrow"/>
          <w:b/>
        </w:rPr>
        <w:t>en la</w:t>
      </w:r>
      <w:r w:rsidR="00D12459" w:rsidRPr="001B292A">
        <w:rPr>
          <w:rFonts w:ascii="Arial Narrow" w:hAnsi="Arial Narrow"/>
          <w:b/>
        </w:rPr>
        <w:t xml:space="preserve"> edificación</w:t>
      </w:r>
    </w:p>
    <w:p w:rsidR="00DF2D5D" w:rsidRPr="001B292A" w:rsidRDefault="00DF2D5D" w:rsidP="002D0878">
      <w:pPr>
        <w:spacing w:after="0" w:line="276" w:lineRule="auto"/>
        <w:jc w:val="center"/>
        <w:rPr>
          <w:rFonts w:ascii="Arial Narrow" w:hAnsi="Arial Narrow"/>
          <w:b/>
        </w:rPr>
      </w:pPr>
      <w:r w:rsidRPr="001B292A">
        <w:rPr>
          <w:rFonts w:ascii="Arial Narrow" w:hAnsi="Arial Narrow"/>
          <w:b/>
        </w:rPr>
        <w:t>Elaborado por: Ing. M</w:t>
      </w:r>
      <w:r w:rsidR="00846E66" w:rsidRPr="001B292A">
        <w:rPr>
          <w:rFonts w:ascii="Arial Narrow" w:hAnsi="Arial Narrow"/>
          <w:b/>
        </w:rPr>
        <w:t>S</w:t>
      </w:r>
      <w:r w:rsidRPr="001B292A">
        <w:rPr>
          <w:rFonts w:ascii="Arial Narrow" w:hAnsi="Arial Narrow"/>
          <w:b/>
        </w:rPr>
        <w:t>c Giovanni Andrés Cortés Tovar</w:t>
      </w:r>
    </w:p>
    <w:p w:rsidR="00DF2D5D" w:rsidRPr="001B292A" w:rsidRDefault="00DF2D5D" w:rsidP="002D0878">
      <w:pPr>
        <w:spacing w:after="0" w:line="276" w:lineRule="auto"/>
        <w:rPr>
          <w:rFonts w:ascii="Arial Narrow" w:hAnsi="Arial Narrow"/>
          <w:b/>
        </w:rPr>
      </w:pPr>
    </w:p>
    <w:p w:rsidR="00FD7796" w:rsidRDefault="00BE4409" w:rsidP="002D0878">
      <w:pPr>
        <w:pStyle w:val="Prrafodelista"/>
        <w:numPr>
          <w:ilvl w:val="0"/>
          <w:numId w:val="10"/>
        </w:numPr>
        <w:spacing w:after="0" w:line="276" w:lineRule="auto"/>
        <w:rPr>
          <w:rFonts w:ascii="Arial Narrow" w:hAnsi="Arial Narrow"/>
          <w:b/>
        </w:rPr>
      </w:pPr>
      <w:r w:rsidRPr="001B292A">
        <w:rPr>
          <w:rFonts w:ascii="Arial Narrow" w:hAnsi="Arial Narrow"/>
          <w:b/>
        </w:rPr>
        <w:t xml:space="preserve">Justificación </w:t>
      </w:r>
    </w:p>
    <w:p w:rsidR="00573375" w:rsidRPr="001B292A" w:rsidRDefault="00573375" w:rsidP="00573375">
      <w:pPr>
        <w:pStyle w:val="Prrafodelista"/>
        <w:spacing w:after="0" w:line="276" w:lineRule="auto"/>
        <w:ind w:left="360"/>
        <w:rPr>
          <w:rFonts w:ascii="Arial Narrow" w:hAnsi="Arial Narrow"/>
          <w:b/>
        </w:rPr>
      </w:pPr>
    </w:p>
    <w:p w:rsidR="0014589B" w:rsidRDefault="007B57E8" w:rsidP="002D0878">
      <w:pPr>
        <w:spacing w:after="0" w:line="276" w:lineRule="auto"/>
        <w:jc w:val="both"/>
        <w:rPr>
          <w:rFonts w:ascii="Arial Narrow" w:hAnsi="Arial Narrow"/>
          <w:color w:val="1F1F1F"/>
        </w:rPr>
      </w:pPr>
      <w:r w:rsidRPr="0091741D">
        <w:rPr>
          <w:rFonts w:ascii="Arial Narrow" w:hAnsi="Arial Narrow"/>
          <w:color w:val="1F1F1F"/>
        </w:rPr>
        <w:t>El sector de la construcción es esencial en el crecimiento económico y el desarrollo, especialmente en los países en desarrollo</w:t>
      </w:r>
      <w:r w:rsidR="007A139D" w:rsidRPr="0091741D">
        <w:rPr>
          <w:rFonts w:ascii="Arial Narrow" w:hAnsi="Arial Narrow"/>
          <w:color w:val="1F1F1F"/>
        </w:rPr>
        <w:t xml:space="preserve"> </w:t>
      </w:r>
      <w:r w:rsidR="007A139D"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{"citationItems":[{"id":"ITEM-1","itemData":{"DOI":"10.1016/j.jclepro.2021.128041","ISSN":"09596526","abstract":"Buildings contribute to about 40% of direct and indirect greenhouse gas emissions and more than a third of energy consumption globally. Sustainable building standards and efficiency standards are two measures to reduce such emissions and energy consumption in buildings. While better standards improve the sustainability of new buildings, the impact of these actions depends on the ability to improve the existing building stock. Understanding the dynamics of adopting efficiency and sustainable building measures is essential for setting policy targets and mechanisms. This paper proposes a system dynamics model for assessing the energy savings potential from adopting sustainable building and energy efficiency measurements in buildings in systems with incomplete and uncertain information, using prospective scenarios. The model combines a dynamic diffusion model with an aggregate model for the building stock. The model is calibrated for estimating energy savings in the residential and commercial building stock of the four main metropolitan areas of Colombia: Bogotá, Medellín, Cali, and Barranquilla. Simulation results show that the maximum energy savings potential is approximately 12% but could be below 8% if rebound effects are considered. Results show that energy savings are limited if there are no policies for existing old buildings.","author":[{"dropping-particle":"","family":"Arias-Gaviria","given":"Jessica","non-dropping-particle":"","parse-names":false,"suffix":""},{"dropping-particle":"","family":"Valencia","given":"Verónica","non-dropping-particle":"","parse-names":false,"suffix":""},{"dropping-particle":"","family":"Olaya","given":"Yris","non-dropping-particle":"","parse-names":false,"suffix":""},{"dropping-particle":"","family":"Arango-Aramburo","given":"Santiago","non-dropping-particle":"","parse-names":false,"suffix":""}],"container-title":"Journal of Cleaner Production","id":"ITEM-1","issue":"65","issued":{"date-parts":[["2021"]]},"title":"Simulating the effect of sustainable buildings and energy efficiency standards on electricity consumption in four cities in Colombia: A system dynamics approach","type":"article-journal","volume":"314"},"uris":["http://www.mendeley.com/documents/?uuid=28b055ad-97e2-4343-bbdf-d36e971a12b0"]}],"mendeley":{"formattedCitation":"(Arias-Gaviria et al., 2021)","plainTextFormattedCitation":"(Arias-Gaviria et al., 2021)","previouslyFormattedCitation":"[1]"},"properties":{"noteIndex":0},"schema":"https://github.com/citation-style-language/schema/raw/master/csl-citation.json"}</w:instrText>
      </w:r>
      <w:r w:rsidR="007A139D" w:rsidRPr="0091741D">
        <w:rPr>
          <w:rFonts w:ascii="Arial Narrow" w:hAnsi="Arial Narrow"/>
          <w:color w:val="1F1F1F"/>
        </w:rPr>
        <w:fldChar w:fldCharType="separate"/>
      </w:r>
      <w:r w:rsidR="00430166" w:rsidRPr="00430166">
        <w:rPr>
          <w:rFonts w:ascii="Arial Narrow" w:hAnsi="Arial Narrow"/>
          <w:noProof/>
          <w:color w:val="1F1F1F"/>
        </w:rPr>
        <w:t>(Arias-Gaviria et al., 2021)</w:t>
      </w:r>
      <w:r w:rsidR="007A139D" w:rsidRPr="0091741D">
        <w:rPr>
          <w:rFonts w:ascii="Arial Narrow" w:hAnsi="Arial Narrow"/>
          <w:color w:val="1F1F1F"/>
        </w:rPr>
        <w:fldChar w:fldCharType="end"/>
      </w:r>
      <w:r w:rsidR="00F369D7" w:rsidRPr="0091741D">
        <w:rPr>
          <w:rFonts w:ascii="Arial Narrow" w:hAnsi="Arial Narrow"/>
          <w:color w:val="1F1F1F"/>
        </w:rPr>
        <w:t xml:space="preserve">. </w:t>
      </w:r>
      <w:r w:rsidR="0032038E" w:rsidRPr="0091741D">
        <w:rPr>
          <w:rFonts w:ascii="Arial Narrow" w:hAnsi="Arial Narrow"/>
          <w:color w:val="1F1F1F"/>
        </w:rPr>
        <w:t xml:space="preserve">Durante la última década, el sector de la construcción ha recibido una atención significativa debido a su alto consumo </w:t>
      </w:r>
      <w:r w:rsidR="00B765BE" w:rsidRPr="0091741D">
        <w:rPr>
          <w:rFonts w:ascii="Arial Narrow" w:hAnsi="Arial Narrow"/>
          <w:color w:val="1F1F1F"/>
        </w:rPr>
        <w:t>energético</w:t>
      </w:r>
      <w:r w:rsidR="0032038E" w:rsidRPr="0091741D">
        <w:rPr>
          <w:rFonts w:ascii="Arial Narrow" w:hAnsi="Arial Narrow"/>
          <w:color w:val="1F1F1F"/>
        </w:rPr>
        <w:t xml:space="preserve"> y huella de carbono</w:t>
      </w:r>
      <w:r w:rsidR="00AF66C0" w:rsidRPr="0091741D">
        <w:rPr>
          <w:rFonts w:ascii="Arial Narrow" w:hAnsi="Arial Narrow"/>
          <w:color w:val="1F1F1F"/>
        </w:rPr>
        <w:t>,</w:t>
      </w:r>
      <w:r w:rsidR="00F369D7" w:rsidRPr="0091741D">
        <w:rPr>
          <w:rFonts w:ascii="Arial Narrow" w:hAnsi="Arial Narrow"/>
          <w:color w:val="1F1F1F"/>
        </w:rPr>
        <w:t xml:space="preserve"> </w:t>
      </w:r>
      <w:r w:rsidR="00A87EB3" w:rsidRPr="0091741D">
        <w:rPr>
          <w:rFonts w:ascii="Arial Narrow" w:hAnsi="Arial Narrow"/>
          <w:color w:val="1F1F1F"/>
        </w:rPr>
        <w:t xml:space="preserve">ya que </w:t>
      </w:r>
      <w:r w:rsidR="00AF66C0" w:rsidRPr="0091741D">
        <w:rPr>
          <w:rFonts w:ascii="Arial Narrow" w:hAnsi="Arial Narrow"/>
          <w:color w:val="1F1F1F"/>
        </w:rPr>
        <w:t>l</w:t>
      </w:r>
      <w:r w:rsidR="006442EB" w:rsidRPr="0091741D">
        <w:rPr>
          <w:rFonts w:ascii="Arial Narrow" w:hAnsi="Arial Narrow"/>
          <w:color w:val="1F1F1F"/>
        </w:rPr>
        <w:t>as actividades de construcción son responsables de alrededor del 36% de las emisiones totales de gases de efecto invernadero del mundo</w:t>
      </w:r>
      <w:r w:rsidR="00422578">
        <w:rPr>
          <w:rFonts w:ascii="Arial Narrow" w:hAnsi="Arial Narrow"/>
          <w:color w:val="1F1F1F"/>
        </w:rPr>
        <w:t>,</w:t>
      </w:r>
      <w:r w:rsidR="006442EB" w:rsidRPr="0091741D">
        <w:rPr>
          <w:rFonts w:ascii="Arial Narrow" w:hAnsi="Arial Narrow"/>
          <w:color w:val="1F1F1F"/>
        </w:rPr>
        <w:t xml:space="preserve"> y casi el 40% de toda la energía utilizada a nivel mundial</w:t>
      </w:r>
      <w:r w:rsidR="00E5792A" w:rsidRPr="0091741D">
        <w:rPr>
          <w:rFonts w:ascii="Arial Narrow" w:hAnsi="Arial Narrow"/>
          <w:color w:val="1F1F1F"/>
        </w:rPr>
        <w:t xml:space="preserve"> </w:t>
      </w:r>
      <w:r w:rsidR="00E5792A"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{"citationItems":[{"id":"ITEM-1","itemData":{"DOI":"10.1016/j.jobe.2023.108388","ISSN":"23527102","abstract":"Climate zoning is fundamental to improving building energy efficiency through bioclimatic design principles and passive design strategies. In Sri Lanka, buildings consume approximately 37 % of primary energy and about 33 % of total generated electricity. This study aims to carry out bioclimatic zoning and estimate the passive design potential for each bioclimatic zone. Utilising dimensionality reduction through Principal Component Analysis (PCA) and Hierarchical Clustering on 31 years of weather information, Sri Lanka is classified into three distinct bioclimatic zones, namely Z1 (Hot and humid), Z2 (Cool and humid) and Z3 (Warm and humid). An hourly method was used for each zone to determine HDD and CDD. Accordingly, regression models were constructed (R2 &gt; 0.77) to estimate the CDD for each zone for cooling load. Bioclimatic potential analysis is carried out to link climate parameters with building performance. The results demonstrate that natural ventilation is the most effective passive design method with potential 64 ± 13%, 63 ± 10, and 83 ± 4% in a year for hot and humid, cool and humid, and warm and humid zones, respectively. The results emphasise the importance of using bioclimatic classification to design energy-efficient buildings to achieve national energy efficiency goals in low-income countries like Sri Lanka.","author":[{"dropping-particle":"","family":"Nadarajah","given":"Pravin Diliban","non-dropping-particle":"","parse-names":false,"suffix":""},{"dropping-particle":"","family":"Singh","given":"Manoj Kumar","non-dropping-particle":"","parse-names":false,"suffix":""},{"dropping-particle":"","family":"Mahapatra","given":"Sadhan","non-dropping-particle":"","parse-names":false,"suffix":""},{"dropping-particle":"","family":"Pajek","given":"Luka","non-dropping-particle":"","parse-names":false,"suffix":""},{"dropping-particle":"","family":"Košir","given":"Mitja","non-dropping-particle":"","parse-names":false,"suffix":""}],"container-title":"Journal of Building Engineering","id":"ITEM-1","issue":"November 2023","issued":{"date-parts":[["2024"]]},"title":"Bioclimatic classification for building energy efficiency using hierarchical clustering: A case study for Sri Lanka","type":"article-journal","volume":"83"},"uris":["http://www.mendeley.com/documents/?uuid=7be2f5ae-e034-4009-b4b5-5f675714fc25"]},{"id":"ITEM-2","itemData":{"DOI":"10.1016/j.envc.2024.100841","ISSN":"26670100","abstract":"While pivotal for economic growth, the global construction sector confronts critical challenges due to its resource-intensive practices and environmental impact. Leadership within this industry becomes essential as the imperative for sustainable development gains prominence. This study addresses a significant knowledge gap by investigating the nexus between sustainable leadership practices and the construction sector, focusing on Pakistan. A comprehensive framework is developed by combining literature review, expert analysis, and robust statistical methods. Data collection involved questionnaire involving 206 participants from construction industry professionals in Pakistan. The study examines the relation of green building design, certification standards, life cycle assessment, renewable energy integration, resilient infrastructure, social equity and inclusion, and waste management with sustainable leadership practices. The findings affirm the positive and significant relationships between these dimensions and sustainable leadership. The study contributes to academia and industry, offering a novel understanding of how sustainable leadership can drive resilient and eco-conscious practices in construction. These insights hold implications for shaping policies, fostering industry transformation, and creating a sustainable and resilient built environment for the future.","author":[{"dropping-particle":"","family":"Waqar","given":"Ahsan","non-dropping-particle":"","parse-names":false,"suffix":""},{"dropping-particle":"","family":"Houda","given":"Moustafa","non-dropping-particle":"","parse-names":false,"suffix":""},{"dropping-particle":"","family":"Khan","given":"Abdul Mateen","non-dropping-particle":"","parse-names":false,"suffix":""},{"dropping-particle":"","family":"Qureshi","given":"Abdul Hannan","non-dropping-particle":"","parse-names":false,"suffix":""},{"dropping-particle":"","family":"Elmazi","given":"Gremina","non-dropping-particle":"","parse-names":false,"suffix":""}],"container-title":"Environmental Challenges","id":"ITEM-2","issue":"August 2023","issued":{"date-parts":[["2024"]]},"page":"100841","publisher":"Elsevier B.V.","title":"Sustainable leadership practices in construction: Building a resilient society","type":"article-journal","volume":"14"},"uris":["http://www.mendeley.com/documents/?uuid=d5656b65-bf36-42d7-8688-b3fa1ec2285a"]}],"mendeley":{"formattedCitation":"(Nadarajah et al., 2024; Waqar et al., 2024)","plainTextFormattedCitation":"(Nadarajah et al., 2024; Waqar et al., 2024)","previouslyFormattedCitation":"[2], [3]"},"properties":{"noteIndex":0},"schema":"https://github.com/citation-style-language/schema/raw/master/csl-citation.json"}</w:instrText>
      </w:r>
      <w:r w:rsidR="00E5792A" w:rsidRPr="0091741D">
        <w:rPr>
          <w:rFonts w:ascii="Arial Narrow" w:hAnsi="Arial Narrow"/>
          <w:color w:val="1F1F1F"/>
        </w:rPr>
        <w:fldChar w:fldCharType="separate"/>
      </w:r>
      <w:r w:rsidR="00430166" w:rsidRPr="00430166">
        <w:rPr>
          <w:rFonts w:ascii="Arial Narrow" w:hAnsi="Arial Narrow"/>
          <w:noProof/>
          <w:color w:val="1F1F1F"/>
        </w:rPr>
        <w:t>(Nadarajah et al., 2024; Waqar et al., 2024)</w:t>
      </w:r>
      <w:r w:rsidR="00E5792A" w:rsidRPr="0091741D">
        <w:rPr>
          <w:rFonts w:ascii="Arial Narrow" w:hAnsi="Arial Narrow"/>
          <w:color w:val="1F1F1F"/>
        </w:rPr>
        <w:fldChar w:fldCharType="end"/>
      </w:r>
      <w:r w:rsidR="00E5792A" w:rsidRPr="0091741D">
        <w:rPr>
          <w:rFonts w:ascii="Arial Narrow" w:hAnsi="Arial Narrow"/>
          <w:color w:val="1F1F1F"/>
        </w:rPr>
        <w:t>.</w:t>
      </w:r>
      <w:r w:rsidR="0014589B" w:rsidRPr="0091741D">
        <w:rPr>
          <w:rFonts w:ascii="Arial Narrow" w:hAnsi="Arial Narrow"/>
          <w:color w:val="1F1F1F"/>
        </w:rPr>
        <w:t xml:space="preserve"> </w:t>
      </w:r>
    </w:p>
    <w:p w:rsidR="00573375" w:rsidRPr="0091741D" w:rsidRDefault="00573375" w:rsidP="002D0878">
      <w:pPr>
        <w:spacing w:after="0" w:line="276" w:lineRule="auto"/>
        <w:jc w:val="both"/>
        <w:rPr>
          <w:rFonts w:ascii="Arial Narrow" w:hAnsi="Arial Narrow"/>
          <w:color w:val="1F1F1F"/>
          <w:highlight w:val="yellow"/>
        </w:rPr>
      </w:pPr>
    </w:p>
    <w:p w:rsidR="0065498F" w:rsidRDefault="0014589B" w:rsidP="002D0878">
      <w:pPr>
        <w:spacing w:after="0" w:line="276" w:lineRule="auto"/>
        <w:jc w:val="both"/>
        <w:rPr>
          <w:rFonts w:ascii="Arial Narrow" w:hAnsi="Arial Narrow"/>
          <w:color w:val="1F1F1F"/>
        </w:rPr>
      </w:pPr>
      <w:r w:rsidRPr="0091741D">
        <w:rPr>
          <w:rFonts w:ascii="Arial Narrow" w:hAnsi="Arial Narrow"/>
          <w:color w:val="1F1F1F"/>
        </w:rPr>
        <w:t xml:space="preserve">La sostenibilidad en los proyectos se está convirtiendo en una solución atractiva para reducir </w:t>
      </w:r>
      <w:r w:rsidR="00422578">
        <w:rPr>
          <w:rFonts w:ascii="Arial Narrow" w:hAnsi="Arial Narrow"/>
          <w:color w:val="1F1F1F"/>
        </w:rPr>
        <w:t>las demandas</w:t>
      </w:r>
      <w:r w:rsidRPr="0091741D">
        <w:rPr>
          <w:rFonts w:ascii="Arial Narrow" w:hAnsi="Arial Narrow"/>
          <w:color w:val="1F1F1F"/>
        </w:rPr>
        <w:t xml:space="preserve"> </w:t>
      </w:r>
      <w:r w:rsidR="00422578" w:rsidRPr="0091741D">
        <w:rPr>
          <w:rFonts w:ascii="Arial Narrow" w:hAnsi="Arial Narrow"/>
          <w:color w:val="1F1F1F"/>
        </w:rPr>
        <w:t>energétic</w:t>
      </w:r>
      <w:r w:rsidR="00422578">
        <w:rPr>
          <w:rFonts w:ascii="Arial Narrow" w:hAnsi="Arial Narrow"/>
          <w:color w:val="1F1F1F"/>
        </w:rPr>
        <w:t>a</w:t>
      </w:r>
      <w:r w:rsidR="00422578" w:rsidRPr="0091741D">
        <w:rPr>
          <w:rFonts w:ascii="Arial Narrow" w:hAnsi="Arial Narrow"/>
          <w:color w:val="1F1F1F"/>
        </w:rPr>
        <w:t>s</w:t>
      </w:r>
      <w:r w:rsidRPr="0091741D">
        <w:rPr>
          <w:rFonts w:ascii="Arial Narrow" w:hAnsi="Arial Narrow"/>
          <w:color w:val="1F1F1F"/>
        </w:rPr>
        <w:t xml:space="preserve">, así como la huella de carbono de los edificios  </w:t>
      </w:r>
      <w:r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{"citationItems":[{"id":"ITEM-1","itemData":{"DOI":"10.1016/j.rser.2023.113295","ISSN":"18790690","abstract":"Bioclimatic design strategies have proven their efficiency in improving the sustainability of buildings. However, their economic benefits, regarded as the main incentive for building owners to incorporate such strategies into buildings, are still unclear since they depend on several factors including the countries' energy accessibility level. This study explores the role of energy affordability level and climatic conditions in incorporating bioclimatic design strategies. Therefore, the effectiveness of integrating seven bioclimatic approaches into a common residential building in six different locations worldwide with disparate climatic conditions, gross domestic products and electricity prices is assessed. The outcomes of each strategy are generated using EnergyPlus software and evaluated based on key energy, economic and environmental metrics. The findings reveal that, for most bioclimatic design strategies, the highest economic profits are achieved in regions where the electricity price to gross domestic product (EPGDP) ratio is high (i.e., where energy is unaffordable). Indeed, the shortest discounted payback period is obtained by using suitable glazing size in hot/moderate climates with higher EPGDP ratio (0.04/0.13 years) and thermal insulation in cold ones (1.17 years). Moreover, the greatest net present values are acquired by integrating thermal insulation in hot/cold zones with up to k$14.04/k$76.73, and window opening design in moderate climates (k$7.32). Additionally, the investigated strategies exhibit significant energy savings and carbon emissions mitigation. This study confirms the benefits of bioclimatic design; nevertheless, awareness campaigns and incentive programs are also essential in motivating households to integrate sustainable strategies into their buildings, especially in regions where energy is affordable.","author":[{"dropping-particle":"","family":"Elaouzy","given":"Youssef","non-dropping-particle":"","parse-names":false,"suffix":""},{"dropping-particle":"","family":"Fadar","given":"Abdellah","non-dropping-particle":"El","parse-names":false,"suffix":""}],"container-title":"Renewable and Sustainable Energy Reviews","id":"ITEM-1","issue":"March","issued":{"date-parts":[["2023"]]},"page":"113295","publisher":"Elsevier Ltd","title":"Sustainability of building-integrated bioclimatic design strategies depending on energy affordability","type":"article-journal","volume":"179"},"uris":["http://www.mendeley.com/documents/?uuid=bd11c471-c6eb-49d0-8652-f25960970c49"]}],"mendeley":{"formattedCitation":"(Elaouzy &amp; El Fadar, 2023)","plainTextFormattedCitation":"(Elaouzy &amp; El Fadar, 2023)","previouslyFormattedCitation":"[4]"},"properties":{"noteIndex":0},"schema":"https://github.com/citation-style-language/schema/raw/master/csl-citation.json"}</w:instrText>
      </w:r>
      <w:r w:rsidRPr="0091741D">
        <w:rPr>
          <w:rFonts w:ascii="Arial Narrow" w:hAnsi="Arial Narrow"/>
          <w:color w:val="1F1F1F"/>
        </w:rPr>
        <w:fldChar w:fldCharType="separate"/>
      </w:r>
      <w:r w:rsidR="00430166" w:rsidRPr="00430166">
        <w:rPr>
          <w:rFonts w:ascii="Arial Narrow" w:hAnsi="Arial Narrow"/>
          <w:noProof/>
          <w:color w:val="1F1F1F"/>
        </w:rPr>
        <w:t>(Elaouzy &amp; El Fadar, 2023)</w:t>
      </w:r>
      <w:r w:rsidRPr="0091741D">
        <w:rPr>
          <w:rFonts w:ascii="Arial Narrow" w:hAnsi="Arial Narrow"/>
          <w:color w:val="1F1F1F"/>
        </w:rPr>
        <w:fldChar w:fldCharType="end"/>
      </w:r>
      <w:r w:rsidRPr="0091741D">
        <w:rPr>
          <w:rFonts w:ascii="Arial Narrow" w:hAnsi="Arial Narrow"/>
          <w:color w:val="1F1F1F"/>
        </w:rPr>
        <w:t>, l</w:t>
      </w:r>
      <w:r w:rsidR="0065498F" w:rsidRPr="0091741D">
        <w:rPr>
          <w:rFonts w:ascii="Arial Narrow" w:hAnsi="Arial Narrow"/>
          <w:color w:val="1F1F1F"/>
        </w:rPr>
        <w:t xml:space="preserve">o que ha impulsado la demanda de la construcción sostenible en los últimos años, </w:t>
      </w:r>
      <w:r w:rsidRPr="0091741D">
        <w:rPr>
          <w:rFonts w:ascii="Arial Narrow" w:hAnsi="Arial Narrow"/>
          <w:color w:val="1F1F1F"/>
        </w:rPr>
        <w:t>respondiendo</w:t>
      </w:r>
      <w:r w:rsidR="0065498F" w:rsidRPr="0091741D">
        <w:rPr>
          <w:rFonts w:ascii="Arial Narrow" w:hAnsi="Arial Narrow"/>
          <w:color w:val="1F1F1F"/>
        </w:rPr>
        <w:t xml:space="preserve"> directamente a la creciente conciencia del cambio climático, la degradación ambiental y el agotamiento de los recursos.</w:t>
      </w:r>
    </w:p>
    <w:p w:rsidR="00332527" w:rsidRPr="0091741D" w:rsidRDefault="00332527" w:rsidP="002D0878">
      <w:pPr>
        <w:spacing w:after="0" w:line="276" w:lineRule="auto"/>
        <w:jc w:val="both"/>
        <w:rPr>
          <w:rFonts w:ascii="Arial Narrow" w:hAnsi="Arial Narrow"/>
          <w:color w:val="1F1F1F"/>
        </w:rPr>
      </w:pPr>
    </w:p>
    <w:p w:rsidR="00BF1FAB" w:rsidRDefault="00DA20A7" w:rsidP="002D0878">
      <w:pPr>
        <w:spacing w:after="0" w:line="276" w:lineRule="auto"/>
        <w:jc w:val="both"/>
        <w:rPr>
          <w:rFonts w:ascii="Arial Narrow" w:hAnsi="Arial Narrow"/>
          <w:color w:val="1F1F1F"/>
        </w:rPr>
      </w:pPr>
      <w:r w:rsidRPr="0091741D">
        <w:rPr>
          <w:rFonts w:ascii="Arial Narrow" w:hAnsi="Arial Narrow"/>
          <w:color w:val="1F1F1F"/>
        </w:rPr>
        <w:t>Dentro de la ejecución de un proyecto</w:t>
      </w:r>
      <w:r w:rsidR="00422578">
        <w:rPr>
          <w:rFonts w:ascii="Arial Narrow" w:hAnsi="Arial Narrow"/>
          <w:color w:val="1F1F1F"/>
        </w:rPr>
        <w:t>,</w:t>
      </w:r>
      <w:r w:rsidRPr="0091741D">
        <w:rPr>
          <w:rFonts w:ascii="Arial Narrow" w:hAnsi="Arial Narrow"/>
          <w:color w:val="1F1F1F"/>
        </w:rPr>
        <w:t xml:space="preserve"> l</w:t>
      </w:r>
      <w:r w:rsidR="00BF1FAB" w:rsidRPr="0091741D">
        <w:rPr>
          <w:rFonts w:ascii="Arial Narrow" w:hAnsi="Arial Narrow"/>
          <w:color w:val="1F1F1F"/>
        </w:rPr>
        <w:t xml:space="preserve">os procesos constructivos se definen como el conjunto de </w:t>
      </w:r>
      <w:r w:rsidRPr="0091741D">
        <w:rPr>
          <w:rFonts w:ascii="Arial Narrow" w:hAnsi="Arial Narrow"/>
          <w:color w:val="1F1F1F"/>
        </w:rPr>
        <w:t>actividades</w:t>
      </w:r>
      <w:r w:rsidR="00BF1FAB" w:rsidRPr="0091741D">
        <w:rPr>
          <w:rFonts w:ascii="Arial Narrow" w:hAnsi="Arial Narrow"/>
          <w:color w:val="1F1F1F"/>
        </w:rPr>
        <w:t xml:space="preserve"> necesarias para construir un proyecto de infraestructura o una edificación</w:t>
      </w:r>
      <w:r w:rsidR="00422578">
        <w:rPr>
          <w:rFonts w:ascii="Arial Narrow" w:hAnsi="Arial Narrow"/>
          <w:color w:val="1F1F1F"/>
        </w:rPr>
        <w:t>.</w:t>
      </w:r>
      <w:r w:rsidR="00BF1FAB" w:rsidRPr="0091741D">
        <w:rPr>
          <w:rFonts w:ascii="Arial Narrow" w:hAnsi="Arial Narrow"/>
          <w:color w:val="1F1F1F"/>
        </w:rPr>
        <w:t xml:space="preserve"> </w:t>
      </w:r>
      <w:r w:rsidR="00422578">
        <w:rPr>
          <w:rFonts w:ascii="Arial Narrow" w:hAnsi="Arial Narrow"/>
          <w:color w:val="1F1F1F"/>
        </w:rPr>
        <w:t>U</w:t>
      </w:r>
      <w:r w:rsidR="00BF1FAB" w:rsidRPr="0091741D">
        <w:rPr>
          <w:rFonts w:ascii="Arial Narrow" w:hAnsi="Arial Narrow"/>
          <w:color w:val="1F1F1F"/>
        </w:rPr>
        <w:t>n proyecto típico de construcción se desarrolla a través de tres etapas principales consecutivas</w:t>
      </w:r>
      <w:r w:rsidR="00BF1FAB" w:rsidRPr="00846E66">
        <w:rPr>
          <w:rFonts w:ascii="Arial Narrow" w:hAnsi="Arial Narrow"/>
        </w:rPr>
        <w:t xml:space="preserve">: planeación y diseño, construcción y operación </w:t>
      </w:r>
      <w:r w:rsidR="00BF1FAB"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{"citationItems":[{"id":"ITEM-1","itemData":{"DOI":"10.1016/j.proeng.2016.04.063","ISSN":"18777058","abstract":"A typical building construction process runs through three main consecutive phases: design, construction and operation. Currently, architects and engineers both engage in the creation of environmental designs that adequately reflect high performance through sustainability and energy efficiency in new buildings. Occupants of buildings have also recently demonstrated a dramatic increase in awareness regarding building operation, energy usage, and indoor air quality. The process of building construction is chronologically located between both the design and the operation phases. However, this phase has not yet been addressed in either understanding contractor behavior or developing innovative sustainable techniques. These two vital aspects have the potential to levy a dramatic impact on enhancing building performance and operational costs. Repeatedly causing apprehension to the construction industry is a question that posits, \"Why is there a gap/delta/inconsistency between the designed EUI, Energy Use Intensity, and the operational EUI\"? Building occupants shall not be the only party that bears blame for the delta in energy. It is true, nonetheless, that occupants are part of the reason, but the contractor - as well as the entire construction phase - also remain prime suspects worth investigating. In the present time, research is predominantly focused on occupants (post-occupancy) and designers to educate and control the gap between designed and operational EUI. This research has succeeded in the identification of the construction phase, in conjunction with contractor behaviour, as another main factor for initiating this energy gap. Therefore, not only is the coupling of sustainable strategies to the construction drivers crucial to attaining a sustainable project, but also it is integral to analyzing contractor behavior within each of the construction phases that play a vital role in successfully serving sustainability. Various techniques and approaches will assist contractors in amending their method statements to ensure a sustainable project. This research correlates an existing project to the two proposed sustainable concepts: 1) Identify cost-saving strategies that may have been implemented or avoided during the construction process, and 2) Evaluate the impacts of implementing these strategies on overall performance. The adopted contexts are to partially foster sustainable architecture concepts to the Contractor process, and then proceed to analyze its…","author":[{"dropping-particle":"","family":"Elzomor","given":"Mohamed","non-dropping-particle":"","parse-names":false,"suffix":""},{"dropping-particle":"","family":"Parrish","given":"Kristen","non-dropping-particle":"","parse-names":false,"suffix":""}],"container-title":"Procedia Engineering","id":"ITEM-1","issue":"520","issued":{"date-parts":[["2016"]]},"page":"211-218","publisher":"Elsevier B.V.","title":"Investigating Building Construction Process and Developing a Performance Index","type":"article-journal","volume":"145"},"uris":["http://www.mendeley.com/documents/?uuid=9c7aaab2-1a94-4ea1-9f51-0ef9a6d15c16"]}],"mendeley":{"formattedCitation":"(Elzomor &amp; Parrish, 2016)","plainTextFormattedCitation":"(Elzomor &amp; Parrish, 2016)","previouslyFormattedCitation":"[5]"},"properties":{"noteIndex":0},"schema":"https://github.com/citation-style-language/schema/raw/master/csl-citation.json"}</w:instrText>
      </w:r>
      <w:r w:rsidR="00BF1FAB" w:rsidRPr="0091741D">
        <w:rPr>
          <w:rFonts w:ascii="Arial Narrow" w:hAnsi="Arial Narrow"/>
          <w:color w:val="1F1F1F"/>
        </w:rPr>
        <w:fldChar w:fldCharType="separate"/>
      </w:r>
      <w:r w:rsidR="00430166" w:rsidRPr="00430166">
        <w:rPr>
          <w:rFonts w:ascii="Arial Narrow" w:hAnsi="Arial Narrow"/>
          <w:noProof/>
          <w:color w:val="1F1F1F"/>
        </w:rPr>
        <w:t>(Elzomor &amp; Parrish, 2016)</w:t>
      </w:r>
      <w:r w:rsidR="00BF1FAB" w:rsidRPr="0091741D">
        <w:rPr>
          <w:rFonts w:ascii="Arial Narrow" w:hAnsi="Arial Narrow"/>
          <w:color w:val="1F1F1F"/>
        </w:rPr>
        <w:fldChar w:fldCharType="end"/>
      </w:r>
      <w:r w:rsidR="00BF1FAB" w:rsidRPr="0091741D">
        <w:rPr>
          <w:rFonts w:ascii="Arial Narrow" w:hAnsi="Arial Narrow"/>
          <w:color w:val="1F1F1F"/>
        </w:rPr>
        <w:t>.</w:t>
      </w:r>
    </w:p>
    <w:p w:rsidR="00573375" w:rsidRPr="0091741D" w:rsidRDefault="00573375" w:rsidP="002D0878">
      <w:pPr>
        <w:spacing w:after="0" w:line="276" w:lineRule="auto"/>
        <w:jc w:val="both"/>
        <w:rPr>
          <w:rFonts w:ascii="Arial Narrow" w:hAnsi="Arial Narrow"/>
          <w:color w:val="1F1F1F"/>
        </w:rPr>
      </w:pPr>
    </w:p>
    <w:p w:rsidR="0014589B" w:rsidRDefault="00C95FC1" w:rsidP="002D0878">
      <w:pPr>
        <w:spacing w:after="0" w:line="276" w:lineRule="auto"/>
        <w:jc w:val="both"/>
        <w:rPr>
          <w:rFonts w:ascii="Arial Narrow" w:hAnsi="Arial Narrow"/>
          <w:color w:val="1F1F1F"/>
        </w:rPr>
      </w:pPr>
      <w:r w:rsidRPr="0091741D">
        <w:rPr>
          <w:rFonts w:ascii="Arial Narrow" w:hAnsi="Arial Narrow"/>
          <w:color w:val="1F1F1F"/>
        </w:rPr>
        <w:t xml:space="preserve">Actualmente el enfoque de los procesos constructivos tiene como objetivo mejorar la </w:t>
      </w:r>
      <w:r w:rsidR="00B765BE" w:rsidRPr="0091741D">
        <w:rPr>
          <w:rFonts w:ascii="Arial Narrow" w:hAnsi="Arial Narrow"/>
          <w:color w:val="1F1F1F"/>
        </w:rPr>
        <w:t>eficacia</w:t>
      </w:r>
      <w:r w:rsidRPr="0091741D">
        <w:rPr>
          <w:rFonts w:ascii="Arial Narrow" w:hAnsi="Arial Narrow"/>
          <w:color w:val="1F1F1F"/>
        </w:rPr>
        <w:t xml:space="preserve"> </w:t>
      </w:r>
      <w:r w:rsidR="00AE70C7" w:rsidRPr="0091741D">
        <w:rPr>
          <w:rFonts w:ascii="Arial Narrow" w:hAnsi="Arial Narrow"/>
          <w:color w:val="1F1F1F"/>
        </w:rPr>
        <w:t xml:space="preserve">optimizando y relacionando </w:t>
      </w:r>
      <w:r w:rsidRPr="0091741D">
        <w:rPr>
          <w:rFonts w:ascii="Arial Narrow" w:hAnsi="Arial Narrow"/>
          <w:color w:val="1F1F1F"/>
        </w:rPr>
        <w:t>costos y tiempos</w:t>
      </w:r>
      <w:r w:rsidR="00D042D9" w:rsidRPr="0091741D">
        <w:rPr>
          <w:rFonts w:ascii="Arial Narrow" w:hAnsi="Arial Narrow"/>
          <w:color w:val="1F1F1F"/>
        </w:rPr>
        <w:t xml:space="preserve"> </w:t>
      </w:r>
      <w:r w:rsidR="00D042D9"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{"citationItems":[{"id":"ITEM-1","itemData":{"DOI":"10.1016/j.jobe.2023.107970","ISSN":"23527102","abstract":"Innovation has become one of the most effective solutions for sustainable development in the construction sector. This research aims to determine and prioritize the drivers that foster innovation adoption, performance, and upscaling toward sustainable construction in a typical developing country context. A review of the literature and discussions with construction professionals identified 12 significant drivers of innovation toward sustainable construction. These drivers were then grouped into three categories, project, firm, and industry. A combination of the Fuzzy Decision Making Trial and Evaluation Laboratory (DEMATEL) and Analytic Network Process (ANP), DANP, was used to aid in the evaluation and prioritization of the drivers of innovation within the construction industry. The analysis showed that project-related drivers significantly lead to innovation performance, followed by firm-related and industry-related drivers. Specifically, client requirements and improving project performance were the most critical driver of innovation toward sustainable construction. On the other hand, regulation and innovation policy concerns ranked the lowest importance compared with the other drivers. This study implies that focusing on enhancing project performance and meeting client requirements can significantly promote innovation in construction firms. While regulations and policies shape the overall innovation landscape, the study suggests that they may not be the primary drivers for promoting innovation toward sustainable construction. This research is noteworthy for being among the initial studies to explore the interconnectedness of innovation drivers.","author":[{"dropping-particle":"","family":"Nguyen","given":"Minh","non-dropping-particle":"Van","parse-names":false,"suffix":""}],"container-title":"Journal of Building Engineering","id":"ITEM-1","issue":"June","issued":{"date-parts":[["2023"]]},"page":"107970","publisher":"Elsevier Ltd","title":"Drivers of innovation towards sustainable construction: A study in a developing country","type":"article-journal","volume":"80"},"uris":["http://www.mendeley.com/documents/?uuid=39a99fee-1742-403e-9e02-07cd9b2a216d"]}],"mendeley":{"formattedCitation":"(Van Nguyen, 2023)","plainTextFormattedCitation":"(Van Nguyen, 2023)","previouslyFormattedCitation":"[6]"},"properties":{"noteIndex":0},"schema":"https://github.com/citation-style-language/schema/raw/master/csl-citation.json"}</w:instrText>
      </w:r>
      <w:r w:rsidR="00D042D9" w:rsidRPr="0091741D">
        <w:rPr>
          <w:rFonts w:ascii="Arial Narrow" w:hAnsi="Arial Narrow"/>
          <w:color w:val="1F1F1F"/>
        </w:rPr>
        <w:fldChar w:fldCharType="separate"/>
      </w:r>
      <w:r w:rsidR="00430166" w:rsidRPr="00430166">
        <w:rPr>
          <w:rFonts w:ascii="Arial Narrow" w:hAnsi="Arial Narrow"/>
          <w:noProof/>
          <w:color w:val="1F1F1F"/>
        </w:rPr>
        <w:t>(Van Nguyen, 2023)</w:t>
      </w:r>
      <w:r w:rsidR="00D042D9" w:rsidRPr="0091741D">
        <w:rPr>
          <w:rFonts w:ascii="Arial Narrow" w:hAnsi="Arial Narrow"/>
          <w:color w:val="1F1F1F"/>
        </w:rPr>
        <w:fldChar w:fldCharType="end"/>
      </w:r>
      <w:r w:rsidR="0014589B" w:rsidRPr="0091741D">
        <w:rPr>
          <w:rFonts w:ascii="Arial Narrow" w:hAnsi="Arial Narrow"/>
          <w:color w:val="1F1F1F"/>
        </w:rPr>
        <w:t>. P</w:t>
      </w:r>
      <w:r w:rsidR="00CB04EC" w:rsidRPr="0091741D">
        <w:rPr>
          <w:rFonts w:ascii="Arial Narrow" w:hAnsi="Arial Narrow"/>
          <w:color w:val="1F1F1F"/>
        </w:rPr>
        <w:t>or tal razón</w:t>
      </w:r>
      <w:r w:rsidR="002A3CDD" w:rsidRPr="0091741D">
        <w:rPr>
          <w:rFonts w:ascii="Arial Narrow" w:hAnsi="Arial Narrow"/>
          <w:color w:val="1F1F1F"/>
        </w:rPr>
        <w:t xml:space="preserve"> e</w:t>
      </w:r>
      <w:r w:rsidR="00885956" w:rsidRPr="0091741D">
        <w:rPr>
          <w:rFonts w:ascii="Arial Narrow" w:hAnsi="Arial Narrow"/>
          <w:color w:val="1F1F1F"/>
        </w:rPr>
        <w:t>s importante analizar el proceso constructivo desde una perspectiva sustentable</w:t>
      </w:r>
      <w:r w:rsidR="00BF1FAB" w:rsidRPr="0091741D">
        <w:rPr>
          <w:rFonts w:ascii="Arial Narrow" w:hAnsi="Arial Narrow"/>
          <w:color w:val="1F1F1F"/>
        </w:rPr>
        <w:t xml:space="preserve">, </w:t>
      </w:r>
      <w:r w:rsidR="00BF1FAB" w:rsidRPr="0091741D">
        <w:rPr>
          <w:rFonts w:ascii="Arial Narrow" w:hAnsi="Arial Narrow"/>
        </w:rPr>
        <w:t xml:space="preserve">al mismo tiempo, los gobiernos están imponiendo normas y reglamentos para garantizar la adopción de prácticas de construcción sostenibles </w:t>
      </w:r>
      <w:r w:rsidR="00BF1FAB" w:rsidRPr="0091741D">
        <w:rPr>
          <w:rFonts w:ascii="Arial Narrow" w:hAnsi="Arial Narrow"/>
        </w:rPr>
        <w:fldChar w:fldCharType="begin" w:fldLock="1"/>
      </w:r>
      <w:r w:rsidR="00430166">
        <w:rPr>
          <w:rFonts w:ascii="Arial Narrow" w:hAnsi="Arial Narrow"/>
        </w:rPr>
        <w:instrText>ADDIN CSL_CITATION {"citationItems":[{"id":"ITEM-1","itemData":{"DOI":"10.1016/j.clet.2023.100626","ISSN":"26667908","abstract":"Construction projects can have adverse possible environmental consequences. The construction sector contributes to around 25% of air pollution, 40% of water pollution, and 50% of landfill wastes. The United Nations Sustainable Development Goals (SDGs) focus on sustainable development, where the construction industry can assist in achieving many of these goals. This research presents a framework for assessing the sustainability of construction projects. The research identifies the factors that are linked to sustainability in construction. To determines the relative weights of these factors, multicriteria decision-making techniques, namely, Shannon entropy and the CRiteria Importance Through Intercriteria Correlation (CRITIC) methods, were used. To assess the sustainability of construction projects Hierarchical evidential reasoning was used to aggregate the different factors found in different projects based on weights and magnitude of each factor. To examine the plausibility of the proposed framework, three case studies for new development projects were used. The results from the proposed framework were verified using face verification. The results showed that the difference in relative weights of the different indicators were statistically insignificant indicating that the accuracy of the calculated weights. Additionally, the experts sought to verify the applicability of the framework indicated that it can be widely used in different projects to assess how sustainable they are. The proposed framework can be used in various construction projects by stakeholders, such as contractors and developers, to assess the sustainability of new construction projects and capitalize on their corporate social responsibility, ultimately enhancing the construction industry quality and standards.","author":[{"dropping-particle":"","family":"Salah","given":"Menna","non-dropping-particle":"","parse-names":false,"suffix":""},{"dropping-particle":"","family":"Elmasry","given":"Mohamed","non-dropping-particle":"","parse-names":false,"suffix":""},{"dropping-particle":"","family":"Mashhour","given":"Ibrahim M.","non-dropping-particle":"","parse-names":false,"suffix":""},{"dropping-particle":"","family":"Amer","given":"Nabil","non-dropping-particle":"","parse-names":false,"suffix":""}],"container-title":"Cleaner Engineering and Technology","id":"ITEM-1","issue":"December 2022","issued":{"date-parts":[["2023"]]},"page":"100626","publisher":"Elsevier Ltd","title":"A framework for assessing sustainability of construction projects","type":"article-journal","volume":"13"},"uris":["http://www.mendeley.com/documents/?uuid=58bd4487-07e4-4d03-84e6-ac102a7a6ffc"]}],"mendeley":{"formattedCitation":"(Salah et al., 2023)","plainTextFormattedCitation":"(Salah et al., 2023)","previouslyFormattedCitation":"[7]"},"properties":{"noteIndex":0},"schema":"https://github.com/citation-style-language/schema/raw/master/csl-citation.json"}</w:instrText>
      </w:r>
      <w:r w:rsidR="00BF1FAB" w:rsidRPr="0091741D">
        <w:rPr>
          <w:rFonts w:ascii="Arial Narrow" w:hAnsi="Arial Narrow"/>
        </w:rPr>
        <w:fldChar w:fldCharType="separate"/>
      </w:r>
      <w:r w:rsidR="00430166" w:rsidRPr="00430166">
        <w:rPr>
          <w:rFonts w:ascii="Arial Narrow" w:hAnsi="Arial Narrow"/>
          <w:noProof/>
        </w:rPr>
        <w:t>(Salah et al., 2023)</w:t>
      </w:r>
      <w:r w:rsidR="00BF1FAB" w:rsidRPr="0091741D">
        <w:rPr>
          <w:rFonts w:ascii="Arial Narrow" w:hAnsi="Arial Narrow"/>
        </w:rPr>
        <w:fldChar w:fldCharType="end"/>
      </w:r>
      <w:r w:rsidR="00BF1FAB" w:rsidRPr="0091741D">
        <w:rPr>
          <w:rFonts w:ascii="Arial Narrow" w:hAnsi="Arial Narrow"/>
        </w:rPr>
        <w:t>.</w:t>
      </w:r>
      <w:r w:rsidR="00152E57" w:rsidRPr="0091741D">
        <w:rPr>
          <w:rFonts w:ascii="Arial Narrow" w:hAnsi="Arial Narrow"/>
          <w:color w:val="1F1F1F"/>
        </w:rPr>
        <w:t xml:space="preserve"> Aunque a</w:t>
      </w:r>
      <w:r w:rsidR="003B25C5" w:rsidRPr="0091741D">
        <w:rPr>
          <w:rFonts w:ascii="Arial Narrow" w:hAnsi="Arial Narrow"/>
          <w:color w:val="1F1F1F"/>
        </w:rPr>
        <w:t xml:space="preserve">ctualmente, </w:t>
      </w:r>
      <w:r w:rsidR="00152E57" w:rsidRPr="0091741D">
        <w:rPr>
          <w:rFonts w:ascii="Arial Narrow" w:hAnsi="Arial Narrow"/>
          <w:color w:val="1F1F1F"/>
        </w:rPr>
        <w:t>profesionales de la construcción</w:t>
      </w:r>
      <w:r w:rsidR="003B25C5" w:rsidRPr="0091741D">
        <w:rPr>
          <w:rFonts w:ascii="Arial Narrow" w:hAnsi="Arial Narrow"/>
          <w:color w:val="1F1F1F"/>
        </w:rPr>
        <w:t xml:space="preserve"> participan en la creación de diseños que </w:t>
      </w:r>
      <w:r w:rsidR="00632961" w:rsidRPr="0091741D">
        <w:rPr>
          <w:rFonts w:ascii="Arial Narrow" w:hAnsi="Arial Narrow"/>
          <w:color w:val="1F1F1F"/>
        </w:rPr>
        <w:t>abar</w:t>
      </w:r>
      <w:r w:rsidR="00632961">
        <w:rPr>
          <w:rFonts w:ascii="Arial Narrow" w:hAnsi="Arial Narrow"/>
          <w:color w:val="1F1F1F"/>
        </w:rPr>
        <w:t>can</w:t>
      </w:r>
      <w:r w:rsidR="00632961" w:rsidRPr="0091741D">
        <w:rPr>
          <w:rFonts w:ascii="Arial Narrow" w:hAnsi="Arial Narrow"/>
          <w:color w:val="1F1F1F"/>
        </w:rPr>
        <w:t xml:space="preserve"> </w:t>
      </w:r>
      <w:r w:rsidR="003B25C5" w:rsidRPr="0091741D">
        <w:rPr>
          <w:rFonts w:ascii="Arial Narrow" w:hAnsi="Arial Narrow"/>
          <w:color w:val="1F1F1F"/>
        </w:rPr>
        <w:t xml:space="preserve">adecuadamente la sostenibilidad y la eficiencia energética en los </w:t>
      </w:r>
      <w:r w:rsidR="00152E57" w:rsidRPr="0091741D">
        <w:rPr>
          <w:rFonts w:ascii="Arial Narrow" w:hAnsi="Arial Narrow"/>
          <w:color w:val="1F1F1F"/>
        </w:rPr>
        <w:t>nuevos proyectos</w:t>
      </w:r>
      <w:r w:rsidR="0014589B" w:rsidRPr="0091741D">
        <w:rPr>
          <w:rFonts w:ascii="Arial Narrow" w:hAnsi="Arial Narrow"/>
          <w:color w:val="1F1F1F"/>
        </w:rPr>
        <w:t>, estos también</w:t>
      </w:r>
      <w:r w:rsidR="00422578">
        <w:rPr>
          <w:rFonts w:ascii="Arial Narrow" w:hAnsi="Arial Narrow"/>
          <w:color w:val="1F1F1F"/>
        </w:rPr>
        <w:t>, en muchos casos</w:t>
      </w:r>
      <w:r w:rsidR="0014589B" w:rsidRPr="0091741D">
        <w:rPr>
          <w:rFonts w:ascii="Arial Narrow" w:hAnsi="Arial Narrow"/>
          <w:color w:val="1F1F1F"/>
        </w:rPr>
        <w:t xml:space="preserve"> carecen de una formación adecuada sobre los principios de la construcción sostenible </w:t>
      </w:r>
      <w:r w:rsidR="0014589B"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{"citationItems":[{"id":"ITEM-1","itemData":{"DOI":"10.1108/SASBE-08-2018-0040","ISSN":"2046-6099","abstract":"Purpose The construction industry plays an important role in the achievement of the 11th and 15th of the Sustainable Development Goals. Efforts have been made by most developing and developed economies toward the achievement of these goals. Despite the efforts being made by the construction industry toward the achievement of these goals, there are still barriers that prevent built environment consultants from advancing environmental sustainability (ES) of construction projects. The purpose of this paper is to identify barriers to ES of construction projects. Design/methodology/approach An extensive literature review on barriers to the adoption of ES was conducted and face-to-face semi-structured interviews of purposively selected built environment consultants in Ghana were carried out. Thematic template analysis of qualitative data was conducted. Findings The key findings from the study include perceived initial costs, lack of knowledge on ES, technological difficulties, external pressures in adopting ES practices and environmental conditions in developing countries. Originality/value The outputs of this study offer strategies which are very significant to the construction industry in embracing ES. Further, the findings contribute to knowledge on achieving the sustainable development agenda.","author":[{"dropping-particle":"","family":"Opoku","given":"De-Graft Joe","non-dropping-particle":"","parse-names":false,"suffix":""},{"dropping-particle":"","family":"Ayarkwa","given":"Joshua","non-dropping-particle":"","parse-names":false,"suffix":""},{"dropping-particle":"","family":"Agyekum","given":"Kofi","non-dropping-particle":"","parse-names":false,"suffix":""}],"container-title":"Smart and Sustainable Built Environment","id":"ITEM-1","issue":"4","issued":{"date-parts":[["2019","1","1"]]},"page":"292-306","publisher":"Emerald Publishing Limited","title":"Barriers to environmental sustainability of construction projects","type":"article-journal","volume":"8"},"uris":["http://www.mendeley.com/documents/?uuid=61d32e03-e7da-4be1-811e-0d8e8ee1b641"]}],"mendeley":{"formattedCitation":"(Opoku et al., 2019)","plainTextFormattedCitation":"(Opoku et al., 2019)","previouslyFormattedCitation":"[8]"},"properties":{"noteIndex":0},"schema":"https://github.com/citation-style-language/schema/raw/master/csl-citation.json"}</w:instrText>
      </w:r>
      <w:r w:rsidR="0014589B" w:rsidRPr="0091741D">
        <w:rPr>
          <w:rFonts w:ascii="Arial Narrow" w:hAnsi="Arial Narrow"/>
          <w:color w:val="1F1F1F"/>
        </w:rPr>
        <w:fldChar w:fldCharType="separate"/>
      </w:r>
      <w:r w:rsidR="00430166" w:rsidRPr="00430166">
        <w:rPr>
          <w:rFonts w:ascii="Arial Narrow" w:hAnsi="Arial Narrow"/>
          <w:noProof/>
          <w:color w:val="1F1F1F"/>
        </w:rPr>
        <w:t>(Opoku et al., 2019)</w:t>
      </w:r>
      <w:r w:rsidR="0014589B" w:rsidRPr="0091741D">
        <w:rPr>
          <w:rFonts w:ascii="Arial Narrow" w:hAnsi="Arial Narrow"/>
          <w:color w:val="1F1F1F"/>
        </w:rPr>
        <w:fldChar w:fldCharType="end"/>
      </w:r>
      <w:r w:rsidR="0014589B" w:rsidRPr="0091741D">
        <w:rPr>
          <w:rFonts w:ascii="Arial Narrow" w:hAnsi="Arial Narrow"/>
          <w:color w:val="1F1F1F"/>
        </w:rPr>
        <w:t>.</w:t>
      </w:r>
    </w:p>
    <w:p w:rsidR="00785D68" w:rsidRPr="0091741D" w:rsidRDefault="00785D68" w:rsidP="002D0878">
      <w:pPr>
        <w:spacing w:after="0" w:line="276" w:lineRule="auto"/>
        <w:jc w:val="both"/>
        <w:rPr>
          <w:rFonts w:ascii="Arial Narrow" w:hAnsi="Arial Narrow"/>
          <w:color w:val="1F1F1F"/>
        </w:rPr>
      </w:pPr>
    </w:p>
    <w:p w:rsidR="0007255F" w:rsidRDefault="00984D01" w:rsidP="002D0878">
      <w:pPr>
        <w:spacing w:after="0" w:line="276" w:lineRule="auto"/>
        <w:jc w:val="both"/>
        <w:rPr>
          <w:rFonts w:ascii="Arial Narrow" w:hAnsi="Arial Narrow"/>
        </w:rPr>
      </w:pPr>
      <w:r w:rsidRPr="0091741D">
        <w:rPr>
          <w:rFonts w:ascii="Arial Narrow" w:hAnsi="Arial Narrow"/>
        </w:rPr>
        <w:t>En el</w:t>
      </w:r>
      <w:r w:rsidR="0007255F" w:rsidRPr="0091741D">
        <w:rPr>
          <w:rFonts w:ascii="Arial Narrow" w:hAnsi="Arial Narrow"/>
        </w:rPr>
        <w:t xml:space="preserve"> proceso de construcción sostenible, se presta atención a técnicas como la garantía de</w:t>
      </w:r>
      <w:r w:rsidR="00632961">
        <w:rPr>
          <w:rFonts w:ascii="Arial Narrow" w:hAnsi="Arial Narrow"/>
        </w:rPr>
        <w:t xml:space="preserve"> </w:t>
      </w:r>
      <w:r w:rsidR="0007255F" w:rsidRPr="0091741D">
        <w:rPr>
          <w:rFonts w:ascii="Arial Narrow" w:hAnsi="Arial Narrow"/>
        </w:rPr>
        <w:t xml:space="preserve">eficiencia </w:t>
      </w:r>
      <w:bookmarkStart w:id="0" w:name="_GoBack"/>
      <w:bookmarkEnd w:id="0"/>
      <w:r w:rsidR="0007255F" w:rsidRPr="0091741D">
        <w:rPr>
          <w:rFonts w:ascii="Arial Narrow" w:hAnsi="Arial Narrow"/>
        </w:rPr>
        <w:t>energética</w:t>
      </w:r>
      <w:r w:rsidR="00077DEB">
        <w:rPr>
          <w:rFonts w:ascii="Arial Narrow" w:hAnsi="Arial Narrow"/>
        </w:rPr>
        <w:t>,</w:t>
      </w:r>
      <w:r w:rsidR="0081428B" w:rsidRPr="0091741D">
        <w:rPr>
          <w:rFonts w:ascii="Arial Narrow" w:hAnsi="Arial Narrow"/>
        </w:rPr>
        <w:t xml:space="preserve"> que se </w:t>
      </w:r>
      <w:r w:rsidR="00FF6D38" w:rsidRPr="0091741D">
        <w:rPr>
          <w:rFonts w:ascii="Arial Narrow" w:hAnsi="Arial Narrow"/>
        </w:rPr>
        <w:t>puede</w:t>
      </w:r>
      <w:r w:rsidR="0081428B" w:rsidRPr="0091741D">
        <w:rPr>
          <w:rFonts w:ascii="Arial Narrow" w:hAnsi="Arial Narrow"/>
        </w:rPr>
        <w:t xml:space="preserve"> garantizar desde el diseño</w:t>
      </w:r>
      <w:r w:rsidR="00077DEB">
        <w:rPr>
          <w:rFonts w:ascii="Arial Narrow" w:hAnsi="Arial Narrow"/>
        </w:rPr>
        <w:t>,</w:t>
      </w:r>
      <w:r w:rsidR="0081428B" w:rsidRPr="0091741D">
        <w:rPr>
          <w:rFonts w:ascii="Arial Narrow" w:hAnsi="Arial Narrow"/>
        </w:rPr>
        <w:t xml:space="preserve"> la </w:t>
      </w:r>
      <w:r w:rsidR="0080329B" w:rsidRPr="0091741D">
        <w:rPr>
          <w:rFonts w:ascii="Arial Narrow" w:hAnsi="Arial Narrow"/>
        </w:rPr>
        <w:t>planeación y el confort de los ocupantes</w:t>
      </w:r>
      <w:r w:rsidR="00077DEB">
        <w:rPr>
          <w:rFonts w:ascii="Arial Narrow" w:hAnsi="Arial Narrow"/>
        </w:rPr>
        <w:t>,</w:t>
      </w:r>
      <w:r w:rsidR="0080329B" w:rsidRPr="0091741D">
        <w:rPr>
          <w:rFonts w:ascii="Arial Narrow" w:hAnsi="Arial Narrow"/>
        </w:rPr>
        <w:t xml:space="preserve"> cuando la edificación </w:t>
      </w:r>
      <w:r w:rsidR="00430166" w:rsidRPr="0091741D">
        <w:rPr>
          <w:rFonts w:ascii="Arial Narrow" w:hAnsi="Arial Narrow"/>
        </w:rPr>
        <w:t>esté</w:t>
      </w:r>
      <w:r w:rsidR="0080329B" w:rsidRPr="0091741D">
        <w:rPr>
          <w:rFonts w:ascii="Arial Narrow" w:hAnsi="Arial Narrow"/>
        </w:rPr>
        <w:t xml:space="preserve"> en funcionamiento</w:t>
      </w:r>
      <w:r w:rsidR="00077DEB">
        <w:rPr>
          <w:rFonts w:ascii="Arial Narrow" w:hAnsi="Arial Narrow"/>
        </w:rPr>
        <w:t>.</w:t>
      </w:r>
      <w:r w:rsidR="0007255F" w:rsidRPr="0091741D">
        <w:rPr>
          <w:rFonts w:ascii="Arial Narrow" w:hAnsi="Arial Narrow"/>
        </w:rPr>
        <w:t xml:space="preserve"> </w:t>
      </w:r>
      <w:r w:rsidR="00077DEB">
        <w:rPr>
          <w:rFonts w:ascii="Arial Narrow" w:hAnsi="Arial Narrow"/>
        </w:rPr>
        <w:t>E</w:t>
      </w:r>
      <w:r w:rsidR="0007255F" w:rsidRPr="0091741D">
        <w:rPr>
          <w:rFonts w:ascii="Arial Narrow" w:hAnsi="Arial Narrow"/>
        </w:rPr>
        <w:t xml:space="preserve">l uso de materiales </w:t>
      </w:r>
      <w:r w:rsidR="0081428B" w:rsidRPr="0091741D">
        <w:rPr>
          <w:rFonts w:ascii="Arial Narrow" w:hAnsi="Arial Narrow"/>
        </w:rPr>
        <w:t>que se pueden obtener de materiales</w:t>
      </w:r>
      <w:r w:rsidR="00152E57" w:rsidRPr="0091741D">
        <w:rPr>
          <w:rFonts w:ascii="Arial Narrow" w:hAnsi="Arial Narrow"/>
        </w:rPr>
        <w:t xml:space="preserve"> reciclados</w:t>
      </w:r>
      <w:r w:rsidR="0081428B" w:rsidRPr="0091741D">
        <w:rPr>
          <w:rFonts w:ascii="Arial Narrow" w:hAnsi="Arial Narrow"/>
        </w:rPr>
        <w:t xml:space="preserve"> </w:t>
      </w:r>
      <w:r w:rsidR="00CF3619" w:rsidRPr="0091741D">
        <w:rPr>
          <w:rFonts w:ascii="Arial Narrow" w:hAnsi="Arial Narrow"/>
        </w:rPr>
        <w:t xml:space="preserve">producto de </w:t>
      </w:r>
      <w:r w:rsidR="00911EED" w:rsidRPr="0091741D">
        <w:rPr>
          <w:rFonts w:ascii="Arial Narrow" w:hAnsi="Arial Narrow"/>
        </w:rPr>
        <w:t>Residuos de Construcción y Demolición (RCD)</w:t>
      </w:r>
      <w:r w:rsidR="0014589B" w:rsidRPr="0091741D">
        <w:rPr>
          <w:rFonts w:ascii="Arial Narrow" w:hAnsi="Arial Narrow"/>
        </w:rPr>
        <w:t xml:space="preserve"> o de otro materiales reciclados</w:t>
      </w:r>
      <w:r w:rsidR="0038436E" w:rsidRPr="0091741D">
        <w:rPr>
          <w:rFonts w:ascii="Arial Narrow" w:hAnsi="Arial Narrow"/>
        </w:rPr>
        <w:t xml:space="preserve"> y la calidad de la construcción</w:t>
      </w:r>
      <w:r w:rsidRPr="0091741D">
        <w:rPr>
          <w:rFonts w:ascii="Arial Narrow" w:hAnsi="Arial Narrow"/>
        </w:rPr>
        <w:t xml:space="preserve"> orientada a</w:t>
      </w:r>
      <w:r w:rsidR="0014589B" w:rsidRPr="0091741D">
        <w:rPr>
          <w:rFonts w:ascii="Arial Narrow" w:hAnsi="Arial Narrow"/>
        </w:rPr>
        <w:t xml:space="preserve"> la eficiencia energética  y el </w:t>
      </w:r>
      <w:r w:rsidRPr="0091741D">
        <w:rPr>
          <w:rFonts w:ascii="Arial Narrow" w:hAnsi="Arial Narrow"/>
        </w:rPr>
        <w:t>confort de los ocupantes</w:t>
      </w:r>
      <w:r w:rsidR="0081428B" w:rsidRPr="0091741D">
        <w:rPr>
          <w:rFonts w:ascii="Arial Narrow" w:hAnsi="Arial Narrow"/>
        </w:rPr>
        <w:t xml:space="preserve"> que se puede medir desde la operatividad</w:t>
      </w:r>
      <w:r w:rsidR="00436266" w:rsidRPr="0091741D">
        <w:rPr>
          <w:rFonts w:ascii="Arial Narrow" w:hAnsi="Arial Narrow"/>
          <w:color w:val="FF0000"/>
          <w:u w:val="single"/>
        </w:rPr>
        <w:t xml:space="preserve"> </w:t>
      </w:r>
      <w:r w:rsidR="00436266" w:rsidRPr="0091741D">
        <w:rPr>
          <w:rFonts w:ascii="Arial Narrow" w:hAnsi="Arial Narrow"/>
          <w:u w:val="single"/>
        </w:rPr>
        <w:fldChar w:fldCharType="begin" w:fldLock="1"/>
      </w:r>
      <w:r w:rsidR="00430166">
        <w:rPr>
          <w:rFonts w:ascii="Arial Narrow" w:hAnsi="Arial Narrow"/>
          <w:u w:val="single"/>
        </w:rPr>
        <w:instrText>ADDIN CSL_CITATION {"citationItems":[{"id":"ITEM-1","itemData":{"DOI":"10.1016/j.clet.2022.100455","ISSN":"26667908","abstract":"Sustainability has been increasingly advocated by the global construction industry due to the need to minimise the industry's adverse impacts. An important area when focusing on sustainability is the issue of project management teams since they are involved from the project's inception to its completion. Many studies have investigated and advocated a wide range of sustainability practices within the construction industry. However, little attention has been geared towards construction project management teams when addressing the issues of sustainability. This study aims to provide an empirical analysis of the challenges and mitigating strategies for enhancing project management teams’ readiness in the adoption of sustainable building processes. It does so by undertaking an extensive critical review of literature resulting in the identification of sixteen challenges and sixteen mitigation strategies and conducted a cross-sectional survey among 200 Ghanaian construction industry professionals. Data obtained from the survey was analysed using descriptive statistics and relative importance index rankings. The study revealed that inadequate training and education, unfamiliarity with green technologies, and higher initial costs of green construction practices and materials are the key challenges that hinder project management teams’ implementation of sustainable building processes. The study further revealed the significant mitigation strategies such as educating stakeholders on the future benefits of green buildings, engaging personnel with green building background, and setting sustainable priorities and goals early in the feasibility study. The value of this paper is to help project management teams to understand these challenges and strategize to turn them into opportunities for the construction industry.","author":[{"dropping-particle":"","family":"Ayarkwa","given":"Joshua","non-dropping-particle":"","parse-names":false,"suffix":""},{"dropping-particle":"","family":"Joe Opoku","given":"De Graft","non-dropping-particle":"","parse-names":false,"suffix":""},{"dropping-particle":"","family":"Antwi-Afari","given":"Prince","non-dropping-particle":"","parse-names":false,"suffix":""},{"dropping-particle":"","family":"Man Li","given":"Rita Yi","non-dropping-particle":"","parse-names":false,"suffix":""}],"container-title":"Cleaner Engineering and Technology","id":"ITEM-1","issued":{"date-parts":[["2022"]]},"page":"100455","publisher":"Elsevier Ltd","title":"Sustainable building processes’ challenges and strategies: The relative important index approach","type":"article-journal","volume":"7"},"uris":["http://www.mendeley.com/documents/?uuid=34dd11f3-f5c1-41af-8857-fe658d632bab"]}],"mendeley":{"formattedCitation":"(Ayarkwa et al., 2022)","plainTextFormattedCitation":"(Ayarkwa et al., 2022)","previouslyFormattedCitation":"[9]"},"properties":{"noteIndex":0},"schema":"https://github.com/citation-style-language/schema/raw/master/csl-citation.json"}</w:instrText>
      </w:r>
      <w:r w:rsidR="00436266" w:rsidRPr="0091741D">
        <w:rPr>
          <w:rFonts w:ascii="Arial Narrow" w:hAnsi="Arial Narrow"/>
          <w:u w:val="single"/>
        </w:rPr>
        <w:fldChar w:fldCharType="separate"/>
      </w:r>
      <w:r w:rsidR="00430166" w:rsidRPr="00430166">
        <w:rPr>
          <w:rFonts w:ascii="Arial Narrow" w:hAnsi="Arial Narrow"/>
          <w:noProof/>
        </w:rPr>
        <w:t>(Ayarkwa et al., 2022)</w:t>
      </w:r>
      <w:r w:rsidR="00436266" w:rsidRPr="0091741D">
        <w:rPr>
          <w:rFonts w:ascii="Arial Narrow" w:hAnsi="Arial Narrow"/>
          <w:u w:val="single"/>
        </w:rPr>
        <w:fldChar w:fldCharType="end"/>
      </w:r>
      <w:r w:rsidR="006F1C64" w:rsidRPr="0091741D">
        <w:rPr>
          <w:rFonts w:ascii="Arial Narrow" w:hAnsi="Arial Narrow"/>
        </w:rPr>
        <w:t>.</w:t>
      </w:r>
    </w:p>
    <w:p w:rsidR="00573375" w:rsidRPr="0091741D" w:rsidRDefault="00573375" w:rsidP="002D0878">
      <w:pPr>
        <w:spacing w:after="0" w:line="276" w:lineRule="auto"/>
        <w:jc w:val="both"/>
        <w:rPr>
          <w:rFonts w:ascii="Arial Narrow" w:hAnsi="Arial Narrow"/>
        </w:rPr>
      </w:pPr>
    </w:p>
    <w:p w:rsidR="006F1C64" w:rsidRPr="0091741D" w:rsidRDefault="006F1C64" w:rsidP="002D0878">
      <w:pPr>
        <w:spacing w:after="0" w:line="276" w:lineRule="auto"/>
        <w:jc w:val="both"/>
        <w:rPr>
          <w:rFonts w:ascii="Arial Narrow" w:hAnsi="Arial Narrow"/>
          <w:color w:val="1F1F1F"/>
        </w:rPr>
      </w:pPr>
      <w:r w:rsidRPr="0091741D">
        <w:rPr>
          <w:rFonts w:ascii="Arial Narrow" w:hAnsi="Arial Narrow"/>
          <w:color w:val="1F1F1F"/>
          <w:lang w:val="es-ES"/>
        </w:rPr>
        <w:t xml:space="preserve">Desde la normatividad el Reglamento Colombiano de Construcción Sismo Resistente NSR 10 en su título A, hace referencia a la obligatoriedad de una actividad constructiva ambientalmente responsable desde la etapa de diseño, donde indica que las construcciones en el territorio nacional deben cumplir con el uso responsable ambientalmente de materiales y procedimientos constructivos, además, se deben utilizar adecuadamente los recursos naturales y tener en cuenta el medio ambiente sin producir deterioro en él y sin vulnerar la renovación o disponibilidad futura de estos materiales </w:t>
      </w:r>
      <w:r w:rsidRPr="0091741D">
        <w:rPr>
          <w:rFonts w:ascii="Arial Narrow" w:hAnsi="Arial Narrow"/>
          <w:color w:val="1F1F1F"/>
          <w:lang w:val="es-ES"/>
        </w:rPr>
        <w:fldChar w:fldCharType="begin" w:fldLock="1"/>
      </w:r>
      <w:r w:rsidR="00430166">
        <w:rPr>
          <w:rFonts w:ascii="Arial Narrow" w:hAnsi="Arial Narrow"/>
          <w:color w:val="1F1F1F"/>
          <w:lang w:val="es-ES"/>
        </w:rPr>
        <w:instrText>ADDIN CSL_CITATION {"citationItems":[{"id":"ITEM-1","itemData":{"author":[{"dropping-particle":"","family":"Ministerio de Ambiente Vivienda y Desarrollo Territorial","given":"","non-dropping-particle":"","parse-names":false,"suffix":""}],"id":"ITEM-1","issued":{"date-parts":[["2010"]]},"publisher-place":"Bogotá, Colombia","title":". Reglamento Colombiano de Construcción Sismo Resistente, Norma Sismo Resistente Colombiana NSR-10. Diario Oficial de la Republica de Colombia N° 46.223 del 30 de abril de 2010.","type":"article"},"uris":["http://www.mendeley.com/documents/?uuid=e257a73f-f612-4cb5-b587-ce0393040256"]}],"mendeley":{"formattedCitation":"(Ministerio de Ambiente Vivienda y Desarrollo Territorial, 2010)","plainTextFormattedCitation":"(Ministerio de Ambiente Vivienda y Desarrollo Territorial, 2010)","previouslyFormattedCitation":"[10]"},"properties":{"noteIndex":0},"schema":"https://github.com/citation-style-language/schema/raw/master/csl-citation.json"}</w:instrText>
      </w:r>
      <w:r w:rsidRPr="0091741D">
        <w:rPr>
          <w:rFonts w:ascii="Arial Narrow" w:hAnsi="Arial Narrow"/>
          <w:color w:val="1F1F1F"/>
          <w:lang w:val="es-ES"/>
        </w:rPr>
        <w:fldChar w:fldCharType="separate"/>
      </w:r>
      <w:r w:rsidR="00430166" w:rsidRPr="00430166">
        <w:rPr>
          <w:rFonts w:ascii="Arial Narrow" w:hAnsi="Arial Narrow"/>
          <w:noProof/>
          <w:color w:val="1F1F1F"/>
          <w:lang w:val="es-ES"/>
        </w:rPr>
        <w:t>(Ministerio de Ambiente Vivienda y Desarrollo Territorial, 2010)</w:t>
      </w:r>
      <w:r w:rsidRPr="0091741D">
        <w:rPr>
          <w:rFonts w:ascii="Arial Narrow" w:hAnsi="Arial Narrow"/>
          <w:color w:val="1F1F1F"/>
          <w:lang w:val="es-ES"/>
        </w:rPr>
        <w:fldChar w:fldCharType="end"/>
      </w:r>
      <w:r w:rsidRPr="0091741D">
        <w:rPr>
          <w:rFonts w:ascii="Arial Narrow" w:hAnsi="Arial Narrow"/>
          <w:color w:val="1F1F1F"/>
        </w:rPr>
        <w:t>.</w:t>
      </w:r>
    </w:p>
    <w:p w:rsidR="0007255F" w:rsidRDefault="0080329B" w:rsidP="002D0878">
      <w:pPr>
        <w:spacing w:after="0" w:line="276" w:lineRule="auto"/>
        <w:jc w:val="both"/>
        <w:rPr>
          <w:rFonts w:ascii="Arial Narrow" w:hAnsi="Arial Narrow"/>
          <w:color w:val="1F1F1F"/>
        </w:rPr>
      </w:pPr>
      <w:r w:rsidRPr="0091741D">
        <w:rPr>
          <w:rFonts w:ascii="Arial Narrow" w:hAnsi="Arial Narrow"/>
          <w:color w:val="1F1F1F"/>
        </w:rPr>
        <w:lastRenderedPageBreak/>
        <w:t>Partiendo de</w:t>
      </w:r>
      <w:r w:rsidR="00BF1FAB" w:rsidRPr="0091741D">
        <w:rPr>
          <w:rFonts w:ascii="Arial Narrow" w:hAnsi="Arial Narrow"/>
          <w:color w:val="1F1F1F"/>
        </w:rPr>
        <w:t xml:space="preserve"> las tres etapas de un proyecto de construcción (</w:t>
      </w:r>
      <w:r w:rsidR="00BF1FAB" w:rsidRPr="00846E66">
        <w:rPr>
          <w:rFonts w:ascii="Arial Narrow" w:hAnsi="Arial Narrow"/>
        </w:rPr>
        <w:t>planeación y diseño, construcción y operación</w:t>
      </w:r>
      <w:r w:rsidR="00BF1FAB" w:rsidRPr="0091741D">
        <w:rPr>
          <w:rFonts w:ascii="Arial Narrow" w:hAnsi="Arial Narrow"/>
          <w:color w:val="1F1F1F"/>
        </w:rPr>
        <w:t xml:space="preserve">), se pueden definir los procesos constructivos sostenibles que intervienen </w:t>
      </w:r>
      <w:r w:rsidR="000F7727" w:rsidRPr="0091741D">
        <w:rPr>
          <w:rFonts w:ascii="Arial Narrow" w:hAnsi="Arial Narrow"/>
          <w:color w:val="1F1F1F"/>
        </w:rPr>
        <w:t>para</w:t>
      </w:r>
      <w:r w:rsidR="00BF1FAB" w:rsidRPr="0091741D">
        <w:rPr>
          <w:rFonts w:ascii="Arial Narrow" w:hAnsi="Arial Narrow"/>
          <w:color w:val="1F1F1F"/>
        </w:rPr>
        <w:t xml:space="preserve"> mejorar la eficiencia energética de la edificación y el confort de los ocupantes.</w:t>
      </w:r>
    </w:p>
    <w:p w:rsidR="00785D68" w:rsidRDefault="00785D68" w:rsidP="002D0878">
      <w:pPr>
        <w:spacing w:after="0" w:line="276" w:lineRule="auto"/>
        <w:jc w:val="both"/>
        <w:rPr>
          <w:rFonts w:ascii="Arial Narrow" w:hAnsi="Arial Narrow"/>
          <w:color w:val="1F1F1F"/>
        </w:rPr>
      </w:pPr>
    </w:p>
    <w:p w:rsidR="009235E6" w:rsidRDefault="00110BD8" w:rsidP="002D0878">
      <w:pPr>
        <w:pStyle w:val="Prrafodelista"/>
        <w:numPr>
          <w:ilvl w:val="1"/>
          <w:numId w:val="10"/>
        </w:numPr>
        <w:spacing w:after="0" w:line="276" w:lineRule="auto"/>
        <w:rPr>
          <w:rFonts w:ascii="Arial Narrow" w:hAnsi="Arial Narrow"/>
          <w:b/>
        </w:rPr>
      </w:pPr>
      <w:r w:rsidRPr="001B292A">
        <w:rPr>
          <w:rFonts w:ascii="Arial Narrow" w:hAnsi="Arial Narrow"/>
          <w:b/>
        </w:rPr>
        <w:t xml:space="preserve">Etapa de </w:t>
      </w:r>
      <w:r w:rsidR="00925780" w:rsidRPr="001B292A">
        <w:rPr>
          <w:rFonts w:ascii="Arial Narrow" w:hAnsi="Arial Narrow"/>
          <w:b/>
        </w:rPr>
        <w:t>Planificación y diseño</w:t>
      </w:r>
    </w:p>
    <w:p w:rsidR="00573375" w:rsidRPr="001B292A" w:rsidRDefault="00573375" w:rsidP="00573375">
      <w:pPr>
        <w:pStyle w:val="Prrafodelista"/>
        <w:spacing w:after="0" w:line="276" w:lineRule="auto"/>
        <w:ind w:left="792"/>
        <w:rPr>
          <w:rFonts w:ascii="Arial Narrow" w:hAnsi="Arial Narrow"/>
          <w:b/>
        </w:rPr>
      </w:pPr>
    </w:p>
    <w:p w:rsidR="0080329B" w:rsidRDefault="0080329B" w:rsidP="002D0878">
      <w:pPr>
        <w:spacing w:after="0" w:line="276" w:lineRule="auto"/>
        <w:jc w:val="both"/>
        <w:rPr>
          <w:rFonts w:ascii="Arial Narrow" w:hAnsi="Arial Narrow"/>
          <w:lang w:val="es-ES"/>
        </w:rPr>
      </w:pPr>
      <w:r w:rsidRPr="0091741D">
        <w:rPr>
          <w:rFonts w:ascii="Arial Narrow" w:hAnsi="Arial Narrow"/>
          <w:color w:val="1F1F1F"/>
        </w:rPr>
        <w:t>S</w:t>
      </w:r>
      <w:r w:rsidR="008420B1" w:rsidRPr="0091741D">
        <w:rPr>
          <w:rFonts w:ascii="Arial Narrow" w:hAnsi="Arial Narrow"/>
          <w:color w:val="1F1F1F"/>
        </w:rPr>
        <w:t xml:space="preserve">egún el escenario </w:t>
      </w:r>
      <w:r w:rsidRPr="0091741D">
        <w:rPr>
          <w:rFonts w:ascii="Arial Narrow" w:hAnsi="Arial Narrow"/>
          <w:color w:val="1F1F1F"/>
        </w:rPr>
        <w:t>actual</w:t>
      </w:r>
      <w:r w:rsidR="007022CC">
        <w:rPr>
          <w:rFonts w:ascii="Arial Narrow" w:hAnsi="Arial Narrow"/>
          <w:color w:val="1F1F1F"/>
        </w:rPr>
        <w:t>,</w:t>
      </w:r>
      <w:r w:rsidRPr="0091741D">
        <w:rPr>
          <w:rFonts w:ascii="Arial Narrow" w:hAnsi="Arial Narrow"/>
          <w:color w:val="1F1F1F"/>
        </w:rPr>
        <w:t xml:space="preserve"> se</w:t>
      </w:r>
      <w:r w:rsidR="008420B1" w:rsidRPr="0091741D">
        <w:rPr>
          <w:rFonts w:ascii="Arial Narrow" w:hAnsi="Arial Narrow"/>
          <w:color w:val="1F1F1F"/>
        </w:rPr>
        <w:t xml:space="preserve"> </w:t>
      </w:r>
      <w:r w:rsidRPr="0091741D">
        <w:rPr>
          <w:rFonts w:ascii="Arial Narrow" w:hAnsi="Arial Narrow"/>
          <w:color w:val="1F1F1F"/>
        </w:rPr>
        <w:t>proyecta</w:t>
      </w:r>
      <w:r w:rsidR="008420B1" w:rsidRPr="0091741D">
        <w:rPr>
          <w:rFonts w:ascii="Arial Narrow" w:hAnsi="Arial Narrow"/>
          <w:color w:val="1F1F1F"/>
        </w:rPr>
        <w:t xml:space="preserve"> que el consumo de energía en los edificios aumentará un 50% en 2050 en comparación con los niveles de 2010</w:t>
      </w:r>
      <w:r w:rsidR="00436266" w:rsidRPr="0091741D">
        <w:rPr>
          <w:rFonts w:ascii="Arial Narrow" w:hAnsi="Arial Narrow"/>
          <w:color w:val="1F1F1F"/>
        </w:rPr>
        <w:t xml:space="preserve"> </w:t>
      </w:r>
      <w:r w:rsidR="00436266"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{"citationItems":[{"id":"ITEM-1","itemData":{"DOI":"10.1177/1420326X21993919","ISSN":"14230070","abstract":"This paper aims to investigate the implication of present and future bioclimatic potential of passive heating and cooling design strategies for climate change scenarios of five locations covering all climate zones of India. Weather data for future climate change were developed for A2 (medium-high) scenario of the Intergovernmental Panel on Climate Change (IPCC) for four time slices, namely TMY (Typical Meteorological Year), 2020, 2050 and 2080. A case study residential building was used for calibration and validation of the bioclimatic potential using EnergyPlus simulation. Results show a strong correlation between the annual bioclimatic summer and winter discomfort hours and the corresponding annual cooling and heating energy load for the changing climate scenarios. Results also show an overall increase in annual cooling energy load, over and above the base case, ranging from 18% to 89% among the five cities in 2020; 32% to 132% in 2050 and 58% to 184% in 2080 if residential buildings continue to be operated in the same manner as it is done today without passive strategies. The use of passive strategies may reduce the annual cooling load by about 50%– 60% in residential buildings in future.","author":[{"dropping-particle":"","family":"Kishore","given":"Naveen","non-dropping-particle":"","parse-names":false,"suffix":""}],"container-title":"Indoor and Built Environment","id":"ITEM-1","issue":"2","issued":{"date-parts":[["2022"]]},"page":"329-354","title":"Impact of climate change on future bioclimatic potential and residential building thermal and energy performance in India","type":"article-journal","volume":"31"},"uris":["http://www.mendeley.com/documents/?uuid=4b754655-f6bd-4a95-a95d-991d9c946917"]}],"mendeley":{"formattedCitation":"(Kishore, 2022)","plainTextFormattedCitation":"(Kishore, 2022)","previouslyFormattedCitation":"[11]"},"properties":{"noteIndex":0},"schema":"https://github.com/citation-style-language/schema/raw/master/csl-citation.json"}</w:instrText>
      </w:r>
      <w:r w:rsidR="00436266" w:rsidRPr="0091741D">
        <w:rPr>
          <w:rFonts w:ascii="Arial Narrow" w:hAnsi="Arial Narrow"/>
          <w:color w:val="1F1F1F"/>
        </w:rPr>
        <w:fldChar w:fldCharType="separate"/>
      </w:r>
      <w:r w:rsidR="00430166" w:rsidRPr="00430166">
        <w:rPr>
          <w:rFonts w:ascii="Arial Narrow" w:hAnsi="Arial Narrow"/>
          <w:noProof/>
          <w:color w:val="1F1F1F"/>
        </w:rPr>
        <w:t>(Kishore, 2022)</w:t>
      </w:r>
      <w:r w:rsidR="00436266" w:rsidRPr="0091741D">
        <w:rPr>
          <w:rFonts w:ascii="Arial Narrow" w:hAnsi="Arial Narrow"/>
          <w:color w:val="1F1F1F"/>
        </w:rPr>
        <w:fldChar w:fldCharType="end"/>
      </w:r>
      <w:r w:rsidR="00436266" w:rsidRPr="0091741D">
        <w:rPr>
          <w:rFonts w:ascii="Arial Narrow" w:hAnsi="Arial Narrow"/>
          <w:color w:val="1F1F1F"/>
        </w:rPr>
        <w:t>.</w:t>
      </w:r>
      <w:r w:rsidRPr="0091741D">
        <w:rPr>
          <w:rFonts w:ascii="Arial Narrow" w:hAnsi="Arial Narrow"/>
          <w:color w:val="1F1F1F"/>
        </w:rPr>
        <w:t xml:space="preserve"> </w:t>
      </w:r>
      <w:r w:rsidR="008420B1" w:rsidRPr="0091741D">
        <w:rPr>
          <w:rFonts w:ascii="Arial Narrow" w:hAnsi="Arial Narrow"/>
          <w:color w:val="1F1F1F"/>
        </w:rPr>
        <w:t>Sin embargo, la región latinoamericana es una de las más rezagadas en implementar acciones para reducir la demanda energética de los edificios, no sólo de la energía operacional</w:t>
      </w:r>
      <w:r w:rsidR="007022CC">
        <w:rPr>
          <w:rFonts w:ascii="Arial Narrow" w:hAnsi="Arial Narrow"/>
          <w:color w:val="1F1F1F"/>
        </w:rPr>
        <w:t>,</w:t>
      </w:r>
      <w:r w:rsidR="008420B1" w:rsidRPr="0091741D">
        <w:rPr>
          <w:rFonts w:ascii="Arial Narrow" w:hAnsi="Arial Narrow"/>
          <w:color w:val="1F1F1F"/>
        </w:rPr>
        <w:t xml:space="preserve"> sino de la incorporada</w:t>
      </w:r>
      <w:r w:rsidR="00AC0397" w:rsidRPr="0091741D">
        <w:rPr>
          <w:rFonts w:ascii="Arial Narrow" w:hAnsi="Arial Narrow"/>
          <w:color w:val="1F1F1F"/>
        </w:rPr>
        <w:t xml:space="preserve"> </w:t>
      </w:r>
      <w:r w:rsidR="00AC0397"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{"citationItems":[{"id":"ITEM-1","itemData":{"DOI":"10.1016/j.enbuild.2023.113269","ISSN":"03787788","abstract":"Several Life Cycle Assessment (LCA) tools have been generated seeking to facilitate its application in buildings. However, most of them are focused on Europe or the US, leaving aside the Latin American region. This paper presents the EVAMED (Building Environmental Assessment tool) framework, a new tool developed mainly for Latin America, aimed at non-LCA expert users. It is analyzed how this software addresses the requirements established in the literature for LCA tools in early design phases. A screening LCA of a bioclimatic project is presented as a case study. A validation has been made by comparing the results obtained with those of a commercial software. The difference between both tools does not exceed an average of 40% considering various environmental impact categories. The results show EVAMED covers several of the requirements established for LCA tools for buildings early design stages, like the use of regional and international databases, the BIM (Building Information Modeling)-LCA integration and its versatility during project configuration and results visualization. Bioclimatic strategies achieve a 30% reduction in the carbon footprint of the case study. The use phase has improved its rating in the Mexican housing carbon footprint benchmark, going from E (78.8 kgCO2e/m2-year) to C (54.7 kgCO2e/m2-year).","author":[{"dropping-particle":"","family":"Arvizu-Piña","given":"Víctor Alberto","non-dropping-particle":"","parse-names":false,"suffix":""},{"dropping-particle":"","family":"Armendáriz López","given":"José Francisco","non-dropping-particle":"","parse-names":false,"suffix":""},{"dropping-particle":"","family":"García González","given":"Andrés Alberto","non-dropping-particle":"","parse-names":false,"suffix":""},{"dropping-particle":"","family":"Barrera Alarcón","given":"Itzia Gabriela","non-dropping-particle":"","parse-names":false,"suffix":""}],"container-title":"Energy and Buildings","id":"ITEM-1","issue":"March","issued":{"date-parts":[["2023"]]},"title":"An open access online tool for LCA in building's early design stage in the Latin American context. A screening LCA case study for a bioclimatic building","type":"article-journal","volume":"295"},"uris":["http://www.mendeley.com/documents/?uuid=ba9916be-13a5-4baf-adba-413459788d02"]}],"mendeley":{"formattedCitation":"(Arvizu-Piña et al., 2023)","plainTextFormattedCitation":"(Arvizu-Piña et al., 2023)","previouslyFormattedCitation":"[12]"},"properties":{"noteIndex":0},"schema":"https://github.com/citation-style-language/schema/raw/master/csl-citation.json"}</w:instrText>
      </w:r>
      <w:r w:rsidR="00AC0397" w:rsidRPr="0091741D">
        <w:rPr>
          <w:rFonts w:ascii="Arial Narrow" w:hAnsi="Arial Narrow"/>
          <w:color w:val="1F1F1F"/>
        </w:rPr>
        <w:fldChar w:fldCharType="separate"/>
      </w:r>
      <w:r w:rsidR="00430166" w:rsidRPr="00430166">
        <w:rPr>
          <w:rFonts w:ascii="Arial Narrow" w:hAnsi="Arial Narrow"/>
          <w:noProof/>
          <w:color w:val="1F1F1F"/>
        </w:rPr>
        <w:t>(Arvizu-Piña et al., 2023)</w:t>
      </w:r>
      <w:r w:rsidR="00AC0397" w:rsidRPr="0091741D">
        <w:rPr>
          <w:rFonts w:ascii="Arial Narrow" w:hAnsi="Arial Narrow"/>
          <w:color w:val="1F1F1F"/>
        </w:rPr>
        <w:fldChar w:fldCharType="end"/>
      </w:r>
      <w:r w:rsidR="00AC0397" w:rsidRPr="0091741D">
        <w:rPr>
          <w:rFonts w:ascii="Arial Narrow" w:hAnsi="Arial Narrow"/>
          <w:color w:val="1F1F1F"/>
        </w:rPr>
        <w:t>.</w:t>
      </w:r>
      <w:r w:rsidRPr="0091741D">
        <w:rPr>
          <w:rFonts w:ascii="Arial Narrow" w:hAnsi="Arial Narrow"/>
          <w:color w:val="1F1F1F"/>
        </w:rPr>
        <w:t xml:space="preserve"> </w:t>
      </w:r>
      <w:r w:rsidR="008420B1" w:rsidRPr="0091741D">
        <w:rPr>
          <w:rFonts w:ascii="Arial Narrow" w:hAnsi="Arial Narrow"/>
          <w:color w:val="1F1F1F"/>
          <w:lang w:val="es-ES"/>
        </w:rPr>
        <w:t>Colombia estableció diversas metas del sector de la construcción, como el aumento de la eficiencia energética en las edificaciones</w:t>
      </w:r>
      <w:r w:rsidR="00276A80" w:rsidRPr="0091741D">
        <w:rPr>
          <w:rFonts w:ascii="Arial Narrow" w:hAnsi="Arial Narrow"/>
          <w:color w:val="FF0000"/>
          <w:lang w:val="es-ES"/>
        </w:rPr>
        <w:t xml:space="preserve"> </w:t>
      </w:r>
      <w:r w:rsidR="00276A80" w:rsidRPr="0091741D">
        <w:rPr>
          <w:rFonts w:ascii="Arial Narrow" w:hAnsi="Arial Narrow"/>
          <w:lang w:val="es-ES"/>
        </w:rPr>
        <w:fldChar w:fldCharType="begin" w:fldLock="1"/>
      </w:r>
      <w:r w:rsidR="00430166">
        <w:rPr>
          <w:rFonts w:ascii="Arial Narrow" w:hAnsi="Arial Narrow"/>
          <w:lang w:val="es-ES"/>
        </w:rPr>
        <w:instrText>ADDIN CSL_CITATION {"citationItems":[{"id":"ITEM-1","itemData":{"DOI":"10.1016/j.jclepro.2021.128041","ISSN":"09596526","abstract":"Buildings contribute to about 40% of direct and indirect greenhouse gas emissions and more than a third of energy consumption globally. Sustainable building standards and efficiency standards are two measures to reduce such emissions and energy consumption in buildings. While better standards improve the sustainability of new buildings, the impact of these actions depends on the ability to improve the existing building stock. Understanding the dynamics of adopting efficiency and sustainable building measures is essential for setting policy targets and mechanisms. This paper proposes a system dynamics model for assessing the energy savings potential from adopting sustainable building and energy efficiency measurements in buildings in systems with incomplete and uncertain information, using prospective scenarios. The model combines a dynamic diffusion model with an aggregate model for the building stock. The model is calibrated for estimating energy savings in the residential and commercial building stock of the four main metropolitan areas of Colombia: Bogotá, Medellín, Cali, and Barranquilla. Simulation results show that the maximum energy savings potential is approximately 12% but could be below 8% if rebound effects are considered. Results show that energy savings are limited if there are no policies for existing old buildings.","author":[{"dropping-particle":"","family":"Arias-Gaviria","given":"Jessica","non-dropping-particle":"","parse-names":false,"suffix":""},{"dropping-particle":"","family":"Valencia","given":"Verónica","non-dropping-particle":"","parse-names":false,"suffix":""},{"dropping-particle":"","family":"Olaya","given":"Yris","non-dropping-particle":"","parse-names":false,"suffix":""},{"dropping-particle":"","family":"Arango-Aramburo","given":"Santiago","non-dropping-particle":"","parse-names":false,"suffix":""}],"container-title":"Journal of Cleaner Production","id":"ITEM-1","issue":"65","issued":{"date-parts":[["2021"]]},"title":"Simulating the effect of sustainable buildings and energy efficiency standards on electricity consumption in four cities in Colombia: A system dynamics approach","type":"article-journal","volume":"314"},"uris":["http://www.mendeley.com/documents/?uuid=28b055ad-97e2-4343-bbdf-d36e971a12b0"]}],"mendeley":{"formattedCitation":"(Arias-Gaviria et al., 2021)","plainTextFormattedCitation":"(Arias-Gaviria et al., 2021)","previouslyFormattedCitation":"[1]"},"properties":{"noteIndex":0},"schema":"https://github.com/citation-style-language/schema/raw/master/csl-citation.json"}</w:instrText>
      </w:r>
      <w:r w:rsidR="00276A80" w:rsidRPr="0091741D">
        <w:rPr>
          <w:rFonts w:ascii="Arial Narrow" w:hAnsi="Arial Narrow"/>
          <w:lang w:val="es-ES"/>
        </w:rPr>
        <w:fldChar w:fldCharType="separate"/>
      </w:r>
      <w:r w:rsidR="00430166" w:rsidRPr="00430166">
        <w:rPr>
          <w:rFonts w:ascii="Arial Narrow" w:hAnsi="Arial Narrow"/>
          <w:noProof/>
          <w:lang w:val="es-ES"/>
        </w:rPr>
        <w:t>(Arias-Gaviria et al., 2021)</w:t>
      </w:r>
      <w:r w:rsidR="00276A80" w:rsidRPr="0091741D">
        <w:rPr>
          <w:rFonts w:ascii="Arial Narrow" w:hAnsi="Arial Narrow"/>
          <w:lang w:val="es-ES"/>
        </w:rPr>
        <w:fldChar w:fldCharType="end"/>
      </w:r>
      <w:r w:rsidR="00152E57" w:rsidRPr="0091741D">
        <w:rPr>
          <w:rFonts w:ascii="Arial Narrow" w:hAnsi="Arial Narrow"/>
          <w:lang w:val="es-ES"/>
        </w:rPr>
        <w:t>.</w:t>
      </w:r>
      <w:r w:rsidRPr="0091741D">
        <w:rPr>
          <w:rFonts w:ascii="Arial Narrow" w:hAnsi="Arial Narrow"/>
          <w:lang w:val="es-ES"/>
        </w:rPr>
        <w:t xml:space="preserve"> </w:t>
      </w:r>
    </w:p>
    <w:p w:rsidR="00573375" w:rsidRPr="0091741D" w:rsidRDefault="00573375" w:rsidP="002D0878">
      <w:pPr>
        <w:spacing w:after="0" w:line="276" w:lineRule="auto"/>
        <w:jc w:val="both"/>
        <w:rPr>
          <w:rFonts w:ascii="Arial Narrow" w:hAnsi="Arial Narrow"/>
          <w:lang w:val="es-ES"/>
        </w:rPr>
      </w:pPr>
    </w:p>
    <w:p w:rsidR="003022DF" w:rsidRDefault="001F5607" w:rsidP="002D0878">
      <w:pPr>
        <w:spacing w:after="0" w:line="276" w:lineRule="auto"/>
        <w:jc w:val="both"/>
        <w:rPr>
          <w:rFonts w:ascii="Arial Narrow" w:hAnsi="Arial Narrow"/>
          <w:color w:val="1F1F1F"/>
          <w:lang w:val="es-ES"/>
        </w:rPr>
      </w:pPr>
      <w:r w:rsidRPr="0091741D">
        <w:rPr>
          <w:rFonts w:ascii="Arial Narrow" w:hAnsi="Arial Narrow"/>
          <w:color w:val="1F1F1F"/>
        </w:rPr>
        <w:t xml:space="preserve">Es en esta etapa es donde se toman decisiones importantes respecto a elementos tales como logística, tecnología, sistemas constructivos y materiales, aspectos que influirán definitivamente en el mejoramiento de los procesos constructivos. </w:t>
      </w:r>
      <w:r w:rsidR="008420B1" w:rsidRPr="0091741D">
        <w:rPr>
          <w:rFonts w:ascii="Arial Narrow" w:hAnsi="Arial Narrow"/>
          <w:color w:val="1F1F1F"/>
          <w:lang w:val="es-ES"/>
        </w:rPr>
        <w:t>Las estrategias de diseño bioclimático se encuentran entre las principales soluciones a la dependencia de los combustibles fósiles y promover la transición a la energía limpia</w:t>
      </w:r>
      <w:r w:rsidR="006F0D05" w:rsidRPr="0091741D">
        <w:rPr>
          <w:rFonts w:ascii="Arial Narrow" w:hAnsi="Arial Narrow"/>
          <w:color w:val="1F1F1F"/>
          <w:lang w:val="es-ES"/>
        </w:rPr>
        <w:t xml:space="preserve"> </w:t>
      </w:r>
      <w:r w:rsidR="006F0D05" w:rsidRPr="0091741D">
        <w:rPr>
          <w:rFonts w:ascii="Arial Narrow" w:hAnsi="Arial Narrow"/>
          <w:color w:val="1F1F1F"/>
          <w:lang w:val="es-ES"/>
        </w:rPr>
        <w:fldChar w:fldCharType="begin" w:fldLock="1"/>
      </w:r>
      <w:r w:rsidR="00430166">
        <w:rPr>
          <w:rFonts w:ascii="Arial Narrow" w:hAnsi="Arial Narrow"/>
          <w:color w:val="1F1F1F"/>
          <w:lang w:val="es-ES"/>
        </w:rPr>
        <w:instrText>ADDIN CSL_CITATION {"citationItems":[{"id":"ITEM-1","itemData":{"DOI":"10.1016/j.rser.2023.113295","ISSN":"18790690","abstract":"Bioclimatic design strategies have proven their efficiency in improving the sustainability of buildings. However, their economic benefits, regarded as the main incentive for building owners to incorporate such strategies into buildings, are still unclear since they depend on several factors including the countries' energy accessibility level. This study explores the role of energy affordability level and climatic conditions in incorporating bioclimatic design strategies. Therefore, the effectiveness of integrating seven bioclimatic approaches into a common residential building in six different locations worldwide with disparate climatic conditions, gross domestic products and electricity prices is assessed. The outcomes of each strategy are generated using EnergyPlus software and evaluated based on key energy, economic and environmental metrics. The findings reveal that, for most bioclimatic design strategies, the highest economic profits are achieved in regions where the electricity price to gross domestic product (EPGDP) ratio is high (i.e., where energy is unaffordable). Indeed, the shortest discounted payback period is obtained by using suitable glazing size in hot/moderate climates with higher EPGDP ratio (0.04/0.13 years) and thermal insulation in cold ones (1.17 years). Moreover, the greatest net present values are acquired by integrating thermal insulation in hot/cold zones with up to k$14.04/k$76.73, and window opening design in moderate climates (k$7.32). Additionally, the investigated strategies exhibit significant energy savings and carbon emissions mitigation. This study confirms the benefits of bioclimatic design; nevertheless, awareness campaigns and incentive programs are also essential in motivating households to integrate sustainable strategies into their buildings, especially in regions where energy is affordable.","author":[{"dropping-particle":"","family":"Elaouzy","given":"Youssef","non-dropping-particle":"","parse-names":false,"suffix":""},{"dropping-particle":"","family":"Fadar","given":"Abdellah","non-dropping-particle":"El","parse-names":false,"suffix":""}],"container-title":"Renewable and Sustainable Energy Reviews","id":"ITEM-1","issue":"March","issued":{"date-parts":[["2023"]]},"page":"113295","publisher":"Elsevier Ltd","title":"Sustainability of building-integrated bioclimatic design strategies depending on energy affordability","type":"article-journal","volume":"179"},"uris":["http://www.mendeley.com/documents/?uuid=bd11c471-c6eb-49d0-8652-f25960970c49"]}],"mendeley":{"formattedCitation":"(Elaouzy &amp; El Fadar, 2023)","plainTextFormattedCitation":"(Elaouzy &amp; El Fadar, 2023)","previouslyFormattedCitation":"[4]"},"properties":{"noteIndex":0},"schema":"https://github.com/citation-style-language/schema/raw/master/csl-citation.json"}</w:instrText>
      </w:r>
      <w:r w:rsidR="006F0D05" w:rsidRPr="0091741D">
        <w:rPr>
          <w:rFonts w:ascii="Arial Narrow" w:hAnsi="Arial Narrow"/>
          <w:color w:val="1F1F1F"/>
          <w:lang w:val="es-ES"/>
        </w:rPr>
        <w:fldChar w:fldCharType="separate"/>
      </w:r>
      <w:r w:rsidR="00430166" w:rsidRPr="00430166">
        <w:rPr>
          <w:rFonts w:ascii="Arial Narrow" w:hAnsi="Arial Narrow"/>
          <w:noProof/>
          <w:color w:val="1F1F1F"/>
          <w:lang w:val="es-ES"/>
        </w:rPr>
        <w:t>(Elaouzy &amp; El Fadar, 2023)</w:t>
      </w:r>
      <w:r w:rsidR="006F0D05" w:rsidRPr="0091741D">
        <w:rPr>
          <w:rFonts w:ascii="Arial Narrow" w:hAnsi="Arial Narrow"/>
          <w:color w:val="1F1F1F"/>
          <w:lang w:val="es-ES"/>
        </w:rPr>
        <w:fldChar w:fldCharType="end"/>
      </w:r>
      <w:r w:rsidR="0080329B" w:rsidRPr="0091741D">
        <w:rPr>
          <w:rFonts w:ascii="Arial Narrow" w:hAnsi="Arial Narrow"/>
          <w:color w:val="1F1F1F"/>
          <w:lang w:val="es-ES"/>
        </w:rPr>
        <w:t>, por</w:t>
      </w:r>
      <w:r w:rsidR="008420B1" w:rsidRPr="0091741D">
        <w:rPr>
          <w:rFonts w:ascii="Arial Narrow" w:hAnsi="Arial Narrow"/>
          <w:color w:val="1F1F1F"/>
        </w:rPr>
        <w:t xml:space="preserve"> lo tanto, el diseño bioclimático representa uno de los enfoques más efectivos para maximizar la eficiencia energética de los edificios</w:t>
      </w:r>
      <w:r w:rsidR="001D178A" w:rsidRPr="0091741D">
        <w:rPr>
          <w:rFonts w:ascii="Arial Narrow" w:hAnsi="Arial Narrow"/>
          <w:color w:val="1F1F1F"/>
        </w:rPr>
        <w:t xml:space="preserve"> </w:t>
      </w:r>
      <w:r w:rsidR="001D178A"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{"citationItems":[{"id":"ITEM-1","itemData":{"DOI":"10.1016/j.enbuild.2023.113269","ISSN":"03787788","abstract":"Several Life Cycle Assessment (LCA) tools have been generated seeking to facilitate its application in buildings. However, most of them are focused on Europe or the US, leaving aside the Latin American region. This paper presents the EVAMED (Building Environmental Assessment tool) framework, a new tool developed mainly for Latin America, aimed at non-LCA expert users. It is analyzed how this software addresses the requirements established in the literature for LCA tools in early design phases. A screening LCA of a bioclimatic project is presented as a case study. A validation has been made by comparing the results obtained with those of a commercial software. The difference between both tools does not exceed an average of 40% considering various environmental impact categories. The results show EVAMED covers several of the requirements established for LCA tools for buildings early design stages, like the use of regional and international databases, the BIM (Building Information Modeling)-LCA integration and its versatility during project configuration and results visualization. Bioclimatic strategies achieve a 30% reduction in the carbon footprint of the case study. The use phase has improved its rating in the Mexican housing carbon footprint benchmark, going from E (78.8 kgCO2e/m2-year) to C (54.7 kgCO2e/m2-year).","author":[{"dropping-particle":"","family":"Arvizu-Piña","given":"Víctor Alberto","non-dropping-particle":"","parse-names":false,"suffix":""},{"dropping-particle":"","family":"Armendáriz López","given":"José Francisco","non-dropping-particle":"","parse-names":false,"suffix":""},{"dropping-particle":"","family":"García González","given":"Andrés Alberto","non-dropping-particle":"","parse-names":false,"suffix":""},{"dropping-particle":"","family":"Barrera Alarcón","given":"Itzia Gabriela","non-dropping-particle":"","parse-names":false,"suffix":""}],"container-title":"Energy and Buildings","id":"ITEM-1","issue":"March","issued":{"date-parts":[["2023"]]},"title":"An open access online tool for LCA in building's early design stage in the Latin American context. A screening LCA case study for a bioclimatic building","type":"article-journal","volume":"295"},"uris":["http://www.mendeley.com/documents/?uuid=ba9916be-13a5-4baf-adba-413459788d02"]}],"mendeley":{"formattedCitation":"(Arvizu-Piña et al., 2023)","plainTextFormattedCitation":"(Arvizu-Piña et al., 2023)","previouslyFormattedCitation":"[12]"},"properties":{"noteIndex":0},"schema":"https://github.com/citation-style-language/schema/raw/master/csl-citation.json"}</w:instrText>
      </w:r>
      <w:r w:rsidR="001D178A" w:rsidRPr="0091741D">
        <w:rPr>
          <w:rFonts w:ascii="Arial Narrow" w:hAnsi="Arial Narrow"/>
          <w:color w:val="1F1F1F"/>
        </w:rPr>
        <w:fldChar w:fldCharType="separate"/>
      </w:r>
      <w:r w:rsidR="00430166" w:rsidRPr="00430166">
        <w:rPr>
          <w:rFonts w:ascii="Arial Narrow" w:hAnsi="Arial Narrow"/>
          <w:noProof/>
          <w:color w:val="1F1F1F"/>
        </w:rPr>
        <w:t>(Arvizu-Piña et al., 2023)</w:t>
      </w:r>
      <w:r w:rsidR="001D178A" w:rsidRPr="0091741D">
        <w:rPr>
          <w:rFonts w:ascii="Arial Narrow" w:hAnsi="Arial Narrow"/>
          <w:color w:val="1F1F1F"/>
        </w:rPr>
        <w:fldChar w:fldCharType="end"/>
      </w:r>
      <w:r w:rsidR="001D178A" w:rsidRPr="0091741D">
        <w:rPr>
          <w:rFonts w:ascii="Arial Narrow" w:hAnsi="Arial Narrow"/>
          <w:color w:val="1F1F1F"/>
        </w:rPr>
        <w:t>.</w:t>
      </w:r>
      <w:r w:rsidR="0080329B" w:rsidRPr="0091741D">
        <w:rPr>
          <w:rFonts w:ascii="Arial Narrow" w:hAnsi="Arial Narrow"/>
          <w:color w:val="1F1F1F"/>
        </w:rPr>
        <w:t xml:space="preserve"> </w:t>
      </w:r>
      <w:r w:rsidR="008420B1" w:rsidRPr="0091741D">
        <w:rPr>
          <w:rFonts w:ascii="Arial Narrow" w:hAnsi="Arial Narrow"/>
          <w:color w:val="1F1F1F"/>
        </w:rPr>
        <w:t xml:space="preserve">La creciente demanda de estructuras energéticamente eficientes ha dado lugar a un aumento significativo de las investigaciones académicas relacionadas con la aplicación </w:t>
      </w:r>
      <w:r w:rsidR="008420B1" w:rsidRPr="0091741D">
        <w:rPr>
          <w:rFonts w:ascii="Arial Narrow" w:hAnsi="Arial Narrow"/>
          <w:color w:val="1F1F1F"/>
          <w:lang w:val="es-ES"/>
        </w:rPr>
        <w:t>de la construcción bioclimática</w:t>
      </w:r>
      <w:r w:rsidR="001D178A" w:rsidRPr="0091741D">
        <w:rPr>
          <w:rFonts w:ascii="Arial Narrow" w:hAnsi="Arial Narrow"/>
          <w:color w:val="1F1F1F"/>
          <w:lang w:val="es-ES"/>
        </w:rPr>
        <w:t xml:space="preserve"> </w:t>
      </w:r>
      <w:r w:rsidR="001D178A" w:rsidRPr="0091741D">
        <w:rPr>
          <w:rFonts w:ascii="Arial Narrow" w:hAnsi="Arial Narrow"/>
          <w:color w:val="1F1F1F"/>
          <w:lang w:val="es-ES"/>
        </w:rPr>
        <w:fldChar w:fldCharType="begin" w:fldLock="1"/>
      </w:r>
      <w:r w:rsidR="00430166">
        <w:rPr>
          <w:rFonts w:ascii="Arial Narrow" w:hAnsi="Arial Narrow"/>
          <w:color w:val="1F1F1F"/>
          <w:lang w:val="es-ES"/>
        </w:rPr>
        <w:instrText>ADDIN CSL_CITATION {"citationItems":[{"id":"ITEM-1","itemData":{"DOI":"10.3390/buildings13092177","ISSN":"20755309","abstract":"The present study offers a thorough scientometric analysis of the practice of bioclimatic retrofitting in commercial buildings, which is considered a crucial approach for mitigating energy consumption and addressing the challenges posed by climate change. Since Scopus offers advanced tools for literature search and analysis, its database was used to acquire bibliographic data for nearly 400 published papers using a bibliometric search, a scientometric methodology, and an in-depth qualitative analysis. The scientometric procedure utilizes various quantitative dimensions, such as the number of intermediate citations, occurrences, average publication year, and general connection power. A retrospective examination of research publication patterns spanning 2008 to May 2022 has unveiled an upward trajectory in scholarly investigations pertaining to commercial buildings during this 15-year period. Nevertheless, research on the topics of bioclimatic design, retrofitting strategies, and green building practices in the context of commercial buildings exhibits a more gradual incline, displaying an almost linear trend between the years 2016 and 2020. Additionally, the study provides qualitative perspectives on the research environment. The paper delineates various focal points of research within the field, encompassing thermal comfort in the context of energy management and climate control, ventilation systems, sustainable development as it pertains to architectural designs and green buildings, retrofitting strategies in commercial buildings to enhance energy efficiency, the interplay between carbon dioxide levels and energy resources, the utilization of solar energy, the relationship between energy conservation and atmospheric temperature, and the application of building energy simulation techniques.","author":[{"dropping-particle":"","family":"Heidari","given":"Ali","non-dropping-particle":"","parse-names":false,"suffix":""},{"dropping-particle":"","family":"Olivieri","given":"Francesca","non-dropping-particle":"","parse-names":false,"suffix":""}],"container-title":"Buildings","id":"ITEM-1","issue":"9","issued":{"date-parts":[["2023"]]},"title":"Qualitative and Quantitative Scientometric Analysis of Bioclimatic Retrofitting in Commercial Buildings from 2008 to 2022","type":"article-journal","volume":"13"},"uris":["http://www.mendeley.com/documents/?uuid=c3ae2dc9-c03e-4d38-ad49-3cc0ae796f3b"]}],"mendeley":{"formattedCitation":"(Heidari &amp; Olivieri, 2023)","plainTextFormattedCitation":"(Heidari &amp; Olivieri, 2023)","previouslyFormattedCitation":"[13]"},"properties":{"noteIndex":0},"schema":"https://github.com/citation-style-language/schema/raw/master/csl-citation.json"}</w:instrText>
      </w:r>
      <w:r w:rsidR="001D178A" w:rsidRPr="0091741D">
        <w:rPr>
          <w:rFonts w:ascii="Arial Narrow" w:hAnsi="Arial Narrow"/>
          <w:color w:val="1F1F1F"/>
          <w:lang w:val="es-ES"/>
        </w:rPr>
        <w:fldChar w:fldCharType="separate"/>
      </w:r>
      <w:r w:rsidR="00430166" w:rsidRPr="00430166">
        <w:rPr>
          <w:rFonts w:ascii="Arial Narrow" w:hAnsi="Arial Narrow"/>
          <w:noProof/>
          <w:color w:val="1F1F1F"/>
          <w:lang w:val="es-ES"/>
        </w:rPr>
        <w:t>(Heidari &amp; Olivieri, 2023)</w:t>
      </w:r>
      <w:r w:rsidR="001D178A" w:rsidRPr="0091741D">
        <w:rPr>
          <w:rFonts w:ascii="Arial Narrow" w:hAnsi="Arial Narrow"/>
          <w:color w:val="1F1F1F"/>
          <w:lang w:val="es-ES"/>
        </w:rPr>
        <w:fldChar w:fldCharType="end"/>
      </w:r>
      <w:r w:rsidR="0080329B" w:rsidRPr="0091741D">
        <w:rPr>
          <w:rFonts w:ascii="Arial Narrow" w:hAnsi="Arial Narrow"/>
          <w:color w:val="1F1F1F"/>
          <w:lang w:val="es-ES"/>
        </w:rPr>
        <w:t xml:space="preserve">. </w:t>
      </w:r>
    </w:p>
    <w:p w:rsidR="00573375" w:rsidRPr="0091741D" w:rsidRDefault="00573375" w:rsidP="002D0878">
      <w:pPr>
        <w:spacing w:after="0" w:line="276" w:lineRule="auto"/>
        <w:jc w:val="both"/>
        <w:rPr>
          <w:rFonts w:ascii="Arial Narrow" w:hAnsi="Arial Narrow"/>
          <w:color w:val="1F1F1F"/>
          <w:lang w:val="es-ES"/>
        </w:rPr>
      </w:pPr>
    </w:p>
    <w:p w:rsidR="005C6EB5" w:rsidRDefault="003022DF" w:rsidP="002D0878">
      <w:pPr>
        <w:spacing w:after="0" w:line="276" w:lineRule="auto"/>
        <w:jc w:val="both"/>
        <w:rPr>
          <w:rFonts w:ascii="Arial Narrow" w:hAnsi="Arial Narrow"/>
          <w:color w:val="1F1F1F"/>
          <w:lang w:val="es-ES"/>
        </w:rPr>
      </w:pPr>
      <w:r w:rsidRPr="0091741D">
        <w:rPr>
          <w:rFonts w:ascii="Arial Narrow" w:hAnsi="Arial Narrow"/>
          <w:color w:val="1F1F1F"/>
          <w:lang w:val="es-ES"/>
        </w:rPr>
        <w:t xml:space="preserve">El diseño bioclimático utiliza los sistemas pasivos </w:t>
      </w:r>
      <w:r w:rsidRPr="0091741D">
        <w:rPr>
          <w:rFonts w:ascii="Arial Narrow" w:hAnsi="Arial Narrow"/>
          <w:color w:val="1F1F1F"/>
          <w:lang w:val="es-ES"/>
        </w:rPr>
        <w:fldChar w:fldCharType="begin" w:fldLock="1"/>
      </w:r>
      <w:r w:rsidR="00430166">
        <w:rPr>
          <w:rFonts w:ascii="Arial Narrow" w:hAnsi="Arial Narrow"/>
          <w:color w:val="1F1F1F"/>
          <w:lang w:val="es-ES"/>
        </w:rPr>
        <w:instrText>ADDIN CSL_CITATION {"citationItems":[{"id":"ITEM-1","itemData":{"DOI":"10.1007/978-3-319-31967-4_8","ISBN":"978-3-319-31967-4","abstract":"This chapter reviews passive design strategies and the benefits of using such strategies not only in the building design but also related to the urban context and human factors, which would be linked to urban sustainable design, policies and strategies. The key to designing a passive building is by taking advantage of the local climate (micro-climate) and therefore, climate characteristics and classification can help with identifying approaches as early as site planning and analysis. Therefore, climate and comfort are the two fundamental measures in passive design that require attention. Passive design is a major part of environmental design, and approaches utilising several techniques and strategies that can be employed to the buildings in all types of climates around the world such as orientation, ventilation, shading devices, thermal mass, insulation, daylighting and so on. These techniques and strategies can also be supported by various other parameters such as using technologies (passive and/or active) and customisable controls as well as enhanced by patterns of biophilic design for improving health and well-being in the built environment. There are also passive solar technologies including direct and indirect solar gains for space heating, solar water heating systems, solar cookers, use of thermal mass and phase-change materials for slowing indoor air temperature swings, solar chimney for enhancing natural ventilation, and earth sheltering that can be considered as part of the actual design. Today, passive design strategies can be easily evaluated with the use of either simple or more sophisticated Building Performance Simulation (BPS) tools such as Ecotect, IES VE, etc.","author":[{"dropping-particle":"","family":"Altan","given":"Hasim","non-dropping-particle":"","parse-names":false,"suffix":""},{"dropping-particle":"","family":"Hajibandeh","given":"Mona","non-dropping-particle":"","parse-names":false,"suffix":""},{"dropping-particle":"","family":"Tabet Aoul","given":"Kheira Anissa","non-dropping-particle":"","parse-names":false,"suffix":""},{"dropping-particle":"","family":"Deep","given":"Akash","non-dropping-particle":"","parse-names":false,"suffix":""}],"container-title":"ZEMCH: Toward the Delivery of Zero Energy Mass Custom Homes","editor":[{"dropping-particle":"","family":"Noguchi","given":"Masa","non-dropping-particle":"","parse-names":false,"suffix":""}],"id":"ITEM-1","issued":{"date-parts":[["2016"]]},"page":"209-236","publisher":"Springer International Publishing","publisher-place":"Cham","title":"Passive Design","type":"chapter"},"uris":["http://www.mendeley.com/documents/?uuid=88f8703e-9597-4ba9-9d0b-ef63bba42d1d"]},{"id":"ITEM-2","itemData":{"DOI":"10.1051/e3sconf/202019702006","ISSN":"22671242","abstract":"The increasing concern expressed by building designers in Panama, due to new building-energy regulations, regarding sustainable development goals and energy efficiency, is leading architects to reanalyse their design strategies and evaluate the vernacular architecture. The main implications of the hot-humid climate characteristics stipulate that the need for cooling of indoor environments drives buildings' design and settlements. This work aims to assess the use of bioclimatic architecture strategies in three existing building typologies design in Panama, in terms of thermal comfort performance. The approach adopted here is to compare and analyse the vernacular architecture with current architecture. Besides, to evaluate bioclimatic architecture strategies based on recent investigations and the guidelines proposed by Givony, Olgyay, among others. A numerical assessment was performed on the dynamic simulation software DesignBuilder, where the building's passive strategies are evaluated in terms of operative temperature, relative humidity (rH), PMV, PPD, and discomfort hours (DH). All three houses, the HVA, HCA, and HRES were tested in three different locations within Panama City. Results showed that the strategies in HVA perform best for reducing rH levels, but the HRES performs best in overall thermal comfort performance, apart yet from the high rH levels encountered.","author":[{"dropping-particle":"","family":"Chen Austin","given":"Miguel","non-dropping-particle":"","parse-names":false,"suffix":""},{"dropping-particle":"","family":"Castillo","given":"Milvia","non-dropping-particle":"","parse-names":false,"suffix":""},{"dropping-particle":"","family":"Mendes Da Silva","given":"Ángela","non-dropping-particle":"De","parse-names":false,"suffix":""},{"dropping-particle":"","family":"Mora","given":"Dafni","non-dropping-particle":"","parse-names":false,"suffix":""}],"container-title":"E3S Web of Conferences","id":"ITEM-2","issued":{"date-parts":[["2020"]]},"page":"1-10","title":"Numerical Assessment of Bioclimatic Architecture Strategies for Buildings Design in Tropical Climates: A Case of Study in Panama","type":"article-journal","volume":"197"},"uris":["http://www.mendeley.com/documents/?uuid=6240279a-2325-4a06-931a-2904bad10817"]}],"mendeley":{"formattedCitation":"(Altan et al., 2016; Chen Austin et al., 2020)","plainTextFormattedCitation":"(Altan et al., 2016; Chen Austin et al., 2020)","previouslyFormattedCitation":"[17], [18]"},"properties":{"noteIndex":0},"schema":"https://github.com/citation-style-language/schema/raw/master/csl-citation.json"}</w:instrText>
      </w:r>
      <w:r w:rsidRPr="0091741D">
        <w:rPr>
          <w:rFonts w:ascii="Arial Narrow" w:hAnsi="Arial Narrow"/>
          <w:color w:val="1F1F1F"/>
          <w:lang w:val="es-ES"/>
        </w:rPr>
        <w:fldChar w:fldCharType="separate"/>
      </w:r>
      <w:r w:rsidR="00430166" w:rsidRPr="00430166">
        <w:rPr>
          <w:rFonts w:ascii="Arial Narrow" w:hAnsi="Arial Narrow"/>
          <w:noProof/>
          <w:color w:val="1F1F1F"/>
          <w:lang w:val="es-ES"/>
        </w:rPr>
        <w:t>(Altan et al., 2016; Chen Austin et al., 2020)</w:t>
      </w:r>
      <w:r w:rsidRPr="0091741D">
        <w:rPr>
          <w:rFonts w:ascii="Arial Narrow" w:hAnsi="Arial Narrow"/>
          <w:color w:val="1F1F1F"/>
          <w:lang w:val="es-ES"/>
        </w:rPr>
        <w:fldChar w:fldCharType="end"/>
      </w:r>
      <w:r w:rsidRPr="0091741D">
        <w:rPr>
          <w:rFonts w:ascii="Arial Narrow" w:hAnsi="Arial Narrow"/>
          <w:color w:val="1F1F1F"/>
          <w:lang w:val="es-ES"/>
        </w:rPr>
        <w:t xml:space="preserve">, los </w:t>
      </w:r>
      <w:r w:rsidR="00A56E38">
        <w:rPr>
          <w:rFonts w:ascii="Arial Narrow" w:hAnsi="Arial Narrow"/>
          <w:color w:val="1F1F1F"/>
          <w:lang w:val="es-ES"/>
        </w:rPr>
        <w:t>cuales incluyen</w:t>
      </w:r>
      <w:r w:rsidRPr="0091741D">
        <w:rPr>
          <w:rFonts w:ascii="Arial Narrow" w:hAnsi="Arial Narrow"/>
          <w:color w:val="1F1F1F"/>
          <w:lang w:val="es-ES"/>
        </w:rPr>
        <w:t>: la orientación, forma y geometría del edificio, protecci</w:t>
      </w:r>
      <w:r w:rsidR="00A56E38">
        <w:rPr>
          <w:rFonts w:ascii="Arial Narrow" w:hAnsi="Arial Narrow"/>
          <w:color w:val="1F1F1F"/>
          <w:lang w:val="es-ES"/>
        </w:rPr>
        <w:t>ones</w:t>
      </w:r>
      <w:r w:rsidRPr="0091741D">
        <w:rPr>
          <w:rFonts w:ascii="Arial Narrow" w:hAnsi="Arial Narrow"/>
          <w:color w:val="1F1F1F"/>
          <w:lang w:val="es-ES"/>
        </w:rPr>
        <w:t xml:space="preserve"> solar</w:t>
      </w:r>
      <w:r w:rsidR="00A56E38">
        <w:rPr>
          <w:rFonts w:ascii="Arial Narrow" w:hAnsi="Arial Narrow"/>
          <w:color w:val="1F1F1F"/>
          <w:lang w:val="es-ES"/>
        </w:rPr>
        <w:t>es</w:t>
      </w:r>
      <w:r w:rsidRPr="0091741D">
        <w:rPr>
          <w:rFonts w:ascii="Arial Narrow" w:hAnsi="Arial Narrow"/>
          <w:color w:val="1F1F1F"/>
          <w:lang w:val="es-ES"/>
        </w:rPr>
        <w:t xml:space="preserve">, ventilación natural, aberturas de la edificación, aislamiento de </w:t>
      </w:r>
      <w:r w:rsidR="00A56E38">
        <w:rPr>
          <w:rFonts w:ascii="Arial Narrow" w:hAnsi="Arial Narrow"/>
          <w:color w:val="1F1F1F"/>
          <w:lang w:val="es-ES"/>
        </w:rPr>
        <w:t xml:space="preserve">los </w:t>
      </w:r>
      <w:r w:rsidR="002A7A7C" w:rsidRPr="0091741D">
        <w:rPr>
          <w:rFonts w:ascii="Arial Narrow" w:hAnsi="Arial Narrow"/>
          <w:color w:val="1F1F1F"/>
          <w:lang w:val="es-ES"/>
        </w:rPr>
        <w:t>material</w:t>
      </w:r>
      <w:r w:rsidR="002A7A7C">
        <w:rPr>
          <w:rFonts w:ascii="Arial Narrow" w:hAnsi="Arial Narrow"/>
          <w:color w:val="1F1F1F"/>
          <w:lang w:val="es-ES"/>
        </w:rPr>
        <w:t>es</w:t>
      </w:r>
      <w:r w:rsidR="002A7A7C" w:rsidRPr="0091741D">
        <w:rPr>
          <w:rFonts w:ascii="Arial Narrow" w:hAnsi="Arial Narrow"/>
          <w:color w:val="1F1F1F"/>
          <w:lang w:val="es-ES"/>
        </w:rPr>
        <w:t>,</w:t>
      </w:r>
      <w:r w:rsidR="002A7A7C">
        <w:rPr>
          <w:rFonts w:ascii="Arial Narrow" w:hAnsi="Arial Narrow"/>
          <w:color w:val="1F1F1F"/>
          <w:lang w:val="es-ES"/>
        </w:rPr>
        <w:t xml:space="preserve"> entre</w:t>
      </w:r>
      <w:r w:rsidR="00A56E38">
        <w:rPr>
          <w:rFonts w:ascii="Arial Narrow" w:hAnsi="Arial Narrow"/>
          <w:color w:val="1F1F1F"/>
          <w:lang w:val="es-ES"/>
        </w:rPr>
        <w:t xml:space="preserve"> otros </w:t>
      </w:r>
      <w:r w:rsidRPr="0091741D">
        <w:rPr>
          <w:rFonts w:ascii="Arial Narrow" w:hAnsi="Arial Narrow"/>
          <w:color w:val="1F1F1F"/>
          <w:lang w:val="es-ES"/>
        </w:rPr>
        <w:fldChar w:fldCharType="begin" w:fldLock="1"/>
      </w:r>
      <w:r w:rsidR="00430166">
        <w:rPr>
          <w:rFonts w:ascii="Arial Narrow" w:hAnsi="Arial Narrow"/>
          <w:color w:val="1F1F1F"/>
          <w:lang w:val="es-ES"/>
        </w:rPr>
        <w:instrText>ADDIN CSL_CITATION {"citationItems":[{"id":"ITEM-1","itemData":{"DOI":"10.1016/j.jclepro.2017.01.063","ISSN":"09596526","abstract":"Given high energy demands of buildings, developing countries need to be sensitive to the critical role of building energy efficiency in the fight against climate change. Especially in tropical countries where the thermal flow is strong and the lack of electricity distribution networks is a sad reality. The consolidation of this energy efficiency requires the preservation of nature through a harmony between the building and its environment on one hand and an effective evaluation of energy performance on the other hand. Faced with these challenges, the bioclimatic concept is one of the best alternatives to weave this harmony between the building and its environment. Furthermore a meaningful energy performance assessment of buildings based on the knowledge of capitalization with the experience feedback processes can be used to structure the different phases of implementation of the buildings. Firstly, this article presents the general concept of bioclimatic buildings with emphasis on thermal notions that influence thermal comfort inside a building. Secondly, the effort focuses on identifying non-qualities and factors of discomfort whose resolution helps to improve the energy and environmental performance of buildings. This approach supported by land surveys to interview the building actors and users to collect data favourable or not favourable to energy-performance. These data are then processed for the generation of graphical representations used by methods developed on the basis of knowledge and strategies of bioclimatic concepts. After the capitalized knowledge from experience feedback processes allows us to offer corrective solutions and share best practices to address the identified performance problems.","author":[{"dropping-particle":"","family":"Camara","given":"Tamba","non-dropping-particle":"","parse-names":false,"suffix":""},{"dropping-particle":"","family":"Kamsu-Foguem","given":"Bernard","non-dropping-particle":"","parse-names":false,"suffix":""},{"dropping-particle":"","family":"Diourte","given":"Badié","non-dropping-particle":"","parse-names":false,"suffix":""},{"dropping-particle":"","family":"Maiga","given":"Alhouseini Issa","non-dropping-particle":"","parse-names":false,"suffix":""},{"dropping-particle":"","family":"Habbadi","given":"Abdallah","non-dropping-particle":"","parse-names":false,"suffix":""}],"container-title":"Journal of Cleaner Production","id":"ITEM-1","issued":{"date-parts":[["2017"]]},"page":"654-667","title":"Management and assessment of performance risks for bioclimatic buildings","type":"article-journal","volume":"147"},"uris":["http://www.mendeley.com/documents/?uuid=1bc111ff-7041-4c53-a57a-43448aad801f"]},{"id":"ITEM-2","itemData":{"DOI":"10.1016/j.rser.2015.04.095","ISSN":"18790690","abstract":"The residential sector consumes a significant amount of energy worldwide. Therefore, it is important to study, analyse and implement bioclimatic architectural systems that contribute to the reduction of energy consumption while considering the possible construction solutions offered at both passive and active levels. The present study conducted a comprehensive analysis that was stratified into three large blocks. The first block examined the concept of bioclimatic architecture. The second examined the bioclimatic architecture construction strategies as a function of each climate zone with the objective of achieving the greatest climate comfort level within a specific building. Fourteen climate zones were established and recommended according to the possible strategies that would facilitate reductions in energy consumption. The third block analysed the principal scientific research trends in this field and highlighted the use of vernacular architecture strategies, experimentation with bioclimatic architecture construction, application of innovative bioclimatic architecture strategies, promotion of bioclimatic architecture, use of bioclimatic architecture in urban planning, inclusion of bioclimatic lessons in study plans and development of energy saving technologies to support bioclimatic architecture. The extensive review described in this paper allowed us to conclude that certain bioclimatic architecture strategies that have been adopted in specific countries could be exported to other areas with similar climates because they were proven to be good functional design strategies that resulted in large energy saving measures (each in its corresponding climate) related to solar protection, humidification or temperature increases.","author":[{"dropping-particle":"","family":"Manzano-Agugliaro","given":"Francisco","non-dropping-particle":"","parse-names":false,"suffix":""},{"dropping-particle":"","family":"Montoya","given":"Francisco G.","non-dropping-particle":"","parse-names":false,"suffix":""},{"dropping-particle":"","family":"Sabio-Ortega","given":"Andrés","non-dropping-particle":"","parse-names":false,"suffix":""},{"dropping-particle":"","family":"García-Cruz","given":"Amós","non-dropping-particle":"","parse-names":false,"suffix":""}],"container-title":"Renewable and Sustainable Energy Reviews","id":"ITEM-2","issued":{"date-parts":[["2015"]]},"page":"736-755","publisher":"Elsevier","title":"Review of bioclimatic architecture strategies for achieving thermal comfort","type":"article-journal","volume":"49"},"uris":["http://www.mendeley.com/documents/?uuid=c7c0f3bd-02d9-46c7-932a-53f3216a6f72"]}],"mendeley":{"formattedCitation":"(Camara et al., 2017; Manzano-Agugliaro et al., 2015)","plainTextFormattedCitation":"(Camara et al., 2017; Manzano-Agugliaro et al., 2015)","previouslyFormattedCitation":"[19], [20]"},"properties":{"noteIndex":0},"schema":"https://github.com/citation-style-language/schema/raw/master/csl-citation.json"}</w:instrText>
      </w:r>
      <w:r w:rsidRPr="0091741D">
        <w:rPr>
          <w:rFonts w:ascii="Arial Narrow" w:hAnsi="Arial Narrow"/>
          <w:color w:val="1F1F1F"/>
          <w:lang w:val="es-ES"/>
        </w:rPr>
        <w:fldChar w:fldCharType="separate"/>
      </w:r>
      <w:r w:rsidR="00430166" w:rsidRPr="00430166">
        <w:rPr>
          <w:rFonts w:ascii="Arial Narrow" w:hAnsi="Arial Narrow"/>
          <w:noProof/>
          <w:color w:val="1F1F1F"/>
          <w:lang w:val="es-ES"/>
        </w:rPr>
        <w:t>(Camara et al., 2017; Manzano-Agugliaro et al., 2015)</w:t>
      </w:r>
      <w:r w:rsidRPr="0091741D">
        <w:rPr>
          <w:rFonts w:ascii="Arial Narrow" w:hAnsi="Arial Narrow"/>
          <w:color w:val="1F1F1F"/>
          <w:lang w:val="es-ES"/>
        </w:rPr>
        <w:fldChar w:fldCharType="end"/>
      </w:r>
      <w:r w:rsidRPr="0091741D">
        <w:rPr>
          <w:rFonts w:ascii="Arial Narrow" w:hAnsi="Arial Narrow"/>
          <w:color w:val="1F1F1F"/>
          <w:lang w:val="es-ES"/>
        </w:rPr>
        <w:t>.</w:t>
      </w:r>
      <w:r w:rsidR="0080329B" w:rsidRPr="0091741D">
        <w:rPr>
          <w:rFonts w:ascii="Arial Narrow" w:hAnsi="Arial Narrow"/>
          <w:color w:val="1F1F1F"/>
          <w:lang w:val="es-ES"/>
        </w:rPr>
        <w:t xml:space="preserve"> L</w:t>
      </w:r>
      <w:r w:rsidR="005C6EB5" w:rsidRPr="0091741D">
        <w:rPr>
          <w:rFonts w:ascii="Arial Narrow" w:hAnsi="Arial Narrow"/>
          <w:color w:val="1F1F1F"/>
          <w:lang w:val="es-ES"/>
        </w:rPr>
        <w:t>os constructores y los ingenieros tienen que desempeñar papeles claves en el desarrollo de soluciones pasivas para reducir el consumo máximo de energía de los edificios</w:t>
      </w:r>
      <w:r w:rsidR="0080329B" w:rsidRPr="0091741D">
        <w:rPr>
          <w:rFonts w:ascii="Arial Narrow" w:hAnsi="Arial Narrow"/>
          <w:color w:val="1F1F1F"/>
          <w:lang w:val="es-ES"/>
        </w:rPr>
        <w:t xml:space="preserve"> </w:t>
      </w:r>
      <w:r w:rsidR="00307049" w:rsidRPr="0091741D">
        <w:rPr>
          <w:rFonts w:ascii="Arial Narrow" w:hAnsi="Arial Narrow"/>
          <w:color w:val="1F1F1F"/>
          <w:lang w:val="es-ES"/>
        </w:rPr>
        <w:fldChar w:fldCharType="begin" w:fldLock="1"/>
      </w:r>
      <w:r w:rsidR="00430166">
        <w:rPr>
          <w:rFonts w:ascii="Arial Narrow" w:hAnsi="Arial Narrow"/>
          <w:color w:val="1F1F1F"/>
          <w:lang w:val="es-ES"/>
        </w:rPr>
        <w:instrText>ADDIN CSL_CITATION {"citationItems":[{"id":"ITEM-1","itemData":{"DOI":"10.1080/01430750.2019.1665583","ISSN":"21628246","abstract":"It is important to know how to reduce the gaps between the predictions and the actual energy consumption of buildings. This work aims at reducing this gap through a three-fold analysis: bioclimatic, sensitivity and uncertainty applied to three ecological houses located in France and belonging to different climate zones. The labelling contexts of these houses are Low Consumption Building, High-Energy Performance and Passive House. This will permit to identify the most influential parameters, their contribution to the overall uncertainty and to visualise the variability of the response for these houses. The crossing of the results using this approach permits to reduce discrepancies between the predictions and the actual energy consumption of the houses. This approach of analysis is necessary and a reliable tool to help bioclimatic design and energy optimisation for a building and the thermal comfort of the occupants.","author":[{"dropping-particle":"","family":"Kaoula","given":"Dalel","non-dropping-particle":"","parse-names":false,"suffix":""},{"dropping-particle":"","family":"Bouchair","given":"Ammar","non-dropping-particle":"","parse-names":false,"suffix":""}],"container-title":"International Journal of Ambient Energy","id":"ITEM-1","issue":"1","issued":{"date-parts":[["2022"]]},"page":"685-712","title":"The pinpointing of the most prominent parameters on the energy performance for optimal passive strategies in ecological buildings based on bioclimatic, sensitivity and uncertainty analyses","type":"article-journal","volume":"43"},"uris":["http://www.mendeley.com/documents/?uuid=c73901c1-2a9f-4e30-9be2-e31b73a47960"]}],"mendeley":{"formattedCitation":"(Kaoula &amp; Bouchair, 2022)","plainTextFormattedCitation":"(Kaoula &amp; Bouchair, 2022)","previouslyFormattedCitation":"[21]"},"properties":{"noteIndex":0},"schema":"https://github.com/citation-style-language/schema/raw/master/csl-citation.json"}</w:instrText>
      </w:r>
      <w:r w:rsidR="00307049" w:rsidRPr="0091741D">
        <w:rPr>
          <w:rFonts w:ascii="Arial Narrow" w:hAnsi="Arial Narrow"/>
          <w:color w:val="1F1F1F"/>
          <w:lang w:val="es-ES"/>
        </w:rPr>
        <w:fldChar w:fldCharType="separate"/>
      </w:r>
      <w:r w:rsidR="00430166" w:rsidRPr="00430166">
        <w:rPr>
          <w:rFonts w:ascii="Arial Narrow" w:hAnsi="Arial Narrow"/>
          <w:noProof/>
          <w:color w:val="1F1F1F"/>
          <w:lang w:val="es-ES"/>
        </w:rPr>
        <w:t>(Kaoula &amp; Bouchair, 2022)</w:t>
      </w:r>
      <w:r w:rsidR="00307049" w:rsidRPr="0091741D">
        <w:rPr>
          <w:rFonts w:ascii="Arial Narrow" w:hAnsi="Arial Narrow"/>
          <w:color w:val="1F1F1F"/>
          <w:lang w:val="es-ES"/>
        </w:rPr>
        <w:fldChar w:fldCharType="end"/>
      </w:r>
      <w:r w:rsidR="0080329B" w:rsidRPr="0091741D">
        <w:rPr>
          <w:rFonts w:ascii="Arial Narrow" w:hAnsi="Arial Narrow"/>
          <w:color w:val="1F1F1F"/>
          <w:lang w:val="es-ES"/>
        </w:rPr>
        <w:t>.</w:t>
      </w:r>
    </w:p>
    <w:p w:rsidR="00573375" w:rsidRPr="0091741D" w:rsidRDefault="00573375" w:rsidP="002D0878">
      <w:pPr>
        <w:spacing w:after="0" w:line="276" w:lineRule="auto"/>
        <w:jc w:val="both"/>
        <w:rPr>
          <w:rFonts w:ascii="Arial Narrow" w:hAnsi="Arial Narrow"/>
          <w:color w:val="1F1F1F"/>
          <w:lang w:val="es-ES"/>
        </w:rPr>
      </w:pPr>
    </w:p>
    <w:p w:rsidR="00BC084A" w:rsidRDefault="00BC084A" w:rsidP="002D0878">
      <w:pPr>
        <w:spacing w:after="0" w:line="276" w:lineRule="auto"/>
        <w:jc w:val="both"/>
        <w:rPr>
          <w:rFonts w:ascii="Arial Narrow" w:hAnsi="Arial Narrow"/>
          <w:color w:val="1F1F1F"/>
          <w:lang w:val="es-ES"/>
        </w:rPr>
      </w:pPr>
      <w:r w:rsidRPr="0091741D">
        <w:rPr>
          <w:rFonts w:ascii="Arial Narrow" w:hAnsi="Arial Narrow"/>
          <w:color w:val="1F1F1F"/>
          <w:lang w:val="es-ES"/>
        </w:rPr>
        <w:t>La evaluación del desempeño de un edificio se realiza mediante programa</w:t>
      </w:r>
      <w:r w:rsidR="00A56E38">
        <w:rPr>
          <w:rFonts w:ascii="Arial Narrow" w:hAnsi="Arial Narrow"/>
          <w:color w:val="1F1F1F"/>
          <w:lang w:val="es-ES"/>
        </w:rPr>
        <w:t>s</w:t>
      </w:r>
      <w:r w:rsidRPr="0091741D">
        <w:rPr>
          <w:rFonts w:ascii="Arial Narrow" w:hAnsi="Arial Narrow"/>
          <w:color w:val="1F1F1F"/>
          <w:lang w:val="es-ES"/>
        </w:rPr>
        <w:t xml:space="preserve"> de certificación de edificios</w:t>
      </w:r>
      <w:r w:rsidR="006F1C64" w:rsidRPr="0091741D">
        <w:rPr>
          <w:rFonts w:ascii="Arial Narrow" w:hAnsi="Arial Narrow"/>
          <w:color w:val="1F1F1F"/>
          <w:lang w:val="es-ES"/>
        </w:rPr>
        <w:t xml:space="preserve"> de orden nacional o internacional</w:t>
      </w:r>
      <w:r w:rsidR="00D042D9" w:rsidRPr="0091741D">
        <w:rPr>
          <w:rFonts w:ascii="Arial Narrow" w:hAnsi="Arial Narrow"/>
          <w:color w:val="1F1F1F"/>
          <w:lang w:val="es-ES"/>
        </w:rPr>
        <w:t xml:space="preserve">, </w:t>
      </w:r>
      <w:r w:rsidRPr="0091741D">
        <w:rPr>
          <w:rFonts w:ascii="Arial Narrow" w:hAnsi="Arial Narrow"/>
          <w:color w:val="1F1F1F"/>
          <w:lang w:val="es-ES"/>
        </w:rPr>
        <w:t xml:space="preserve">las certificaciones sostenibles más utilizadas en los diferentes proyectos son LEED, EDGE y CASA Colombia, cada uno de ellos con un alcance y aplicabilidad diferente, para conocer estas diferencias se tener en cuenta anexo E del CONPES 3919 de 2018 – Política Nacional de Edificaciones Sostenibles, con un fuerte enfoque en Bogotá D.C. y Antioquia </w:t>
      </w:r>
      <w:r w:rsidR="00425E04" w:rsidRPr="0091741D">
        <w:rPr>
          <w:rFonts w:ascii="Arial Narrow" w:hAnsi="Arial Narrow"/>
          <w:color w:val="1F1F1F"/>
          <w:lang w:val="es-ES"/>
        </w:rPr>
        <w:fldChar w:fldCharType="begin" w:fldLock="1"/>
      </w:r>
      <w:r w:rsidR="00430166">
        <w:rPr>
          <w:rFonts w:ascii="Arial Narrow" w:hAnsi="Arial Narrow"/>
          <w:color w:val="1F1F1F"/>
          <w:lang w:val="es-ES"/>
        </w:rPr>
        <w:instrText>ADDIN CSL_CITATION {"citationItems":[{"id":"ITEM-1","itemData":{"author":[{"dropping-particle":"","family":"CCCS - Consejo Colombiano de Construcción Sostenible","given":"","non-dropping-particle":"","parse-names":false,"suffix":""}],"edition":"2","id":"ITEM-1","issued":{"date-parts":[["2024"]]},"number-of-pages":"217","publisher-place":"Bogotá","title":". Estado de la contrucción sostenible en Colombia.","type":"book"},"uris":["http://www.mendeley.com/documents/?uuid=3c9e5481-3b0b-41e7-96cc-a8b9bff510ad"]}],"mendeley":{"formattedCitation":"(CCCS - Consejo Colombiano de Construcción Sostenible, 2024)","manualFormatting":"(CCCS, 2024)","plainTextFormattedCitation":"(CCCS - Consejo Colombiano de Construcción Sostenible, 2024)","previouslyFormattedCitation":"[22]"},"properties":{"noteIndex":0},"schema":"https://github.com/citation-style-language/schema/raw/master/csl-citation.json"}</w:instrText>
      </w:r>
      <w:r w:rsidR="00425E04" w:rsidRPr="0091741D">
        <w:rPr>
          <w:rFonts w:ascii="Arial Narrow" w:hAnsi="Arial Narrow"/>
          <w:color w:val="1F1F1F"/>
          <w:lang w:val="es-ES"/>
        </w:rPr>
        <w:fldChar w:fldCharType="separate"/>
      </w:r>
      <w:r w:rsidR="00425E04" w:rsidRPr="0091741D">
        <w:rPr>
          <w:rFonts w:ascii="Arial Narrow" w:hAnsi="Arial Narrow"/>
          <w:noProof/>
          <w:color w:val="1F1F1F"/>
          <w:lang w:val="es-ES"/>
        </w:rPr>
        <w:t>(CCCS, 2024)</w:t>
      </w:r>
      <w:r w:rsidR="00425E04" w:rsidRPr="0091741D">
        <w:rPr>
          <w:rFonts w:ascii="Arial Narrow" w:hAnsi="Arial Narrow"/>
          <w:color w:val="1F1F1F"/>
          <w:lang w:val="es-ES"/>
        </w:rPr>
        <w:fldChar w:fldCharType="end"/>
      </w:r>
      <w:r w:rsidR="00425E04" w:rsidRPr="0091741D">
        <w:rPr>
          <w:rFonts w:ascii="Arial Narrow" w:hAnsi="Arial Narrow"/>
          <w:color w:val="1F1F1F"/>
          <w:lang w:val="es-ES"/>
        </w:rPr>
        <w:t>.</w:t>
      </w:r>
    </w:p>
    <w:p w:rsidR="00573375" w:rsidRPr="0091741D" w:rsidRDefault="00573375" w:rsidP="002D0878">
      <w:pPr>
        <w:spacing w:after="0" w:line="276" w:lineRule="auto"/>
        <w:jc w:val="both"/>
        <w:rPr>
          <w:rFonts w:ascii="Arial Narrow" w:hAnsi="Arial Narrow"/>
          <w:color w:val="1F1F1F"/>
          <w:lang w:val="es-ES"/>
        </w:rPr>
      </w:pPr>
    </w:p>
    <w:p w:rsidR="006F1C64" w:rsidRDefault="006F1C64" w:rsidP="002D0878">
      <w:pPr>
        <w:spacing w:after="0" w:line="276" w:lineRule="auto"/>
        <w:jc w:val="both"/>
        <w:rPr>
          <w:rFonts w:ascii="Arial Narrow" w:hAnsi="Arial Narrow"/>
          <w:color w:val="1F1F1F"/>
          <w:lang w:val="es-ES"/>
        </w:rPr>
      </w:pPr>
      <w:r w:rsidRPr="0091741D">
        <w:rPr>
          <w:rFonts w:ascii="Arial Narrow" w:hAnsi="Arial Narrow"/>
          <w:color w:val="1F1F1F"/>
          <w:lang w:val="es-ES"/>
        </w:rPr>
        <w:t xml:space="preserve">Para obtener beneficios tributarios utilizando medidas pasivas de construcción de edificaciones es necesario certificarse en construcción sostenible en la etapa de diseño por un ente certificador, </w:t>
      </w:r>
      <w:proofErr w:type="spellStart"/>
      <w:r w:rsidR="006173BB" w:rsidRPr="0091741D">
        <w:rPr>
          <w:rFonts w:ascii="Arial Narrow" w:hAnsi="Arial Narrow"/>
          <w:color w:val="1F1F1F"/>
          <w:lang w:val="es-ES"/>
        </w:rPr>
        <w:t>Minenergía</w:t>
      </w:r>
      <w:proofErr w:type="spellEnd"/>
      <w:r w:rsidR="006173BB" w:rsidRPr="0091741D">
        <w:rPr>
          <w:rFonts w:ascii="Arial Narrow" w:hAnsi="Arial Narrow"/>
          <w:color w:val="1F1F1F"/>
          <w:lang w:val="es-ES"/>
        </w:rPr>
        <w:t xml:space="preserve"> y la Unidad de Planeación Minero Energética (UPME), con la Ley 1715 de 2014 y </w:t>
      </w:r>
      <w:r w:rsidR="00EB558C" w:rsidRPr="0091741D">
        <w:rPr>
          <w:rFonts w:ascii="Arial Narrow" w:hAnsi="Arial Narrow"/>
          <w:color w:val="1F1F1F"/>
          <w:lang w:val="es-ES"/>
        </w:rPr>
        <w:t>su</w:t>
      </w:r>
      <w:r w:rsidR="006173BB" w:rsidRPr="0091741D">
        <w:rPr>
          <w:rFonts w:ascii="Arial Narrow" w:hAnsi="Arial Narrow"/>
          <w:color w:val="1F1F1F"/>
          <w:lang w:val="es-ES"/>
        </w:rPr>
        <w:t xml:space="preserve"> última actualización </w:t>
      </w:r>
      <w:r w:rsidR="00EB558C" w:rsidRPr="0091741D">
        <w:rPr>
          <w:rFonts w:ascii="Arial Narrow" w:hAnsi="Arial Narrow"/>
          <w:color w:val="1F1F1F"/>
          <w:lang w:val="es-ES"/>
        </w:rPr>
        <w:t xml:space="preserve">la </w:t>
      </w:r>
      <w:r w:rsidR="006173BB" w:rsidRPr="0091741D">
        <w:rPr>
          <w:rFonts w:ascii="Arial Narrow" w:hAnsi="Arial Narrow"/>
          <w:color w:val="1F1F1F"/>
          <w:lang w:val="es-ES"/>
        </w:rPr>
        <w:t>Resolución 504 de 2023</w:t>
      </w:r>
      <w:r w:rsidR="00FA251F" w:rsidRPr="0091741D">
        <w:rPr>
          <w:rFonts w:ascii="Arial Narrow" w:hAnsi="Arial Narrow"/>
          <w:color w:val="1F1F1F"/>
          <w:lang w:val="es-ES"/>
        </w:rPr>
        <w:t xml:space="preserve">, </w:t>
      </w:r>
      <w:r w:rsidR="00EB558C" w:rsidRPr="0091741D">
        <w:rPr>
          <w:rFonts w:ascii="Arial Narrow" w:hAnsi="Arial Narrow"/>
          <w:color w:val="1F1F1F"/>
          <w:lang w:val="es-ES"/>
        </w:rPr>
        <w:t xml:space="preserve">incluye </w:t>
      </w:r>
      <w:r w:rsidR="006173BB" w:rsidRPr="0091741D">
        <w:rPr>
          <w:rFonts w:ascii="Arial Narrow" w:hAnsi="Arial Narrow"/>
          <w:color w:val="1F1F1F"/>
          <w:lang w:val="es-ES"/>
        </w:rPr>
        <w:t>una serie de incentivos tributarios como la deducción de renta</w:t>
      </w:r>
      <w:r w:rsidR="00EB558C" w:rsidRPr="0091741D">
        <w:rPr>
          <w:rFonts w:ascii="Arial Narrow" w:hAnsi="Arial Narrow"/>
          <w:color w:val="1F1F1F"/>
          <w:lang w:val="es-ES"/>
        </w:rPr>
        <w:t xml:space="preserve"> y</w:t>
      </w:r>
      <w:r w:rsidR="006173BB" w:rsidRPr="0091741D">
        <w:rPr>
          <w:rFonts w:ascii="Arial Narrow" w:hAnsi="Arial Narrow"/>
          <w:color w:val="1F1F1F"/>
          <w:lang w:val="es-ES"/>
        </w:rPr>
        <w:t xml:space="preserve"> exclusión del IVA</w:t>
      </w:r>
      <w:r w:rsidR="00FA251F" w:rsidRPr="0091741D">
        <w:rPr>
          <w:rFonts w:ascii="Arial Narrow" w:hAnsi="Arial Narrow"/>
          <w:color w:val="1F1F1F"/>
          <w:lang w:val="es-ES"/>
        </w:rPr>
        <w:t xml:space="preserve"> </w:t>
      </w:r>
      <w:r w:rsidR="00FA251F" w:rsidRPr="0091741D">
        <w:rPr>
          <w:rFonts w:ascii="Arial Narrow" w:hAnsi="Arial Narrow"/>
          <w:color w:val="1F1F1F"/>
          <w:lang w:val="es-ES"/>
        </w:rPr>
        <w:fldChar w:fldCharType="begin" w:fldLock="1"/>
      </w:r>
      <w:r w:rsidR="00430166">
        <w:rPr>
          <w:rFonts w:ascii="Arial Narrow" w:hAnsi="Arial Narrow"/>
          <w:color w:val="1F1F1F"/>
          <w:lang w:val="es-ES"/>
        </w:rPr>
        <w:instrText>ADDIN CSL_CITATION {"citationItems":[{"id":"ITEM-1","itemData":{"author":[{"dropping-particle":"","family":"UPME - UNIDAD DE PLANEACIÓN MINERO ENERGÉTICA","given":"","non-dropping-particle":"","parse-names":false,"suffix":""}],"id":"ITEM-1","issued":{"date-parts":[["2023"]]},"title":". Resolución No. 610 de 2023. Por la cual se modifica el Anexo 1 de la Resolución UPME No. 319 de 2022 Lista de bienes FNCE, y servicios FNCER para proyectos de generación energía eléctrica a partir de FNCE.","type":"book"},"uris":["http://www.mendeley.com/documents/?uuid=79841f3c-d4cd-4a7d-b0d9-8d934c222e8b"]},{"id":"ITEM-2","itemData":{"author":[{"dropping-particle":"","family":"Ley 1715 de 2014","given":"","non-dropping-particle":"","parse-names":false,"suffix":""}],"id":"ITEM-2","issued":{"date-parts":[["2014"]]},"title":". Por medio de la cual se regula la integración de las energías renovables no convencionales al Sistema Energético Nacional. Diario Oficial N° 49.150 de mayo 13 de 2014.","type":"article"},"uris":["http://www.mendeley.com/documents/?uuid=35248ecc-6cdf-4713-8b3a-cd80f3045ccd"]}],"mendeley":{"formattedCitation":"(Ley 1715 de 2014, 2014; UPME - UNIDAD DE PLANEACIÓN MINERO ENERGÉTICA, 2023)","manualFormatting":"(Ley 1715 de 2014, 2014; UPME, 2023)","plainTextFormattedCitation":"(Ley 1715 de 2014, 2014; UPME - UNIDAD DE PLANEACIÓN MINERO ENERGÉTICA, 2023)","previouslyFormattedCitation":"[23], [24]"},"properties":{"noteIndex":0},"schema":"https://github.com/citation-style-language/schema/raw/master/csl-citation.json"}</w:instrText>
      </w:r>
      <w:r w:rsidR="00FA251F" w:rsidRPr="0091741D">
        <w:rPr>
          <w:rFonts w:ascii="Arial Narrow" w:hAnsi="Arial Narrow"/>
          <w:color w:val="1F1F1F"/>
          <w:lang w:val="es-ES"/>
        </w:rPr>
        <w:fldChar w:fldCharType="separate"/>
      </w:r>
      <w:r w:rsidR="00FA251F" w:rsidRPr="0091741D">
        <w:rPr>
          <w:rFonts w:ascii="Arial Narrow" w:hAnsi="Arial Narrow"/>
          <w:noProof/>
          <w:color w:val="1F1F1F"/>
          <w:lang w:val="es-ES"/>
        </w:rPr>
        <w:t>(Ley 1715 de 2014, 2014; UPME, 2023)</w:t>
      </w:r>
      <w:r w:rsidR="00FA251F" w:rsidRPr="0091741D">
        <w:rPr>
          <w:rFonts w:ascii="Arial Narrow" w:hAnsi="Arial Narrow"/>
          <w:color w:val="1F1F1F"/>
          <w:lang w:val="es-ES"/>
        </w:rPr>
        <w:fldChar w:fldCharType="end"/>
      </w:r>
      <w:r w:rsidRPr="0091741D">
        <w:rPr>
          <w:rFonts w:ascii="Arial Narrow" w:hAnsi="Arial Narrow"/>
          <w:color w:val="1F1F1F"/>
          <w:lang w:val="es-ES"/>
        </w:rPr>
        <w:t>.</w:t>
      </w:r>
    </w:p>
    <w:p w:rsidR="00573375" w:rsidRPr="0091741D" w:rsidRDefault="00573375" w:rsidP="002D0878">
      <w:pPr>
        <w:spacing w:after="0" w:line="276" w:lineRule="auto"/>
        <w:jc w:val="both"/>
        <w:rPr>
          <w:rFonts w:ascii="Arial Narrow" w:hAnsi="Arial Narrow"/>
          <w:color w:val="1F1F1F"/>
          <w:lang w:val="es-ES"/>
        </w:rPr>
      </w:pPr>
    </w:p>
    <w:p w:rsidR="00771365" w:rsidRDefault="00911EED" w:rsidP="002D0878">
      <w:pPr>
        <w:spacing w:after="0" w:line="276" w:lineRule="auto"/>
        <w:jc w:val="both"/>
        <w:rPr>
          <w:rFonts w:ascii="Arial Narrow" w:hAnsi="Arial Narrow"/>
          <w:color w:val="1F1F1F"/>
        </w:rPr>
      </w:pPr>
      <w:r w:rsidRPr="0091741D">
        <w:rPr>
          <w:rFonts w:ascii="Arial Narrow" w:hAnsi="Arial Narrow"/>
          <w:color w:val="1F1F1F"/>
        </w:rPr>
        <w:t xml:space="preserve">Las entidades financieras colombianas han ido incorporando productos </w:t>
      </w:r>
      <w:r w:rsidR="00762008">
        <w:rPr>
          <w:rFonts w:ascii="Arial Narrow" w:hAnsi="Arial Narrow"/>
          <w:color w:val="1F1F1F"/>
        </w:rPr>
        <w:t>que permiten</w:t>
      </w:r>
      <w:r w:rsidRPr="0091741D">
        <w:rPr>
          <w:rFonts w:ascii="Arial Narrow" w:hAnsi="Arial Narrow"/>
          <w:color w:val="1F1F1F"/>
        </w:rPr>
        <w:t xml:space="preserve"> financiar proyectos de construcción sostenible, con tasas preferenciales para préstamos y orientación </w:t>
      </w:r>
      <w:r w:rsidR="00762008">
        <w:rPr>
          <w:rFonts w:ascii="Arial Narrow" w:hAnsi="Arial Narrow"/>
          <w:color w:val="1F1F1F"/>
        </w:rPr>
        <w:t>en</w:t>
      </w:r>
      <w:r w:rsidRPr="0091741D">
        <w:rPr>
          <w:rFonts w:ascii="Arial Narrow" w:hAnsi="Arial Narrow"/>
          <w:color w:val="1F1F1F"/>
        </w:rPr>
        <w:t xml:space="preserve"> certificaciones como </w:t>
      </w:r>
      <w:r w:rsidR="006820D3" w:rsidRPr="0091741D">
        <w:rPr>
          <w:rFonts w:ascii="Arial Narrow" w:hAnsi="Arial Narrow"/>
          <w:color w:val="1F1F1F"/>
        </w:rPr>
        <w:t>LEED</w:t>
      </w:r>
      <w:r w:rsidR="006820D3">
        <w:rPr>
          <w:rFonts w:ascii="Arial Narrow" w:hAnsi="Arial Narrow"/>
          <w:color w:val="1F1F1F"/>
        </w:rPr>
        <w:t>,</w:t>
      </w:r>
      <w:r w:rsidR="006820D3" w:rsidRPr="0091741D">
        <w:rPr>
          <w:rFonts w:ascii="Arial Narrow" w:hAnsi="Arial Narrow"/>
          <w:color w:val="1F1F1F"/>
        </w:rPr>
        <w:t xml:space="preserve"> EDGE </w:t>
      </w:r>
      <w:r w:rsidR="006820D3">
        <w:rPr>
          <w:rFonts w:ascii="Arial Narrow" w:hAnsi="Arial Narrow"/>
          <w:color w:val="1F1F1F"/>
        </w:rPr>
        <w:t xml:space="preserve">y </w:t>
      </w:r>
      <w:r w:rsidR="006820D3" w:rsidRPr="0091741D">
        <w:rPr>
          <w:rFonts w:ascii="Arial Narrow" w:hAnsi="Arial Narrow"/>
          <w:color w:val="1F1F1F"/>
        </w:rPr>
        <w:t xml:space="preserve">CASA </w:t>
      </w:r>
      <w:r w:rsidRPr="0091741D">
        <w:rPr>
          <w:rFonts w:ascii="Arial Narrow" w:hAnsi="Arial Narrow"/>
          <w:color w:val="1F1F1F"/>
        </w:rPr>
        <w:t>Colombia</w:t>
      </w:r>
      <w:r w:rsidR="00282AB5">
        <w:rPr>
          <w:rFonts w:ascii="Arial Narrow" w:hAnsi="Arial Narrow"/>
          <w:color w:val="1F1F1F"/>
        </w:rPr>
        <w:t>.</w:t>
      </w:r>
    </w:p>
    <w:p w:rsidR="002D0878" w:rsidRPr="0091741D" w:rsidRDefault="002D0878" w:rsidP="002D0878">
      <w:pPr>
        <w:spacing w:after="0" w:line="276" w:lineRule="auto"/>
        <w:jc w:val="both"/>
        <w:rPr>
          <w:rFonts w:ascii="Arial Narrow" w:hAnsi="Arial Narrow"/>
          <w:color w:val="1F1F1F"/>
        </w:rPr>
      </w:pPr>
    </w:p>
    <w:p w:rsidR="00925780" w:rsidRDefault="00110BD8" w:rsidP="004414EE">
      <w:pPr>
        <w:pStyle w:val="Prrafodelista"/>
        <w:numPr>
          <w:ilvl w:val="1"/>
          <w:numId w:val="10"/>
        </w:numPr>
        <w:spacing w:after="0" w:line="276" w:lineRule="auto"/>
        <w:rPr>
          <w:rFonts w:ascii="Arial Narrow" w:hAnsi="Arial Narrow"/>
          <w:b/>
        </w:rPr>
      </w:pPr>
      <w:r w:rsidRPr="001B292A">
        <w:rPr>
          <w:rFonts w:ascii="Arial Narrow" w:hAnsi="Arial Narrow"/>
          <w:b/>
        </w:rPr>
        <w:lastRenderedPageBreak/>
        <w:t xml:space="preserve">Etapa de </w:t>
      </w:r>
      <w:r w:rsidR="00925780" w:rsidRPr="001B292A">
        <w:rPr>
          <w:rFonts w:ascii="Arial Narrow" w:hAnsi="Arial Narrow"/>
          <w:b/>
        </w:rPr>
        <w:t xml:space="preserve">Construcción </w:t>
      </w:r>
    </w:p>
    <w:p w:rsidR="00785D68" w:rsidRPr="001B292A" w:rsidRDefault="00785D68" w:rsidP="00785D68">
      <w:pPr>
        <w:pStyle w:val="Prrafodelista"/>
        <w:spacing w:after="0" w:line="276" w:lineRule="auto"/>
        <w:ind w:left="792"/>
        <w:rPr>
          <w:rFonts w:ascii="Arial Narrow" w:hAnsi="Arial Narrow"/>
          <w:b/>
        </w:rPr>
      </w:pPr>
    </w:p>
    <w:p w:rsidR="00675614" w:rsidRDefault="00B91DB0" w:rsidP="002D0878">
      <w:pPr>
        <w:spacing w:after="0" w:line="276" w:lineRule="auto"/>
        <w:jc w:val="both"/>
        <w:rPr>
          <w:rFonts w:ascii="Arial Narrow" w:hAnsi="Arial Narrow"/>
          <w:color w:val="1F1F1F"/>
        </w:rPr>
      </w:pPr>
      <w:r w:rsidRPr="0091741D">
        <w:rPr>
          <w:rFonts w:ascii="Arial Narrow" w:hAnsi="Arial Narrow"/>
          <w:color w:val="1F1F1F"/>
        </w:rPr>
        <w:t xml:space="preserve">Dentro de la etapa de la construcción </w:t>
      </w:r>
      <w:r w:rsidR="003B33F1" w:rsidRPr="0091741D">
        <w:rPr>
          <w:rFonts w:ascii="Arial Narrow" w:hAnsi="Arial Narrow"/>
          <w:color w:val="1F1F1F"/>
        </w:rPr>
        <w:t xml:space="preserve">es importante tener en cuenta </w:t>
      </w:r>
      <w:r w:rsidR="00957FC3" w:rsidRPr="0091741D">
        <w:rPr>
          <w:rFonts w:ascii="Arial Narrow" w:hAnsi="Arial Narrow"/>
          <w:color w:val="1F1F1F"/>
        </w:rPr>
        <w:t xml:space="preserve">actividades </w:t>
      </w:r>
      <w:r w:rsidR="003B33F1" w:rsidRPr="0091741D">
        <w:rPr>
          <w:rFonts w:ascii="Arial Narrow" w:hAnsi="Arial Narrow"/>
          <w:color w:val="1F1F1F"/>
        </w:rPr>
        <w:t xml:space="preserve">que </w:t>
      </w:r>
      <w:r w:rsidR="00EB117E" w:rsidRPr="0091741D">
        <w:rPr>
          <w:rFonts w:ascii="Arial Narrow" w:hAnsi="Arial Narrow"/>
          <w:color w:val="1F1F1F"/>
        </w:rPr>
        <w:t>estén</w:t>
      </w:r>
      <w:r w:rsidR="003B33F1" w:rsidRPr="0091741D">
        <w:rPr>
          <w:rFonts w:ascii="Arial Narrow" w:hAnsi="Arial Narrow"/>
          <w:color w:val="1F1F1F"/>
        </w:rPr>
        <w:t xml:space="preserve"> alineadas con la sostenibilidad</w:t>
      </w:r>
      <w:r w:rsidR="008D275F" w:rsidRPr="0091741D">
        <w:rPr>
          <w:rFonts w:ascii="Arial Narrow" w:hAnsi="Arial Narrow"/>
          <w:color w:val="1F1F1F"/>
        </w:rPr>
        <w:t>,</w:t>
      </w:r>
      <w:r w:rsidR="00E66CBA" w:rsidRPr="0091741D">
        <w:rPr>
          <w:rFonts w:ascii="Arial Narrow" w:hAnsi="Arial Narrow"/>
          <w:color w:val="1F1F1F"/>
        </w:rPr>
        <w:t xml:space="preserve"> de modo que</w:t>
      </w:r>
      <w:r w:rsidR="003B33F1" w:rsidRPr="0091741D">
        <w:rPr>
          <w:rFonts w:ascii="Arial Narrow" w:hAnsi="Arial Narrow"/>
          <w:color w:val="1F1F1F"/>
        </w:rPr>
        <w:t xml:space="preserve"> </w:t>
      </w:r>
      <w:r w:rsidR="00675614" w:rsidRPr="0091741D">
        <w:rPr>
          <w:rFonts w:ascii="Arial Narrow" w:hAnsi="Arial Narrow"/>
          <w:color w:val="1F1F1F"/>
        </w:rPr>
        <w:t>se forme una sinergia entre los procesos constructivos sostenibles y la</w:t>
      </w:r>
      <w:r w:rsidR="00D12459" w:rsidRPr="0091741D">
        <w:rPr>
          <w:rFonts w:ascii="Arial Narrow" w:hAnsi="Arial Narrow"/>
          <w:color w:val="1F1F1F"/>
        </w:rPr>
        <w:t xml:space="preserve"> eficiencia energética del edificio</w:t>
      </w:r>
      <w:r w:rsidR="009E7573" w:rsidRPr="0091741D">
        <w:rPr>
          <w:rFonts w:ascii="Arial Narrow" w:hAnsi="Arial Narrow"/>
          <w:color w:val="1F1F1F"/>
        </w:rPr>
        <w:t xml:space="preserve"> </w:t>
      </w:r>
      <w:r w:rsidR="00675614" w:rsidRPr="0091741D">
        <w:rPr>
          <w:rFonts w:ascii="Arial Narrow" w:hAnsi="Arial Narrow"/>
          <w:color w:val="1F1F1F"/>
        </w:rPr>
        <w:t>junto con</w:t>
      </w:r>
      <w:r w:rsidR="009E7573" w:rsidRPr="0091741D">
        <w:rPr>
          <w:rFonts w:ascii="Arial Narrow" w:hAnsi="Arial Narrow"/>
          <w:color w:val="1F1F1F"/>
        </w:rPr>
        <w:t xml:space="preserve"> </w:t>
      </w:r>
      <w:r w:rsidR="00675614" w:rsidRPr="0091741D">
        <w:rPr>
          <w:rFonts w:ascii="Arial Narrow" w:hAnsi="Arial Narrow"/>
          <w:color w:val="1F1F1F"/>
        </w:rPr>
        <w:t xml:space="preserve">el </w:t>
      </w:r>
      <w:r w:rsidR="009E7573" w:rsidRPr="0091741D">
        <w:rPr>
          <w:rFonts w:ascii="Arial Narrow" w:hAnsi="Arial Narrow"/>
          <w:color w:val="1F1F1F"/>
        </w:rPr>
        <w:t>confort</w:t>
      </w:r>
      <w:r w:rsidR="00FB0393" w:rsidRPr="0091741D">
        <w:rPr>
          <w:rFonts w:ascii="Arial Narrow" w:hAnsi="Arial Narrow"/>
          <w:color w:val="1F1F1F"/>
        </w:rPr>
        <w:t>.</w:t>
      </w:r>
    </w:p>
    <w:p w:rsidR="00573375" w:rsidRPr="0091741D" w:rsidRDefault="00573375" w:rsidP="002D0878">
      <w:pPr>
        <w:spacing w:after="0" w:line="276" w:lineRule="auto"/>
        <w:jc w:val="both"/>
        <w:rPr>
          <w:rFonts w:ascii="Arial Narrow" w:hAnsi="Arial Narrow"/>
          <w:color w:val="1F1F1F"/>
          <w:lang w:val="es-ES"/>
        </w:rPr>
      </w:pPr>
    </w:p>
    <w:p w:rsidR="009C5343" w:rsidRDefault="003454AE" w:rsidP="002D0878">
      <w:pPr>
        <w:spacing w:after="0" w:line="276" w:lineRule="auto"/>
        <w:jc w:val="both"/>
        <w:rPr>
          <w:rFonts w:ascii="Arial Narrow" w:hAnsi="Arial Narrow"/>
          <w:color w:val="1F1F1F"/>
        </w:rPr>
      </w:pPr>
      <w:r w:rsidRPr="0091741D">
        <w:rPr>
          <w:rFonts w:ascii="Arial Narrow" w:hAnsi="Arial Narrow"/>
          <w:color w:val="1F1F1F"/>
        </w:rPr>
        <w:t xml:space="preserve">La industria de la construcción </w:t>
      </w:r>
      <w:r w:rsidR="00864A54" w:rsidRPr="0091741D">
        <w:rPr>
          <w:rFonts w:ascii="Arial Narrow" w:hAnsi="Arial Narrow"/>
          <w:color w:val="1F1F1F"/>
        </w:rPr>
        <w:t xml:space="preserve">en </w:t>
      </w:r>
      <w:r w:rsidR="009103B6" w:rsidRPr="0091741D">
        <w:rPr>
          <w:rFonts w:ascii="Arial Narrow" w:hAnsi="Arial Narrow"/>
          <w:color w:val="1F1F1F"/>
        </w:rPr>
        <w:t>Colombia</w:t>
      </w:r>
      <w:r w:rsidR="00864A54" w:rsidRPr="0091741D">
        <w:rPr>
          <w:rFonts w:ascii="Arial Narrow" w:hAnsi="Arial Narrow"/>
          <w:color w:val="1F1F1F"/>
        </w:rPr>
        <w:t xml:space="preserve"> </w:t>
      </w:r>
      <w:r w:rsidRPr="0091741D">
        <w:rPr>
          <w:rFonts w:ascii="Arial Narrow" w:hAnsi="Arial Narrow"/>
          <w:color w:val="1F1F1F"/>
        </w:rPr>
        <w:t xml:space="preserve">consume aproximadamente el </w:t>
      </w:r>
      <w:r w:rsidR="00864A54" w:rsidRPr="0091741D">
        <w:rPr>
          <w:rFonts w:ascii="Arial Narrow" w:hAnsi="Arial Narrow"/>
          <w:color w:val="1F1F1F"/>
        </w:rPr>
        <w:t>59</w:t>
      </w:r>
      <w:r w:rsidRPr="0091741D">
        <w:rPr>
          <w:rFonts w:ascii="Arial Narrow" w:hAnsi="Arial Narrow"/>
          <w:color w:val="1F1F1F"/>
        </w:rPr>
        <w:t>% de los recursos naturales extraídos, como metales, minerales no metálicos, grava, arena y roca triturada</w:t>
      </w:r>
      <w:r w:rsidR="00B54220" w:rsidRPr="0091741D">
        <w:rPr>
          <w:rFonts w:ascii="Arial Narrow" w:hAnsi="Arial Narrow"/>
          <w:color w:val="1F1F1F"/>
        </w:rPr>
        <w:t xml:space="preserve"> </w:t>
      </w:r>
      <w:r w:rsidR="00B54220"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{"citationItems":[{"id":"ITEM-1","itemData":{"author":[{"dropping-particle":"","family":"CCCS - Consejo Colombiano de Construcción Sostenible","given":"","non-dropping-particle":"","parse-names":false,"suffix":""}],"edition":"2","id":"ITEM-1","issued":{"date-parts":[["2024"]]},"number-of-pages":"217","publisher-place":"Bogotá","title":". Estado de la contrucción sostenible en Colombia.","type":"book"},"uris":["http://www.mendeley.com/documents/?uuid=3c9e5481-3b0b-41e7-96cc-a8b9bff510ad"]},{"id":"ITEM-2","itemData":{"DOI":"10.1016/j.jcsr.2023.108439","ISSN":"0143974X","abstract":"The principles of circular economy (CE) were well defined long ago, but adapting it to the construction sector is a long-winded and complicated task as several stakeholders are involved. This review article comprehensively analysed the existing technologies and management ideas. The barriers that impede implementing CE in construction are summarised and solutions to overcome them are suggested with practical aspects. An alternative direct reuse circular economy approach is proposed to further reduce upfront carbon emissions. An improved design concept called Design for Deconstruction and Reuse (DfDR) is suggested with the integration of interlocking connections for enabling the direct reuse of structural elements and increasing productivity. A strategy for practically integrating the various features of the direct reuse concept for implementing the circular economy in construction is proposed. More importantly, this article emphasised how steel structures can be a suitable solution for achieving a circular economy in construction. A potential take-back business model with a sustainable (self-driven) circularity mechanism is also suggested.","author":[{"dropping-particle":"","family":"Selvaraj","given":"Sivaganesh","non-dropping-particle":"","parse-names":false,"suffix":""},{"dropping-particle":"","family":"Chan","given":"Tak Ming","non-dropping-particle":"","parse-names":false,"suffix":""}],"container-title":"Journal of Constructional Steel Research","id":"ITEM-2","issue":"November 2023","issued":{"date-parts":[["2024"]]},"page":"108439","publisher":"Elsevier Ltd","title":"Recommendations for Implementing Circular Economy in Construction: Direct Reuse of Steel Structures","type":"article-journal","volume":"214"},"uris":["http://www.mendeley.com/documents/?uuid=56f335ec-0a9d-4993-95fb-b819b6492231"]}],"mendeley":{"formattedCitation":"(CCCS - Consejo Colombiano de Construcción Sostenible, 2024; Selvaraj &amp; Chan, 2024)","manualFormatting":"(CCCS, 2024; Selvaraj &amp; Chan, 2024)","plainTextFormattedCitation":"(CCCS - Consejo Colombiano de Construcción Sostenible, 2024; Selvaraj &amp; Chan, 2024)","previouslyFormattedCitation":"[22], [28]"},"properties":{"noteIndex":0},"schema":"https://github.com/citation-style-language/schema/raw/master/csl-citation.json"}</w:instrText>
      </w:r>
      <w:r w:rsidR="00B54220" w:rsidRPr="0091741D">
        <w:rPr>
          <w:rFonts w:ascii="Arial Narrow" w:hAnsi="Arial Narrow"/>
          <w:color w:val="1F1F1F"/>
        </w:rPr>
        <w:fldChar w:fldCharType="separate"/>
      </w:r>
      <w:r w:rsidR="00B54220" w:rsidRPr="0091741D">
        <w:rPr>
          <w:rFonts w:ascii="Arial Narrow" w:hAnsi="Arial Narrow"/>
          <w:noProof/>
          <w:color w:val="1F1F1F"/>
        </w:rPr>
        <w:t>(CCCS, 2024; Selvaraj &amp; Chan, 2024)</w:t>
      </w:r>
      <w:r w:rsidR="00B54220" w:rsidRPr="0091741D">
        <w:rPr>
          <w:rFonts w:ascii="Arial Narrow" w:hAnsi="Arial Narrow"/>
          <w:color w:val="1F1F1F"/>
        </w:rPr>
        <w:fldChar w:fldCharType="end"/>
      </w:r>
      <w:r w:rsidRPr="0091741D">
        <w:rPr>
          <w:rFonts w:ascii="Arial Narrow" w:hAnsi="Arial Narrow"/>
          <w:color w:val="1F1F1F"/>
        </w:rPr>
        <w:t>. Esta proporción se espera que aumente considerablemente en el futuro debido al crecimiento en el desarrollo de infraestructuras</w:t>
      </w:r>
      <w:r w:rsidR="009C5343" w:rsidRPr="0091741D">
        <w:rPr>
          <w:rFonts w:ascii="Arial Narrow" w:hAnsi="Arial Narrow"/>
          <w:color w:val="1F1F1F"/>
        </w:rPr>
        <w:t>.</w:t>
      </w:r>
      <w:r w:rsidR="00957FC3" w:rsidRPr="0091741D">
        <w:rPr>
          <w:rFonts w:ascii="Arial Narrow" w:hAnsi="Arial Narrow"/>
          <w:color w:val="1F1F1F"/>
        </w:rPr>
        <w:t xml:space="preserve"> </w:t>
      </w:r>
      <w:r w:rsidR="009C5343" w:rsidRPr="0091741D">
        <w:rPr>
          <w:rFonts w:ascii="Arial Narrow" w:hAnsi="Arial Narrow"/>
          <w:color w:val="1F1F1F"/>
        </w:rPr>
        <w:t>La escasez de recursos naturales genera un interés entre los profesionales de la construcción, las organizaciones gubernamentales y equipos de investigación sobre materiales de construcción recuperados o reciclados obtenidos de fuentes de energía renovables, con bajo impacto ambiental</w:t>
      </w:r>
      <w:r w:rsidR="00BD7D3E" w:rsidRPr="0091741D">
        <w:rPr>
          <w:rFonts w:ascii="Arial Narrow" w:hAnsi="Arial Narrow"/>
          <w:color w:val="1F1F1F"/>
        </w:rPr>
        <w:t xml:space="preserve"> </w:t>
      </w:r>
      <w:r w:rsidR="00BD7D3E"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{"citationItems":[{"id":"ITEM-1","itemData":{"DOI":"10.1016/j.procs.2022.12.200","ISSN":"18770509","abstract":"The excessive exploitation of natural resources for construction is producing an extreme impact on air pollution and global warming. In response to the extreme climate changes and the lack of primary resources that social-economic systems are experiencing all over the world, international and local governments are supporting the development of the culture of sustainable manufacturing, following the principles of the circular economy. In this context, the present study supports the research on the design of sustainable and cross-industry value chains. This paper investigates the characteristics of sustainable concrete obtained from industrial waste and recycled aggregates from construction and demolition waste. The industrial waste adopted in this study is the by-product of an industrial production process. The aim was to investigate the characteristics of such a by-product as a recycled additive for sustainable concrete and to assess its eco-compatible safety performance. The results suggest that the by-products adopted in this research provide an interesting alternative to the use of primary resources, e.g. the fine sand, in the concrete mixture. However, the optimal amount of by-products depends on the characteristics of the waste material in the mixture. The eco-compatibility test was performed to investigate the leaching behavior of the proposed sustainable concrete. The present research promotes the adoption of a cross-industry and circular approach towards sustainability, showing that the use of industrial waste to produce sustainable concrete allows benefits for all the stakeholders involved in the value chain and for society.","author":[{"dropping-particle":"","family":"Bergonzoni","given":"Marco","non-dropping-particle":"","parse-names":false,"suffix":""},{"dropping-particle":"","family":"Melloni","given":"Riccardo","non-dropping-particle":"","parse-names":false,"suffix":""},{"dropping-particle":"","family":"Botti","given":"Lucia","non-dropping-particle":"","parse-names":false,"suffix":""}],"container-title":"Procedia Computer Science","id":"ITEM-1","issue":"2022","issued":{"date-parts":[["2022"]]},"page":"41-51","publisher":"Elsevier B.V.","title":"Analysis of sustainable concrete obtained from the by-products of an industrial process and recycled aggregates from construction and demolition waste","type":"article-journal","volume":"217"},"uris":["http://www.mendeley.com/documents/?uuid=f7384ced-339f-49b5-b7f4-4c84dd21cb74"]}],"mendeley":{"formattedCitation":"(Bergonzoni et al., 2022)","plainTextFormattedCitation":"(Bergonzoni et al., 2022)","previouslyFormattedCitation":"[29]"},"properties":{"noteIndex":0},"schema":"https://github.com/citation-style-language/schema/raw/master/csl-citation.json"}</w:instrText>
      </w:r>
      <w:r w:rsidR="00BD7D3E" w:rsidRPr="0091741D">
        <w:rPr>
          <w:rFonts w:ascii="Arial Narrow" w:hAnsi="Arial Narrow"/>
          <w:color w:val="1F1F1F"/>
        </w:rPr>
        <w:fldChar w:fldCharType="separate"/>
      </w:r>
      <w:r w:rsidR="00430166" w:rsidRPr="00430166">
        <w:rPr>
          <w:rFonts w:ascii="Arial Narrow" w:hAnsi="Arial Narrow"/>
          <w:noProof/>
          <w:color w:val="1F1F1F"/>
        </w:rPr>
        <w:t>(Bergonzoni et al., 2022)</w:t>
      </w:r>
      <w:r w:rsidR="00BD7D3E" w:rsidRPr="0091741D">
        <w:rPr>
          <w:rFonts w:ascii="Arial Narrow" w:hAnsi="Arial Narrow"/>
          <w:color w:val="1F1F1F"/>
        </w:rPr>
        <w:fldChar w:fldCharType="end"/>
      </w:r>
      <w:r w:rsidR="00BD7D3E" w:rsidRPr="0091741D">
        <w:rPr>
          <w:rFonts w:ascii="Arial Narrow" w:hAnsi="Arial Narrow"/>
          <w:color w:val="1F1F1F"/>
        </w:rPr>
        <w:t>.</w:t>
      </w:r>
    </w:p>
    <w:p w:rsidR="00573375" w:rsidRPr="0091741D" w:rsidRDefault="00573375" w:rsidP="002D0878">
      <w:pPr>
        <w:spacing w:after="0" w:line="276" w:lineRule="auto"/>
        <w:jc w:val="both"/>
        <w:rPr>
          <w:rFonts w:ascii="Arial Narrow" w:hAnsi="Arial Narrow"/>
          <w:color w:val="1F1F1F"/>
        </w:rPr>
      </w:pPr>
    </w:p>
    <w:p w:rsidR="00DF0252" w:rsidRDefault="00C95829" w:rsidP="002D0878">
      <w:pPr>
        <w:spacing w:after="0" w:line="276" w:lineRule="auto"/>
        <w:jc w:val="both"/>
        <w:rPr>
          <w:rFonts w:ascii="Arial Narrow" w:hAnsi="Arial Narrow"/>
          <w:color w:val="1F1F1F"/>
        </w:rPr>
      </w:pPr>
      <w:r w:rsidRPr="0091741D">
        <w:rPr>
          <w:rFonts w:ascii="Arial Narrow" w:hAnsi="Arial Narrow"/>
        </w:rPr>
        <w:t xml:space="preserve">Una de las principales razones por las que la industria de la construcción genera una cantidad significativa de </w:t>
      </w:r>
      <w:r w:rsidR="002F304C" w:rsidRPr="0091741D">
        <w:rPr>
          <w:rFonts w:ascii="Arial Narrow" w:hAnsi="Arial Narrow"/>
        </w:rPr>
        <w:t>este tipo de recursos</w:t>
      </w:r>
      <w:r w:rsidRPr="0091741D">
        <w:rPr>
          <w:rFonts w:ascii="Arial Narrow" w:hAnsi="Arial Narrow"/>
        </w:rPr>
        <w:t xml:space="preserve"> es su enfoque económico lineal, que sigue el ciclo de extracción, producción y desecho</w:t>
      </w:r>
      <w:r w:rsidR="00E36BA7" w:rsidRPr="0091741D">
        <w:rPr>
          <w:rFonts w:ascii="Arial Narrow" w:hAnsi="Arial Narrow"/>
        </w:rPr>
        <w:t xml:space="preserve"> </w:t>
      </w:r>
      <w:r w:rsidR="00F93CE3"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{"citationItems":[{"id":"ITEM-1","itemData":{"DOI":"10.1016/j.clet.2023.100715","ISSN":"26667908","abstract":"This systematic review critically examines the intersection of digital transformation and circular economy (CE) principles within the built environment. While digitalisation has been shown to enhance efficiency, safety, and sustainability in construction, its role in fostering circularity is less established. This study analyzes literature from 2010 to 2022, focusing on how digital technologies such as open-BIM, digital twins, material passports, blockchain, RFID, and gamification can integrate into and enhance the circular building lifecycle. The findings reveal that while digital tools are pivotal in design and construction phases, their application to existing structures is less straightforward, with challenges including the absence of digital twins for demolished structures, the high costs of retrofit digitalisation, and the predominant focus on environmental benefits over practical implementation. The review also highlights the need for a unified digital transformation strategy and greater cross-industry collaboration. Future research directions are proposed, including the development of localized material banks, the application of RFID in circularity, the scope of Design for Disassembly (DfD) tools, digital inventory of existing buildings, the circularity of Life Cycle Assessment (LCA) databases, and policy implications for promoting circular construction practices.","author":[{"dropping-particle":"","family":"Banihashemi","given":"Saeed","non-dropping-particle":"","parse-names":false,"suffix":""},{"dropping-particle":"","family":"Meskin","given":"Senada","non-dropping-particle":"","parse-names":false,"suffix":""},{"dropping-particle":"","family":"Sheikhkhoshkar","given":"Moslem","non-dropping-particle":"","parse-names":false,"suffix":""},{"dropping-particle":"","family":"Mohandes","given":"Saeed Reza","non-dropping-particle":"","parse-names":false,"suffix":""},{"dropping-particle":"","family":"Hajirasouli","given":"Aso","non-dropping-particle":"","parse-names":false,"suffix":""},{"dropping-particle":"","family":"LeNguyen","given":"Khuong","non-dropping-particle":"","parse-names":false,"suffix":""}],"container-title":"Cleaner Engineering and Technology","id":"ITEM-1","issue":"August 2023","issued":{"date-parts":[["2024"]]},"page":"100715","publisher":"Elsevier Ltd","title":"Circular economy in construction: The digital transformation perspective","type":"article-journal","volume":"18"},"uris":["http://www.mendeley.com/documents/?uuid=9a9d81b8-2589-4016-a6d2-e6b21f1f56a3"]}],"mendeley":{"formattedCitation":"(Banihashemi et al., 2024)","plainTextFormattedCitation":"(Banihashemi et al., 2024)","previouslyFormattedCitation":"[30]"},"properties":{"noteIndex":0},"schema":"https://github.com/citation-style-language/schema/raw/master/csl-citation.json"}</w:instrText>
      </w:r>
      <w:r w:rsidR="00F93CE3" w:rsidRPr="0091741D">
        <w:rPr>
          <w:rFonts w:ascii="Arial Narrow" w:hAnsi="Arial Narrow"/>
          <w:color w:val="1F1F1F"/>
        </w:rPr>
        <w:fldChar w:fldCharType="separate"/>
      </w:r>
      <w:r w:rsidR="00430166" w:rsidRPr="00430166">
        <w:rPr>
          <w:rFonts w:ascii="Arial Narrow" w:hAnsi="Arial Narrow"/>
          <w:noProof/>
          <w:color w:val="1F1F1F"/>
        </w:rPr>
        <w:t>(Banihashemi et al., 2024)</w:t>
      </w:r>
      <w:r w:rsidR="00F93CE3" w:rsidRPr="0091741D">
        <w:rPr>
          <w:rFonts w:ascii="Arial Narrow" w:hAnsi="Arial Narrow"/>
          <w:color w:val="1F1F1F"/>
        </w:rPr>
        <w:fldChar w:fldCharType="end"/>
      </w:r>
      <w:r w:rsidR="00F93CE3" w:rsidRPr="0091741D">
        <w:rPr>
          <w:rFonts w:ascii="Arial Narrow" w:hAnsi="Arial Narrow"/>
          <w:color w:val="1F1F1F"/>
        </w:rPr>
        <w:t>.</w:t>
      </w:r>
      <w:r w:rsidR="00957FC3" w:rsidRPr="0091741D">
        <w:rPr>
          <w:rFonts w:ascii="Arial Narrow" w:hAnsi="Arial Narrow"/>
          <w:color w:val="1F1F1F"/>
        </w:rPr>
        <w:t xml:space="preserve"> </w:t>
      </w:r>
      <w:r w:rsidR="00E36BA7" w:rsidRPr="0091741D">
        <w:rPr>
          <w:rFonts w:ascii="Arial Narrow" w:hAnsi="Arial Narrow"/>
          <w:color w:val="1F1F1F"/>
        </w:rPr>
        <w:t xml:space="preserve">La solución podría ser implementar una </w:t>
      </w:r>
      <w:r w:rsidR="00367F20" w:rsidRPr="0091741D">
        <w:rPr>
          <w:rFonts w:ascii="Arial Narrow" w:hAnsi="Arial Narrow"/>
          <w:color w:val="1F1F1F"/>
        </w:rPr>
        <w:t>E</w:t>
      </w:r>
      <w:r w:rsidR="00E36BA7" w:rsidRPr="0091741D">
        <w:rPr>
          <w:rFonts w:ascii="Arial Narrow" w:hAnsi="Arial Narrow"/>
          <w:color w:val="1F1F1F"/>
        </w:rPr>
        <w:t xml:space="preserve">conomía </w:t>
      </w:r>
      <w:r w:rsidR="00367F20" w:rsidRPr="0091741D">
        <w:rPr>
          <w:rFonts w:ascii="Arial Narrow" w:hAnsi="Arial Narrow"/>
          <w:color w:val="1F1F1F"/>
        </w:rPr>
        <w:t>C</w:t>
      </w:r>
      <w:r w:rsidR="00E36BA7" w:rsidRPr="0091741D">
        <w:rPr>
          <w:rFonts w:ascii="Arial Narrow" w:hAnsi="Arial Narrow"/>
          <w:color w:val="1F1F1F"/>
        </w:rPr>
        <w:t xml:space="preserve">ircular </w:t>
      </w:r>
      <w:r w:rsidR="00367F20" w:rsidRPr="0091741D">
        <w:rPr>
          <w:rFonts w:ascii="Arial Narrow" w:hAnsi="Arial Narrow"/>
          <w:color w:val="1F1F1F"/>
        </w:rPr>
        <w:t xml:space="preserve">(EC) </w:t>
      </w:r>
      <w:r w:rsidR="00E36BA7" w:rsidRPr="0091741D">
        <w:rPr>
          <w:rFonts w:ascii="Arial Narrow" w:hAnsi="Arial Narrow"/>
          <w:color w:val="1F1F1F"/>
        </w:rPr>
        <w:t>que aproveche los residuos</w:t>
      </w:r>
      <w:r w:rsidR="00C9672A" w:rsidRPr="0091741D">
        <w:rPr>
          <w:rFonts w:ascii="Arial Narrow" w:hAnsi="Arial Narrow"/>
          <w:color w:val="1F1F1F"/>
        </w:rPr>
        <w:t>.</w:t>
      </w:r>
      <w:r w:rsidR="00962399" w:rsidRPr="0091741D">
        <w:rPr>
          <w:rFonts w:ascii="Arial Narrow" w:hAnsi="Arial Narrow"/>
          <w:color w:val="1F1F1F"/>
        </w:rPr>
        <w:t xml:space="preserve"> </w:t>
      </w:r>
      <w:r w:rsidR="00903E49" w:rsidRPr="0091741D">
        <w:rPr>
          <w:rFonts w:ascii="Arial Narrow" w:hAnsi="Arial Narrow"/>
          <w:color w:val="1F1F1F"/>
        </w:rPr>
        <w:t xml:space="preserve">Según </w:t>
      </w:r>
      <w:r w:rsidR="00903E49" w:rsidRPr="0091741D">
        <w:rPr>
          <w:rFonts w:ascii="Arial Narrow" w:hAnsi="Arial Narrow"/>
          <w:color w:val="1F1F1F"/>
        </w:rPr>
        <w:fldChar w:fldCharType="begin" w:fldLock="1"/>
      </w:r>
      <w:r w:rsidR="004C3419">
        <w:rPr>
          <w:rFonts w:ascii="Arial Narrow" w:hAnsi="Arial Narrow"/>
          <w:color w:val="1F1F1F"/>
        </w:rPr>
        <w:instrText>ADDIN CSL_CITATION {"citationItems":[{"id":"ITEM-1","itemData":{"DOI":"10.1016/j.clpl.2024.100060","ISSN":"26667916","abstract":"Climate change has become a global problem, and the construction industry (CI) contributes significantly to this challenge. To circumvent these effects, the circular economy (CE) concept should be implemented in the CI. Developing economies could possess significant potential for implementing CE principles to attain sustainability, particularly in the CI. However, achieving this would require professionals in the CI to adopt some key competencies that should propel success in circular construction. Therefore, this study aims to identify the key competencies required by professionals in the CI to attain circular construction using Ghana as a case study. A quantitative research approach and purposive sampling technique were adopted. After an extensive literature review which showed several key competencies, a cross-sectional survey was conducted among five large construction firms and fifty-two responses from experienced professionals in the industry were obtained. Relative importance index and principal component factor analysis (PCFA) were adopted to evaluate the obtained data. Key significant competency skills for construction professionals to propel circular construction were identified such as specification writing for components and materials, designing for multiple-use cycles, and designing for near-zero energy buildings, among others. Three components were extracted from the PCFA which served as the guidelines for enhancing the competency skills of construction professionals namely, implementing sustainable circular practices, embracing sustainable operations management techniques, and adopting sustainable design principles. In addition, to enhance its practical implications, a competency implementation framework was also developed for construction professionals of developing economies to propel the adoption and evaluation of their competency skills toward circular construction.","author":[{"dropping-particle":"","family":"Quashie","given":"Roland","non-dropping-particle":"","parse-names":false,"suffix":""},{"dropping-particle":"","family":"Fugar","given":"Frank D.K.","non-dropping-particle":"","parse-names":false,"suffix":""},{"dropping-particle":"","family":"Antwi-Afari","given":"Prince","non-dropping-particle":"","parse-names":false,"suffix":""},{"dropping-particle":"","family":"Ng","given":"S. Thomas","non-dropping-particle":"","parse-names":false,"suffix":""}],"container-title":"Cleaner Production Letters","id":"ITEM-1","issue":"March","issued":{"date-parts":[["2024"]]},"page":"100060","publisher":"Elsevier Ltd","title":"Evaluating the key competency skills of construction professionals for the attainment of circular construction in developing economies","type":"article-journal","volume":"6"},"uris":["http://www.mendeley.com/documents/?uuid=7a007ae1-e0ba-4197-97f4-4803dd09fbc2"]}],"mendeley":{"formattedCitation":"(Quashie et al., 2024)","manualFormatting":"Quashie et al., (2024","plainTextFormattedCitation":"(Quashie et al., 2024)","previouslyFormattedCitation":"[31]"},"properties":{"noteIndex":0},"schema":"https://github.com/citation-style-language/schema/raw/master/csl-citation.json"}</w:instrText>
      </w:r>
      <w:r w:rsidR="00903E49" w:rsidRPr="0091741D">
        <w:rPr>
          <w:rFonts w:ascii="Arial Narrow" w:hAnsi="Arial Narrow"/>
          <w:color w:val="1F1F1F"/>
        </w:rPr>
        <w:fldChar w:fldCharType="separate"/>
      </w:r>
      <w:r w:rsidR="00903E49" w:rsidRPr="0091741D">
        <w:rPr>
          <w:rFonts w:ascii="Arial Narrow" w:hAnsi="Arial Narrow"/>
          <w:noProof/>
          <w:color w:val="1F1F1F"/>
        </w:rPr>
        <w:t xml:space="preserve">Quashie et al., </w:t>
      </w:r>
      <w:r w:rsidR="004C3419">
        <w:rPr>
          <w:rFonts w:ascii="Arial Narrow" w:hAnsi="Arial Narrow"/>
          <w:noProof/>
          <w:color w:val="1F1F1F"/>
        </w:rPr>
        <w:t>(</w:t>
      </w:r>
      <w:r w:rsidR="00903E49" w:rsidRPr="0091741D">
        <w:rPr>
          <w:rFonts w:ascii="Arial Narrow" w:hAnsi="Arial Narrow"/>
          <w:noProof/>
          <w:color w:val="1F1F1F"/>
        </w:rPr>
        <w:t>2024</w:t>
      </w:r>
      <w:r w:rsidR="00903E49" w:rsidRPr="0091741D">
        <w:rPr>
          <w:rFonts w:ascii="Arial Narrow" w:hAnsi="Arial Narrow"/>
          <w:color w:val="1F1F1F"/>
        </w:rPr>
        <w:fldChar w:fldCharType="end"/>
      </w:r>
      <w:r w:rsidR="004C3419">
        <w:rPr>
          <w:rFonts w:ascii="Arial Narrow" w:hAnsi="Arial Narrow"/>
          <w:color w:val="1F1F1F"/>
        </w:rPr>
        <w:t>)</w:t>
      </w:r>
      <w:r w:rsidR="00903E49" w:rsidRPr="0091741D">
        <w:rPr>
          <w:rFonts w:ascii="Arial Narrow" w:hAnsi="Arial Narrow"/>
          <w:color w:val="1F1F1F"/>
        </w:rPr>
        <w:t xml:space="preserve"> l</w:t>
      </w:r>
      <w:r w:rsidR="00AE0345" w:rsidRPr="0091741D">
        <w:rPr>
          <w:rFonts w:ascii="Arial Narrow" w:hAnsi="Arial Narrow"/>
          <w:color w:val="1F1F1F"/>
        </w:rPr>
        <w:t xml:space="preserve">as economías en desarrollo podrían poseer un potencial significativo para implementar los principios de </w:t>
      </w:r>
      <w:r w:rsidR="00903E49" w:rsidRPr="0091741D">
        <w:rPr>
          <w:rFonts w:ascii="Arial Narrow" w:hAnsi="Arial Narrow"/>
          <w:color w:val="1F1F1F"/>
        </w:rPr>
        <w:t>EC</w:t>
      </w:r>
      <w:r w:rsidR="00AE0345" w:rsidRPr="0091741D">
        <w:rPr>
          <w:rFonts w:ascii="Arial Narrow" w:hAnsi="Arial Narrow"/>
          <w:color w:val="1F1F1F"/>
        </w:rPr>
        <w:t xml:space="preserve"> para lograr la sostenibilidad</w:t>
      </w:r>
      <w:r w:rsidR="00903E49" w:rsidRPr="0091741D">
        <w:rPr>
          <w:rFonts w:ascii="Arial Narrow" w:hAnsi="Arial Narrow"/>
          <w:color w:val="1F1F1F"/>
        </w:rPr>
        <w:t>.</w:t>
      </w:r>
      <w:r w:rsidR="00962399" w:rsidRPr="0091741D">
        <w:rPr>
          <w:rFonts w:ascii="Arial Narrow" w:hAnsi="Arial Narrow"/>
          <w:color w:val="1F1F1F"/>
        </w:rPr>
        <w:t xml:space="preserve"> </w:t>
      </w:r>
    </w:p>
    <w:p w:rsidR="00573375" w:rsidRDefault="00573375" w:rsidP="002D0878">
      <w:pPr>
        <w:spacing w:after="0" w:line="276" w:lineRule="auto"/>
        <w:jc w:val="both"/>
        <w:rPr>
          <w:rFonts w:ascii="Arial Narrow" w:hAnsi="Arial Narrow"/>
          <w:color w:val="1F1F1F"/>
        </w:rPr>
      </w:pPr>
    </w:p>
    <w:p w:rsidR="00282AB5" w:rsidRDefault="008F788E" w:rsidP="002D0878">
      <w:pPr>
        <w:spacing w:after="0" w:line="276" w:lineRule="auto"/>
        <w:jc w:val="both"/>
        <w:rPr>
          <w:rFonts w:ascii="Arial Narrow" w:hAnsi="Arial Narrow"/>
          <w:color w:val="1F1F1F"/>
          <w:lang w:val="en-US"/>
        </w:rPr>
      </w:pPr>
      <w:r w:rsidRPr="0091741D">
        <w:rPr>
          <w:rFonts w:ascii="Arial Narrow" w:hAnsi="Arial Narrow"/>
          <w:color w:val="1F1F1F"/>
        </w:rPr>
        <w:t>Aproximadamente entre el 25% y el 40% de los desechos sólidos del mundo son el resultado de actividades relacionadas a la construcción como lo son los RCD</w:t>
      </w:r>
      <w:r w:rsidR="00E5792A" w:rsidRPr="0091741D">
        <w:rPr>
          <w:rFonts w:ascii="Arial Narrow" w:hAnsi="Arial Narrow"/>
          <w:color w:val="1F1F1F"/>
        </w:rPr>
        <w:t xml:space="preserve">  </w:t>
      </w:r>
      <w:r w:rsidR="00E5792A"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{"citationItems":[{"id":"ITEM-1","itemData":{"DOI":"10.1016/j.envc.2024.100841","ISSN":"26670100","abstract":"While pivotal for economic growth, the global construction sector confronts critical challenges due to its resource-intensive practices and environmental impact. Leadership within this industry becomes essential as the imperative for sustainable development gains prominence. This study addresses a significant knowledge gap by investigating the nexus between sustainable leadership practices and the construction sector, focusing on Pakistan. A comprehensive framework is developed by combining literature review, expert analysis, and robust statistical methods. Data collection involved questionnaire involving 206 participants from construction industry professionals in Pakistan. The study examines the relation of green building design, certification standards, life cycle assessment, renewable energy integration, resilient infrastructure, social equity and inclusion, and waste management with sustainable leadership practices. The findings affirm the positive and significant relationships between these dimensions and sustainable leadership. The study contributes to academia and industry, offering a novel understanding of how sustainable leadership can drive resilient and eco-conscious practices in construction. These insights hold implications for shaping policies, fostering industry transformation, and creating a sustainable and resilient built environment for the future.","author":[{"dropping-particle":"","family":"Waqar","given":"Ahsan","non-dropping-particle":"","parse-names":false,"suffix":""},{"dropping-particle":"","family":"Houda","given":"Moustafa","non-dropping-particle":"","parse-names":false,"suffix":""},{"dropping-particle":"","family":"Khan","given":"Abdul Mateen","non-dropping-particle":"","parse-names":false,"suffix":""},{"dropping-particle":"","family":"Qureshi","given":"Abdul Hannan","non-dropping-particle":"","parse-names":false,"suffix":""},{"dropping-particle":"","family":"Elmazi","given":"Gremina","non-dropping-particle":"","parse-names":false,"suffix":""}],"container-title":"Environmental Challenges","id":"ITEM-1","issue":"August 2023","issued":{"date-parts":[["2024"]]},"page":"100841","publisher":"Elsevier B.V.","title":"Sustainable leadership practices in construction: Building a resilient society","type":"article-journal","volume":"14"},"uris":["http://www.mendeley.com/documents/?uuid=d5656b65-bf36-42d7-8688-b3fa1ec2285a"]}],"mendeley":{"formattedCitation":"(Waqar et al., 2024)","plainTextFormattedCitation":"(Waqar et al., 2024)","previouslyFormattedCitation":"[3]"},"properties":{"noteIndex":0},"schema":"https://github.com/citation-style-language/schema/raw/master/csl-citation.json"}</w:instrText>
      </w:r>
      <w:r w:rsidR="00E5792A" w:rsidRPr="0091741D">
        <w:rPr>
          <w:rFonts w:ascii="Arial Narrow" w:hAnsi="Arial Narrow"/>
          <w:color w:val="1F1F1F"/>
        </w:rPr>
        <w:fldChar w:fldCharType="separate"/>
      </w:r>
      <w:r w:rsidR="00430166" w:rsidRPr="00430166">
        <w:rPr>
          <w:rFonts w:ascii="Arial Narrow" w:hAnsi="Arial Narrow"/>
          <w:noProof/>
          <w:color w:val="1F1F1F"/>
        </w:rPr>
        <w:t>(Waqar et al., 2024)</w:t>
      </w:r>
      <w:r w:rsidR="00E5792A" w:rsidRPr="0091741D">
        <w:rPr>
          <w:rFonts w:ascii="Arial Narrow" w:hAnsi="Arial Narrow"/>
          <w:color w:val="1F1F1F"/>
        </w:rPr>
        <w:fldChar w:fldCharType="end"/>
      </w:r>
      <w:r w:rsidR="00E5792A" w:rsidRPr="0091741D">
        <w:rPr>
          <w:rFonts w:ascii="Arial Narrow" w:hAnsi="Arial Narrow"/>
          <w:color w:val="1F1F1F"/>
        </w:rPr>
        <w:t>.</w:t>
      </w:r>
      <w:r w:rsidR="0091741D" w:rsidRPr="0091741D">
        <w:rPr>
          <w:rFonts w:ascii="Arial Narrow" w:hAnsi="Arial Narrow"/>
          <w:color w:val="1F1F1F"/>
        </w:rPr>
        <w:t xml:space="preserve"> </w:t>
      </w:r>
      <w:r w:rsidR="00DF11ED" w:rsidRPr="0091741D">
        <w:rPr>
          <w:rFonts w:ascii="Arial Narrow" w:hAnsi="Arial Narrow"/>
          <w:color w:val="1F1F1F"/>
        </w:rPr>
        <w:t xml:space="preserve">Al </w:t>
      </w:r>
      <w:r w:rsidR="00E00918" w:rsidRPr="0091741D">
        <w:rPr>
          <w:rFonts w:ascii="Arial Narrow" w:hAnsi="Arial Narrow"/>
          <w:color w:val="1F1F1F"/>
        </w:rPr>
        <w:t>desarrollar estrategias de reciclaje de los</w:t>
      </w:r>
      <w:r w:rsidR="00CB0FE9" w:rsidRPr="0091741D">
        <w:rPr>
          <w:rFonts w:ascii="Arial Narrow" w:hAnsi="Arial Narrow"/>
          <w:color w:val="1F1F1F"/>
        </w:rPr>
        <w:t xml:space="preserve"> </w:t>
      </w:r>
      <w:r w:rsidR="00E00918" w:rsidRPr="0091741D">
        <w:rPr>
          <w:rFonts w:ascii="Arial Narrow" w:hAnsi="Arial Narrow"/>
          <w:color w:val="1F1F1F"/>
        </w:rPr>
        <w:t>RCD</w:t>
      </w:r>
      <w:r w:rsidR="00DF11ED" w:rsidRPr="0091741D">
        <w:rPr>
          <w:rFonts w:ascii="Arial Narrow" w:hAnsi="Arial Narrow"/>
          <w:color w:val="1F1F1F"/>
        </w:rPr>
        <w:t xml:space="preserve">, es posible disminuir la cantidad de escombros en botaderos autorizados, conservar los recursos naturales, </w:t>
      </w:r>
      <w:r w:rsidR="00E00918" w:rsidRPr="0091741D">
        <w:rPr>
          <w:rFonts w:ascii="Arial Narrow" w:hAnsi="Arial Narrow"/>
          <w:color w:val="1F1F1F"/>
        </w:rPr>
        <w:t xml:space="preserve">el consumo de materiales de construcción, </w:t>
      </w:r>
      <w:r w:rsidR="00DF11ED" w:rsidRPr="0091741D">
        <w:rPr>
          <w:rFonts w:ascii="Arial Narrow" w:hAnsi="Arial Narrow"/>
          <w:color w:val="1F1F1F"/>
        </w:rPr>
        <w:t>ahorrar energía en la obtención de nuevas materias primas y reducir el impacto ambiental</w:t>
      </w:r>
      <w:r w:rsidR="0091166C">
        <w:rPr>
          <w:rFonts w:ascii="Arial Narrow" w:hAnsi="Arial Narrow"/>
          <w:color w:val="1F1F1F"/>
        </w:rPr>
        <w:t xml:space="preserve"> </w:t>
      </w:r>
      <w:r w:rsidR="006D66CD">
        <w:rPr>
          <w:rFonts w:ascii="Arial Narrow" w:hAnsi="Arial Narrow"/>
          <w:color w:val="1F1F1F"/>
        </w:rPr>
        <w:fldChar w:fldCharType="begin" w:fldLock="1"/>
      </w:r>
      <w:r w:rsidR="00430166">
        <w:rPr>
          <w:rFonts w:ascii="Arial Narrow" w:hAnsi="Arial Narrow"/>
          <w:color w:val="1F1F1F"/>
        </w:rPr>
        <w:instrText>ADDIN CSL_CITATION {"citationItems":[{"id":"ITEM-1","itemData":{"author":[{"dropping-particle":"","family":"Environmental Protection Agency","given":"","non-dropping-particle":"","parse-names":false,"suffix":""}],"id":"ITEM-1","issued":{"date-parts":[["2021"]]},"number-of-pages":"49","publisher-place":"Wexford","title":".Best practice guidelines for the preparation of resource &amp; waste management plans for construction &amp; demolition projects.","type":"book"},"uris":["http://www.mendeley.com/documents/?uuid=3c9bf521-d88d-4130-ab17-7542336eb78a"]},{"id":"ITEM-2","itemData":{"DOI":"10.1016/j.sftr.2024.100179","ISSN":"26661888","abstract":"Widespread illegal disposal of surging construction and demolition waste (CDW) is a prominent threat to recycling, leading to resource wastage and environmental issues. The lack of data is a major barrier to designing an effective waste management system in emerging economies. Employing a mixed-method approach, a cross-sectional case study was conducted on an Indian city to assess the existing system and investigate the root causes of low recycling rates and limited demand for recycled materials. The study finds that (a) illegal disposal is prevalent due to the \"end-of-pipe\" approach of the waste management system, (b) policy enforcement on waste generators is weak, (c) low-rise residential buildings are the major contributor of waste, (d) low demand for recycled material is due to lack of awareness, marketing, incentives, and high costs, (e) transportation costs are 50 % higher than the recycled material cost, and (f) lack of segregation leading to the production of low-value materials. All these factors make recycling unattractive and the circular economy (CE) unfeasible. Stakeholder awareness, a centralized trading platform, and integrated waste management systems are essential to promote recycling and advance SDGs 9, 11, and 12, focusing on industry, sustainable cities, and responsible consumption and production.","author":[{"dropping-particle":"","family":"HaitherAli","given":"Hammadhu","non-dropping-particle":"","parse-names":false,"suffix":""},{"dropping-particle":"","family":"G","given":"Anjali","non-dropping-particle":"","parse-names":false,"suffix":""}],"container-title":"Sustainable Futures","id":"ITEM-2","issue":"November 2023","issued":{"date-parts":[["2024"]]},"page":"100179","publisher":"Elsevier Ltd","title":"Sustainable urban development: Evaluating the potential of mineral-based construction and demolition waste recycling in emerging economies","type":"article-journal","volume":"7"},"uris":["http://www.mendeley.com/documents/?uuid=f6f10de6-54cf-4b37-b8b0-9b85981fd94a"]},{"id":"ITEM-3","itemData":{"DOI":"10.1016/j.mtsust.2024.100930","ISSN":"2589-2347","abstract":"S. Yap, Conversion of waste into sustainable construction materials: A review of recent developments and prospects, Materials Today Sustainability, https://doi.org/10.1016/j.mtsust.2024.100930. This is a PDF file of an article that has undergone enhancements after acceptance, such as the addition of a cover page and metadata, and formatting for readability, but it is not yet the definitive version of record. This version will undergo additional copyediting, typesetting and review before it is published in its final form, but we are providing this version to give early visibility of the article. Please note that, during the production process, errors may be discovered which could affect the content, and all legal disclaimers that apply to the journal pertain. Abstract: The production and use of traditional building materials contribute to environmental 28 pollution and natural resource depletion. Besides, disposal of agricultural, industrial, and 29 construction waste and other solid wastes is a significant contemporary for both developing and 30 developed countries. Consequently, this study comprehensively examines sustainable 31 construction materials (SCMs) sourced from waste materials. It analyzes 190 peer-reviewed 32 papers, evaluating their properties, engineering suitability, and their impacts on the environment, 33 economy, and society. Findings reveal that most SCMs have good engineering performance, 34 yet improvements are needed in demonstrating their environmental (33.3%), economic (40%), 35 and social sustainability (73.3%). Also, most SCMs are in experimental stages, requiring further 36 research on human toxicity, long-term savings, maintenance costs, and other vital indicators. 37 J o u r n a l P r e-p r o o f 2 This review highlights some of the current challenges facing SCMs to promote their further 38 studies, reduce non-renewable energy consumption and solid waste recycling, and facilitate 39 their application in green buildings. 40","author":[{"dropping-particle":"","family":"Chen","given":"Lin","non-dropping-particle":"","parse-names":false,"suffix":""},{"dropping-particle":"","family":"Yang","given":"Mingyu","non-dropping-particle":"","parse-names":false,"suffix":""},{"dropping-particle":"","family":"Chen","given":"Zhonghao","non-dropping-particle":"","parse-names":false,"suffix":""},{"dropping-particle":"","family":"Xie","given":"Zhuolin","non-dropping-particle":"","parse-names":false,"suffix":""},{"dropping-particle":"","family":"Huang","given":"Lepeng","non-dropping-particle":"","parse-names":false,"suffix":""},{"dropping-particle":"","family":"Osman","given":"Ahmed I","non-dropping-particle":"","parse-names":false,"suffix":""},{"dropping-particle":"","family":"Farghali","given":"Mohamed","non-dropping-particle":"","parse-names":false,"suffix":""},{"dropping-particle":"","family":"Sandanayake","given":"Malindu","non-dropping-particle":"","parse-names":false,"suffix":""},{"dropping-particle":"","family":"Liu","given":"Engui","non-dropping-particle":"","parse-names":false,"suffix":""},{"dropping-particle":"","family":"Han Ahn","given":"Yong","non-dropping-particle":"","parse-names":false,"suffix":""},{"dropping-particle":"","family":"Al-Muhtaseb","given":"H","non-dropping-particle":"","parse-names":false,"suffix":""},{"dropping-particle":"","family":"Rooney","given":"David W","non-dropping-particle":"","parse-names":false,"suffix":""},{"dropping-particle":"","family":"Yap","given":"Pow-Seng","non-dropping-particle":"","parse-names":false,"suffix":""},{"dropping-particle":"","family":"Chen","given":"L","non-dropping-particle":"","parse-names":false,"suffix":""},{"dropping-particle":"","family":"Yang","given":"M","non-dropping-particle":"","parse-names":false,"suffix":""},{"dropping-particle":"","family":"Chen","given":"Z","non-dropping-particle":"","parse-names":false,"suffix":""},{"dropping-particle":"","family":"Xie","given":"Z","non-dropping-particle":"","parse-names":false,"suffix":""},{"dropping-particle":"","family":"Huang","given":"L","non-dropping-particle":"","parse-names":false,"suffix":""},{"dropping-particle":"","family":"Osman","given":"Ai","non-dropping-particle":"","parse-names":false,"suffix":""},{"dropping-particle":"","family":"Farghali","given":"M","non-dropping-particle":"","parse-names":false,"suffix":""},{"dropping-particle":"","family":"Sandanayake","given":"M","non-dropping-particle":"","parse-names":false,"suffix":""},{"dropping-particle":"","family":"Liu","given":"E","non-dropping-particle":"","parse-names":false,"suffix":""},{"dropping-particle":"","family":"Ahn","given":"YH","non-dropping-particle":"","parse-names":false,"suffix":""},{"dropping-particle":"","family":"Al-Muhtaseb","given":"aH","non-dropping-particle":"","parse-names":false,"suffix":""},{"dropping-particle":"","family":"Rooney","given":"DW","non-dropping-particle":"","parse-names":false,"suffix":""}],"container-title":"Materials Today Sustainability","id":"ITEM-3","issue":"July","issued":{"date-parts":[["2024"]]},"page":"100930","publisher":"Elsevier Ltd","title":"Journal Pre-proof Conversion of waste into sustainable construction materials: A review of recent developments and prospects Conversion of waste into sustainable construction materials: A review of recent 1 developments and prospects 2","type":"article-journal","volume":"27"},"uris":["http://www.mendeley.com/documents/?uuid=442038b6-8515-414c-885d-9156c64c0b54"]},{"id":"ITEM-4","itemData":{"DOI":"10.1016/j.rcrx.2020.100036","ISSN":"2590289X","abstract":"The sharply increasing solid waste generation has raised the environmental concerns worldwide which currently have been escalated to a worrying level. Intending to eliminate the negative environmental impacts of solid waste and meanwhile promote sustainability on the energy- and resource-intensive construction and building sector, considerable efforts have been devoted to recycling solid waste for the possible use in sustainable construction material products. This paper reviews the existing studies on recycling municipal and construction solid waste for the manufacture of geopolymer composites. Special attention is paid to the predominate performance of these geopolymer composite products. The principal findings of this work reveal that municipal and construction solid waste could be successfully incorporated into geopolymer composites in the forms of precursor, aggregate, additive, reinforcement fiber, or filling material. Additionally, the results indicate that although the inclusion of such waste might depress some of the attributes of geopolymer composites, proper proportion design and suitable treatment technique could alleviate these detrimental effects and further smooth the recycling progress. Finally, a brief discussion is provided to identify the important needs in the future research and development for promoting the utilization of solid waste materials in the forthcoming sustainable geopolymer industry. In summary, this work offers guidance for the bet</w:instrText>
      </w:r>
      <w:r w:rsidR="00430166" w:rsidRPr="00430166">
        <w:rPr>
          <w:rFonts w:ascii="Arial Narrow" w:hAnsi="Arial Narrow"/>
          <w:color w:val="1F1F1F"/>
          <w:lang w:val="en-US"/>
        </w:rPr>
        <w:instrText>ter ecological choice to municipal and construction solid waste through developing waste materials into highly environmental-friendly construction materials.","author":[{"dropping-particle":"","family":"Tang","given":"Zhuo","non-dropping-particle":"","parse-names":false,"suffix":""},{"dropping-particle":"","family":"Li","given":"Wengui","non-dropping-particle":"","parse-names":false,"suffix":""},{"dropping-particle":"","family":"Tam","given":"Vivian W.Y.","non-dropping-particle":"","parse-names":false,"suffix":""},{"dropping-particle":"","family":"Xue","given":"Caihong","non-dropping-particle":"","parse-names":false,"suffix":""}],"container-title":"Resources, Conservation and Recycling: X","id":"ITEM-4","issue":"March","issued":{"date-parts":[["2020"]]},"page":"100036","publisher":"Elsevier","title":"Advanced progress in recycling municipal and construction solid wastes for manufacturing sustainable construction materials","type":"article-journal","volume":"6"},"uris":["http://www.mendeley.com/documents/?uuid=4bbde203-1190-46c1-9888-a7b516699ec7"]}],"mendeley":{"formattedCitation":"(L. Chen et al., 2024; Environmental Protection Agency, 2021; HaitherAli &amp; G, 2024; Tang et al., 2020)","plainTextFormattedCitation":"(L. Chen et al., 2024; Environmental Protection Agency, 2021; HaitherAli &amp; G, 2024; Tang et al., 2020)","previouslyFormattedCitation":"[33]–[36]"},"properties":{"noteIndex":0},"schema":"https://github.com/citation-style-language/schema/raw/master/csl-citation.json"}</w:instrText>
      </w:r>
      <w:r w:rsidR="006D66CD">
        <w:rPr>
          <w:rFonts w:ascii="Arial Narrow" w:hAnsi="Arial Narrow"/>
          <w:color w:val="1F1F1F"/>
        </w:rPr>
        <w:fldChar w:fldCharType="separate"/>
      </w:r>
      <w:r w:rsidR="00430166" w:rsidRPr="00430166">
        <w:rPr>
          <w:rFonts w:ascii="Arial Narrow" w:hAnsi="Arial Narrow"/>
          <w:noProof/>
          <w:color w:val="1F1F1F"/>
          <w:lang w:val="en-US"/>
        </w:rPr>
        <w:t>(L. Chen et al., 2024; Environmental Protection Agency, 2021; HaitherAli &amp; G, 2024; Tang et al., 2020)</w:t>
      </w:r>
      <w:r w:rsidR="006D66CD">
        <w:rPr>
          <w:rFonts w:ascii="Arial Narrow" w:hAnsi="Arial Narrow"/>
          <w:color w:val="1F1F1F"/>
        </w:rPr>
        <w:fldChar w:fldCharType="end"/>
      </w:r>
      <w:r w:rsidR="004D71CD" w:rsidRPr="00430166">
        <w:rPr>
          <w:rFonts w:ascii="Arial Narrow" w:hAnsi="Arial Narrow"/>
          <w:color w:val="1F1F1F"/>
          <w:lang w:val="en-US"/>
        </w:rPr>
        <w:t>.</w:t>
      </w:r>
      <w:r w:rsidR="00E661FB" w:rsidRPr="00430166">
        <w:rPr>
          <w:rFonts w:ascii="Arial Narrow" w:hAnsi="Arial Narrow"/>
          <w:color w:val="1F1F1F"/>
          <w:lang w:val="en-US"/>
        </w:rPr>
        <w:t xml:space="preserve"> </w:t>
      </w:r>
    </w:p>
    <w:p w:rsidR="00573375" w:rsidRDefault="00573375" w:rsidP="002D0878">
      <w:pPr>
        <w:spacing w:after="0" w:line="276" w:lineRule="auto"/>
        <w:jc w:val="both"/>
        <w:rPr>
          <w:rFonts w:ascii="Arial Narrow" w:hAnsi="Arial Narrow"/>
          <w:color w:val="1F1F1F"/>
          <w:lang w:val="en-US"/>
        </w:rPr>
      </w:pPr>
    </w:p>
    <w:p w:rsidR="00C9672A" w:rsidRDefault="003555D1" w:rsidP="002D0878">
      <w:pPr>
        <w:spacing w:after="0" w:line="276" w:lineRule="auto"/>
        <w:jc w:val="both"/>
        <w:rPr>
          <w:rFonts w:ascii="Arial Narrow" w:hAnsi="Arial Narrow"/>
          <w:color w:val="1F1F1F"/>
        </w:rPr>
      </w:pPr>
      <w:r w:rsidRPr="0091741D">
        <w:rPr>
          <w:rFonts w:ascii="Arial Narrow" w:hAnsi="Arial Narrow"/>
          <w:color w:val="1F1F1F"/>
        </w:rPr>
        <w:t xml:space="preserve">Los RCD tienen un buen potencial de reciclaje, ya que el 80% de ellos se pueden reciclar de manera eficiente si se gestionan adecuadamente </w:t>
      </w:r>
      <w:r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{"citationItems":[{"id":"ITEM-1","itemData":{"DOI":"10.1016/j.clema.2024.100266","ISSN":"27723976","abstract":"In recent times, the continuous growth of construction and demolition (C&amp;D) activities have resulted in increases in the utilization of natural resources as well as global C&amp;D waste production. A major part of C&amp;D waste produced is dumped in landfills worldwide although some countries have adopted good recycling and reuse facilities to generated C&amp;D waste. Based on an extensive critical review of published literature on the topic including global C&amp;D waste recycling statistics and composition of generated wastes, this paper identifies key physical, mechanical, and geotechnical characteristics of recycled C&amp;D waste aggregates specific to use as pavement base or subbase materials. Recycled aggregates typically have sufficient CBR, abrasion resistance, compressive strength and resilient modulus in accordance with various road standard specifications, which enable their applications for pavement base and subbase layer construction. Recycled aggregates typically have higher water absorption and lower specific gravity values than virgin aggregates. Furthermore, this study evaluates the feasibility and effectiveness of recycled aggregates in pavement base and subbase layers based on the detailed laboratory investigations. Additionally, case studies involving large-volume utilization of recycled aggregates for field-scale pavement construction are presented facilitating the broader adoption of recycled materials in sustainable construction of road pavements. These studies document crucial insights into its real field performance in terms of strength, durability and longevity. Finally, authors have discussed the potential challenges, research gaps and future insights on the use of recycled aggregates in pavement construction. The use of recycled aggregates in pavement construction still has some barriers and challenges such as availability in bulk quantity especially at the field scale and absence of road standards for application, which require further research and practical developments to promote the sustainable use of these materials in the future.","author":[{"dropping-particle":"","family":"Abedin Khan","given":"Zainul","non-dropping-particle":"","parse-names":false,"suffix":""},{"dropping-particle":"","family":"Balunaini","given":"Umashankar","non-dropping-particle":"","parse-names":false,"suffix":""},{"dropping-particle":"","family":"Costa","given":"Susanga","non-dropping-particle":"","parse-names":false,"suffix":""},{"dropping-particle":"","family":"Nguyen","given":"Nhu H.T.","non-dropping-particle":"","parse-names":false,"suffix":""}],"container-title":"Cleaner Materials","id":"ITEM-1","issue":"April","issued":{"date-parts":[["2024"]]},"page":"100266","publisher":"Elsevier Ltd","title":"A review on sustainable use of recycled construction and demolition waste aggregates in pavement base and subbase layers","type":"article-journal","volume":"13"},"uris":["http://www.mendeley.com/documents/?uuid=d342ca2c-a7c4-462e-b685-469798ee1773"]}],"mendeley":{"formattedCitation":"(Abedin Khan et al., 2024)","plainTextFormattedCitation":"(Abedin Khan et al., 2024)","previouslyFormattedCitation":"[37]"},"properties":{"noteIndex":0},"schema":"https://github.com/citation-style-language/schema/raw/master/csl-citation.json"}</w:instrText>
      </w:r>
      <w:r w:rsidRPr="0091741D">
        <w:rPr>
          <w:rFonts w:ascii="Arial Narrow" w:hAnsi="Arial Narrow"/>
          <w:color w:val="1F1F1F"/>
        </w:rPr>
        <w:fldChar w:fldCharType="separate"/>
      </w:r>
      <w:r w:rsidR="00430166" w:rsidRPr="00430166">
        <w:rPr>
          <w:rFonts w:ascii="Arial Narrow" w:hAnsi="Arial Narrow"/>
          <w:noProof/>
          <w:color w:val="1F1F1F"/>
        </w:rPr>
        <w:t>(Abedin Khan et al., 2024)</w:t>
      </w:r>
      <w:r w:rsidRPr="0091741D">
        <w:rPr>
          <w:rFonts w:ascii="Arial Narrow" w:hAnsi="Arial Narrow"/>
          <w:color w:val="1F1F1F"/>
        </w:rPr>
        <w:fldChar w:fldCharType="end"/>
      </w:r>
      <w:r w:rsidR="00CB046D" w:rsidRPr="0091741D">
        <w:rPr>
          <w:rFonts w:ascii="Arial Narrow" w:hAnsi="Arial Narrow"/>
          <w:color w:val="1F1F1F"/>
        </w:rPr>
        <w:t xml:space="preserve">, </w:t>
      </w:r>
      <w:r w:rsidR="00E661FB" w:rsidRPr="0091741D">
        <w:rPr>
          <w:rFonts w:ascii="Arial Narrow" w:hAnsi="Arial Narrow"/>
          <w:color w:val="1F1F1F"/>
        </w:rPr>
        <w:t xml:space="preserve">de acuerdo con el CONPES 3874 de 2016 </w:t>
      </w:r>
      <w:r w:rsidR="00CB046D" w:rsidRPr="0091741D">
        <w:rPr>
          <w:rFonts w:ascii="Arial Narrow" w:hAnsi="Arial Narrow"/>
          <w:color w:val="1F1F1F"/>
        </w:rPr>
        <w:t>en Colombia solo</w:t>
      </w:r>
      <w:r w:rsidR="00FF129E" w:rsidRPr="0091741D">
        <w:rPr>
          <w:rFonts w:ascii="Arial Narrow" w:hAnsi="Arial Narrow"/>
          <w:color w:val="1F1F1F"/>
        </w:rPr>
        <w:t xml:space="preserve"> se</w:t>
      </w:r>
      <w:r w:rsidR="00CB046D" w:rsidRPr="0091741D">
        <w:rPr>
          <w:rFonts w:ascii="Arial Narrow" w:hAnsi="Arial Narrow"/>
          <w:color w:val="1F1F1F"/>
        </w:rPr>
        <w:t xml:space="preserve"> llega al 2%</w:t>
      </w:r>
      <w:r w:rsidR="00E661FB" w:rsidRPr="0091741D">
        <w:rPr>
          <w:rFonts w:ascii="Arial Narrow" w:hAnsi="Arial Narrow"/>
          <w:color w:val="1F1F1F"/>
        </w:rPr>
        <w:t>, esto teniendo en cuanta que l</w:t>
      </w:r>
      <w:r w:rsidR="00B05145" w:rsidRPr="0091741D">
        <w:rPr>
          <w:rFonts w:ascii="Arial Narrow" w:hAnsi="Arial Narrow"/>
          <w:color w:val="1F1F1F"/>
        </w:rPr>
        <w:t>a generación anual de RCD</w:t>
      </w:r>
      <w:r w:rsidR="00864A54" w:rsidRPr="0091741D">
        <w:rPr>
          <w:rFonts w:ascii="Arial Narrow" w:hAnsi="Arial Narrow"/>
          <w:color w:val="1F1F1F"/>
        </w:rPr>
        <w:t xml:space="preserve"> </w:t>
      </w:r>
      <w:r w:rsidR="00B05145" w:rsidRPr="0091741D">
        <w:rPr>
          <w:rFonts w:ascii="Arial Narrow" w:hAnsi="Arial Narrow"/>
          <w:color w:val="1F1F1F"/>
        </w:rPr>
        <w:t>en el país es de más de 22 millones de toneladas</w:t>
      </w:r>
      <w:r w:rsidR="00864A54" w:rsidRPr="0091741D">
        <w:rPr>
          <w:rFonts w:ascii="Arial Narrow" w:hAnsi="Arial Narrow"/>
          <w:color w:val="1F1F1F"/>
        </w:rPr>
        <w:t xml:space="preserve"> </w:t>
      </w:r>
      <w:r w:rsidR="00B128B9"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{"citationItems":[{"id":"ITEM-1","itemData":{"author":[{"dropping-particle":"","family":"CONPES 3874 - CONSEJO NACIONAL DE POLÍTICA ECONÓMICA Y SOCIAL COLOMBIA REPÚBLICA DE PLANEACIÓN DEPARTAMENTO NACIONAL","given":"","non-dropping-particle":"","parse-names":false,"suffix":""}],"id":"ITEM-1","issued":{"date-parts":[["2016"]]},"title":". POLÍTICA NACIONAL PARA LA GESTIÓN INTEGRAL DE RESIDUOS SÓLIDOS.","type":"article"},"uris":["http://www.mendeley.com/documents/?uuid=40890c31-09eb-48a3-975f-84ab3a2e3e2a"]},{"id":"ITEM-2","itemData":{"author":[{"dropping-particle":"","family":"CCCS - Consejo Colombiano de Construcción Sostenible","given":"","non-dropping-particle":"","parse-names":false,"suffix":""}],"id":"ITEM-2","issued":{"date-parts":[["2020"]]},"number-of-pages":"22","publisher-place":"Bogotá","title":". Introducción a la Construcción Sostenible.","type":"book"},"uris":["http://www.mendeley.com/documents/?uuid=afaf047a-9f9f-4135-97bd-77ba5a1e8749"]}],"mendeley":{"formattedCitation":"(CCCS - Consejo Colombiano de Construcción Sostenible, 2020; CONPES 3874 - CONSEJO NACIONAL DE POLÍTICA ECONÓMICA Y SOCIAL COLOMBIA REPÚBLICA DE PLANEACIÓN DEPARTAMENTO NACIONAL, 2016)","manualFormatting":"(CCCS, 2020; CONPES 3874, 2016)","plainTextFormattedCitation":"(CCCS - Consejo Colombiano de Construcción Sostenible, 2020; CONPES 3874 - CONSEJO NACIONAL DE POLÍTICA ECONÓMICA Y SOCIAL COLOMBIA REPÚBLICA DE PLANEACIÓN DEPARTAMENTO NACIONAL, 2016)","previouslyFormattedCitation":"[38], [39]"},"properties":{"noteIndex":0},"schema":"https://github.com/citation-style-language/schema/raw/master/csl-citation.json"}</w:instrText>
      </w:r>
      <w:r w:rsidR="00B128B9" w:rsidRPr="0091741D">
        <w:rPr>
          <w:rFonts w:ascii="Arial Narrow" w:hAnsi="Arial Narrow"/>
          <w:color w:val="1F1F1F"/>
        </w:rPr>
        <w:fldChar w:fldCharType="separate"/>
      </w:r>
      <w:r w:rsidR="00B128B9" w:rsidRPr="0091741D">
        <w:rPr>
          <w:rFonts w:ascii="Arial Narrow" w:hAnsi="Arial Narrow"/>
          <w:noProof/>
          <w:color w:val="1F1F1F"/>
        </w:rPr>
        <w:t>(CCCS, 2020; CONPES 3874, 2016)</w:t>
      </w:r>
      <w:r w:rsidR="00B128B9" w:rsidRPr="0091741D">
        <w:rPr>
          <w:rFonts w:ascii="Arial Narrow" w:hAnsi="Arial Narrow"/>
          <w:color w:val="1F1F1F"/>
        </w:rPr>
        <w:fldChar w:fldCharType="end"/>
      </w:r>
      <w:r w:rsidR="00573375">
        <w:rPr>
          <w:rFonts w:ascii="Arial Narrow" w:hAnsi="Arial Narrow"/>
          <w:color w:val="1F1F1F"/>
        </w:rPr>
        <w:t>.</w:t>
      </w:r>
    </w:p>
    <w:p w:rsidR="00573375" w:rsidRPr="0091741D" w:rsidRDefault="00573375" w:rsidP="002D0878">
      <w:pPr>
        <w:spacing w:after="0" w:line="276" w:lineRule="auto"/>
        <w:jc w:val="both"/>
        <w:rPr>
          <w:rFonts w:ascii="Arial Narrow" w:hAnsi="Arial Narrow"/>
          <w:color w:val="1F1F1F"/>
        </w:rPr>
      </w:pPr>
    </w:p>
    <w:p w:rsidR="003B421D" w:rsidRDefault="00E10919" w:rsidP="002D0878">
      <w:pPr>
        <w:spacing w:after="0" w:line="276" w:lineRule="auto"/>
        <w:jc w:val="both"/>
        <w:rPr>
          <w:rFonts w:ascii="Arial Narrow" w:hAnsi="Arial Narrow"/>
          <w:color w:val="1F1F1F"/>
        </w:rPr>
      </w:pPr>
      <w:r w:rsidRPr="0091741D">
        <w:rPr>
          <w:rFonts w:ascii="Arial Narrow" w:hAnsi="Arial Narrow"/>
          <w:color w:val="1F1F1F"/>
        </w:rPr>
        <w:t>Los RCD comprenden materiales inertes (hormigón, ladrillos, yeso, asfalto, roca, arena), no inertes (bambú, madera, metal, plástico, vidrio, papel)  y residuos peligrosos (</w:t>
      </w:r>
      <w:r w:rsidR="00282AB5">
        <w:rPr>
          <w:rFonts w:ascii="Arial Narrow" w:hAnsi="Arial Narrow"/>
          <w:color w:val="1F1F1F"/>
        </w:rPr>
        <w:t>asbesto</w:t>
      </w:r>
      <w:r w:rsidRPr="0091741D">
        <w:rPr>
          <w:rFonts w:ascii="Arial Narrow" w:hAnsi="Arial Narrow"/>
          <w:color w:val="1F1F1F"/>
        </w:rPr>
        <w:t xml:space="preserve">, alquitrán) </w:t>
      </w:r>
      <w:r w:rsidRPr="0091741D">
        <w:rPr>
          <w:rFonts w:ascii="Arial Narrow" w:hAnsi="Arial Narrow"/>
          <w:color w:val="1F1F1F"/>
        </w:rPr>
        <w:fldChar w:fldCharType="begin" w:fldLock="1"/>
      </w:r>
      <w:r w:rsidR="00430166">
        <w:rPr>
          <w:rFonts w:ascii="Arial Narrow" w:hAnsi="Arial Narrow"/>
          <w:color w:val="1F1F1F"/>
        </w:rPr>
        <w:instrText>ADDIN CSL_CITATION {"citationItems":[{"id":"ITEM-1","itemData":{"DOI":"10.1016/j.jclepro.2020.125071","ISSN":"09596526","abstract":"The massive generation of construction and demolition (C&amp;D) waste has generated serious environmental impacts worldwide, which has attracted significant research efforts in the last 10 years. Nevertheless, there is a lack of systematic review of related studies on the environmental impacts of C&amp;D waste. To fill the gap, science mapping methods were adopted to conduct a bibliometric review of C&amp;D waste environmental impacts related studies published in 2010–2019. The main research contents include literature coupling analysis, keywords co-occurrence analysis, co-authorship analysis, literature citation analysis, and countries activity analysis. The study further discussed the mainstream methods, main lifecycle stages involved, and environmental assessment approaches on studies regarding environmental impacts of C&amp;D waste. Finally, research trends and future research framework were proposed based on the research gaps identified in this review. The study is valuable as it provides knowledge for practitioners and researchers to understand the development frontier of C&amp;D waste environmental impacts research.","author":[{"dropping-particle":"","family":"Chen","given":"Kunyang","non-dropping-particle":"","parse-names":false,"suffix":""},{"dropping-particle":"","family":"Wang","given":"Jiayuan","non-dropping-particle":"","parse-names":false,"suffix":""},{"dropping-particle":"","family":"Yu","given":"Bo","non-dropping-particle":"","parse-names":false,"suffix":""},{"dropping-particle":"","family":"Wu","given":"Huanyu","non-dropping-particle":"","parse-names":false,"suffix":""},{"dropping-particle":"","family":"Zhang","given":"Jingrong","non-dropping-particle":"","parse-names":false,"suffix":""}],"container-title":"Journal of Cleaner Production","id":"ITEM-1","issued":{"date-parts":[["2021"]]},"title":"Critical evaluation of construction and demolition waste and associated environmental impacts: A scientometric analysis","type":"article-journal","volume":"287"},"uris":["http://www.mendeley.com/documents/?uuid=c8bfc791-dbab-4a83-8d72-4f4571b86e68"]}],"mendeley":{"formattedCitation":"(K. Chen et al., 2021)","plainTextFormattedCitation":"(K. Chen et al., 2021)","previouslyFormattedCitation":"[40]"},"properties":{"noteIndex":0},"schema":"https://github.com/citation-style-language/schema/raw/master/csl-citation.json"}</w:instrText>
      </w:r>
      <w:r w:rsidRPr="0091741D">
        <w:rPr>
          <w:rFonts w:ascii="Arial Narrow" w:hAnsi="Arial Narrow"/>
          <w:color w:val="1F1F1F"/>
        </w:rPr>
        <w:fldChar w:fldCharType="separate"/>
      </w:r>
      <w:r w:rsidR="00430166" w:rsidRPr="00430166">
        <w:rPr>
          <w:rFonts w:ascii="Arial Narrow" w:hAnsi="Arial Narrow"/>
          <w:noProof/>
          <w:color w:val="1F1F1F"/>
        </w:rPr>
        <w:t>(K. Chen et al., 2021)</w:t>
      </w:r>
      <w:r w:rsidRPr="0091741D">
        <w:rPr>
          <w:rFonts w:ascii="Arial Narrow" w:hAnsi="Arial Narrow"/>
          <w:color w:val="1F1F1F"/>
        </w:rPr>
        <w:fldChar w:fldCharType="end"/>
      </w:r>
      <w:r w:rsidRPr="0091741D">
        <w:rPr>
          <w:rFonts w:ascii="Arial Narrow" w:hAnsi="Arial Narrow"/>
          <w:color w:val="1F1F1F"/>
        </w:rPr>
        <w:t xml:space="preserve">, desechados durante la construcción, demolición, reparación o renovación de un edificio o una estructura civil </w:t>
      </w:r>
      <w:r w:rsidRPr="0091741D">
        <w:rPr>
          <w:rFonts w:ascii="Arial Narrow" w:hAnsi="Arial Narrow"/>
          <w:color w:val="1F1F1F"/>
        </w:rPr>
        <w:fldChar w:fldCharType="begin" w:fldLock="1"/>
      </w:r>
      <w:r w:rsidR="00430166">
        <w:rPr>
          <w:rFonts w:ascii="Arial Narrow" w:hAnsi="Arial Narrow"/>
          <w:color w:val="1F1F1F"/>
        </w:rPr>
        <w:instrText xml:space="preserve">ADDIN CSL_CITATION {"citationItems":[{"id":"ITEM-1","itemData":{"DOI":"10.1016/j.sftr.2024.100179","ISSN":"26661888","abstract":"Widespread illegal disposal of surging construction and demolition waste (CDW) is a prominent threat to recycling, leading to resource wastage and environmental issues. The lack of data is a major barrier to designing an effective waste management system in emerging economies. Employing a mixed-method approach, a cross-sectional case study was conducted on an Indian city to assess the existing system and investigate the root causes of low recycling rates and limited demand for recycled materials. The study finds that (a) illegal disposal is prevalent due to the \"end-of-pipe\" approach of the waste management system, (b) policy enforcement on waste generators is weak, (c) low-rise residential buildings are the major contributor of waste, (d) low demand for recycled material is due to </w:instrText>
      </w:r>
      <w:r w:rsidR="00430166" w:rsidRPr="00846E66">
        <w:rPr>
          <w:rFonts w:ascii="Arial Narrow" w:hAnsi="Arial Narrow"/>
          <w:color w:val="1F1F1F"/>
        </w:rPr>
        <w:instrText>lack of awareness, marketing, incentives, and high costs, (e) transportation costs are 50 % higher than the recycled material cost, and (f) lack of segregation leading to the production of low-value materials. All these factors make recycling unattractive and the circular economy (CE) unfeasible. Stakeholder awareness, a centralized trading platform, and integrated waste management systems are essential to promote recycling and advance SDGs 9, 11, and 12, focusing on industry, sustainable cities, and responsible consumption and production.","author":[{"dropping-particle":"","family":"HaitherAli","given":"Hammadhu","non-dropping-particle":"","parse-names":false,"suffix":""},{"dropping-particle":"","family":"G","given":"Anjali","non-dropping-particle":"","parse-names":false,"suffix":""}],"container-title":"Sustainable Futures","id":"ITEM-1","issue":"November 2023","issued":{"date-parts":[["2024"]]},"page":"100179","publisher":"Elsevier Ltd","title":"Sustainable urban development: Evaluating the potential of mineral-based construction and demolition waste recycling in emerging economies","type":"article-journal","volume":"7"},"uris":["http://www.mendeley.com/documents/?uuid=f6f10de6-54cf-4b37-b8b0-9b85981fd94a"]}],"mendeley":{"formattedCitation":"(HaitherAli &amp; G, 2024)","plainTextFormattedCitation":"(HaitherAli &amp; G, 2024)","previouslyFormattedCitation":"[34]"},"properties":{"noteIndex":0},"schema":"https://github.com/citation-style-language/schema/raw/master/csl-citation.json"}</w:instrText>
      </w:r>
      <w:r w:rsidRPr="0091741D">
        <w:rPr>
          <w:rFonts w:ascii="Arial Narrow" w:hAnsi="Arial Narrow"/>
          <w:color w:val="1F1F1F"/>
        </w:rPr>
        <w:fldChar w:fldCharType="separate"/>
      </w:r>
      <w:r w:rsidR="00430166" w:rsidRPr="00846E66">
        <w:rPr>
          <w:rFonts w:ascii="Arial Narrow" w:hAnsi="Arial Narrow"/>
          <w:noProof/>
          <w:color w:val="1F1F1F"/>
        </w:rPr>
        <w:t>(HaitherAli &amp; G, 2024)</w:t>
      </w:r>
      <w:r w:rsidRPr="0091741D">
        <w:rPr>
          <w:rFonts w:ascii="Arial Narrow" w:hAnsi="Arial Narrow"/>
          <w:color w:val="1F1F1F"/>
        </w:rPr>
        <w:fldChar w:fldCharType="end"/>
      </w:r>
      <w:r w:rsidRPr="00846E66">
        <w:rPr>
          <w:rFonts w:ascii="Arial Narrow" w:hAnsi="Arial Narrow"/>
          <w:color w:val="1F1F1F"/>
        </w:rPr>
        <w:t>.</w:t>
      </w:r>
      <w:r w:rsidR="00C667A6" w:rsidRPr="00846E66">
        <w:rPr>
          <w:rFonts w:ascii="Arial Narrow" w:hAnsi="Arial Narrow"/>
          <w:color w:val="1F1F1F"/>
        </w:rPr>
        <w:t xml:space="preserve"> </w:t>
      </w:r>
    </w:p>
    <w:p w:rsidR="00856855" w:rsidRDefault="00856855" w:rsidP="002D0878">
      <w:pPr>
        <w:spacing w:after="0" w:line="276" w:lineRule="auto"/>
        <w:jc w:val="both"/>
        <w:rPr>
          <w:rFonts w:ascii="Arial Narrow" w:hAnsi="Arial Narrow"/>
          <w:color w:val="1F1F1F"/>
        </w:rPr>
      </w:pPr>
    </w:p>
    <w:p w:rsidR="00856855" w:rsidRPr="00856855" w:rsidRDefault="00856855" w:rsidP="00856855">
      <w:pPr>
        <w:spacing w:after="0" w:line="276" w:lineRule="auto"/>
        <w:jc w:val="both"/>
        <w:rPr>
          <w:rFonts w:ascii="Arial Narrow" w:hAnsi="Arial Narrow"/>
          <w:color w:val="1F1F1F"/>
        </w:rPr>
      </w:pPr>
      <w:r w:rsidRPr="00856855">
        <w:rPr>
          <w:rFonts w:ascii="Arial Narrow" w:hAnsi="Arial Narrow"/>
          <w:color w:val="1F1F1F"/>
        </w:rPr>
        <w:t xml:space="preserve">Investigadores de todo el mundo están explorando métodos innovadores para reciclar RCD y reutilizarlos como materias primas en el sector de la construcción, </w:t>
      </w:r>
      <w:r w:rsidR="009F2032">
        <w:rPr>
          <w:rFonts w:ascii="Arial Narrow" w:hAnsi="Arial Narrow"/>
          <w:color w:val="1F1F1F"/>
        </w:rPr>
        <w:t>entre algunas</w:t>
      </w:r>
      <w:r w:rsidRPr="00856855">
        <w:rPr>
          <w:rFonts w:ascii="Arial Narrow" w:hAnsi="Arial Narrow"/>
          <w:color w:val="1F1F1F"/>
        </w:rPr>
        <w:t xml:space="preserve"> investigaciones de los últimos años se encuentran: el uso de residuos de mármol en diversos materiales de construcción (</w:t>
      </w:r>
      <w:r w:rsidRPr="00856855">
        <w:rPr>
          <w:rFonts w:ascii="Arial Narrow" w:hAnsi="Arial Narrow"/>
          <w:color w:val="1F1F1F"/>
        </w:rPr>
        <w:fldChar w:fldCharType="begin" w:fldLock="1"/>
      </w:r>
      <w:r w:rsidRPr="00856855">
        <w:rPr>
          <w:rFonts w:ascii="Arial Narrow" w:hAnsi="Arial Narrow"/>
          <w:color w:val="1F1F1F"/>
        </w:rPr>
        <w:instrText>ADDIN CSL_CITATION {"citationItems":[{"id":"ITEM-1","itemData":{"DOI":"10.1016/j.cogsc.2018.06.005","ISSN":"24522236","abstract":"India is one of the biggest marble producing country in the world (</w:instrText>
      </w:r>
      <w:r w:rsidRPr="00856855">
        <w:rPr>
          <w:rFonts w:ascii="Cambria Math" w:hAnsi="Cambria Math" w:cs="Cambria Math"/>
          <w:color w:val="1F1F1F"/>
        </w:rPr>
        <w:instrText>∼</w:instrText>
      </w:r>
      <w:r w:rsidRPr="00856855">
        <w:rPr>
          <w:rFonts w:ascii="Arial Narrow" w:hAnsi="Arial Narrow"/>
          <w:color w:val="1F1F1F"/>
        </w:rPr>
        <w:instrText>10%). State of Rajasthan has nearly 85% of marble production capacity. Recently, the massive quantity of marble waste fine particulates generated in marble industry has become a major environmental hazard issue. Major minerals present in marble waste are calcite (CaCO3) and dolomite (CaMg (CO3)2). The particle sizes of marble waste particulates has been found to be 200 μm (D90). The chemical composition of marble wastes reveals oxides of calcium (CaO), silica (SiO2), alumina (Al2O3) and alkaline oxides (Na2O, K2O). Apart from that, iron oxide, mica, fluorine, chlorite and organic matter have also been noticed. Marble waste has been explored for possible utilization in industries, thereby it helps in preventing the environmental problems such as dumping and pollution. This article addresses the efficiency of marble wastes for materials development, leading to create some sustainable green composite materials for construction applications.","author":[{"dropping-particle":"","family":"Thakur","given":"Anil Kumar","non-dropping-particle":"","parse-names":false,"suffix":""},{"dropping-particle":"","family":"Pappu","given":"Asokan","non-dropping-particle":"","parse-names":false,"suffix":""},{"dropping-particle":"","family":"Thakur","given":"Vijay Kumar","non-dropping-particle":"","parse-names":false,"suffix":""}],"container-title":"Current Opinion in Green and Sustainable Chemistry","id":"ITEM-1","issued":{"date-parts":[["2018"]]},"page":"91-101","publisher":"Elsevier B.V.","title":"Resource efficiency impact on marble waste recycling towards sustainable green construction materials","type":"article-journal","volume":"13"},"uris":["http://www.mendeley.com/documents/?uuid=26a03b69-b31b-4679-9524-4cf97649cdd1"]}],"mendeley":{"formattedCitation":"(Thakur et al., 2018)","manualFormatting":"Thakur et al., 2018","plainTextFormattedCitation":"(Thakur et al., 2018)","previouslyFormattedCitation":"[41]"},"properties":{"noteIndex":0},"schema":"https://github.com/citation-style-language/schema/raw/master/csl-citation.json"}</w:instrText>
      </w:r>
      <w:r w:rsidRPr="00856855">
        <w:rPr>
          <w:rFonts w:ascii="Arial Narrow" w:hAnsi="Arial Narrow"/>
          <w:color w:val="1F1F1F"/>
        </w:rPr>
        <w:fldChar w:fldCharType="separate"/>
      </w:r>
      <w:r w:rsidRPr="00856855">
        <w:rPr>
          <w:rFonts w:ascii="Arial Narrow" w:hAnsi="Arial Narrow"/>
          <w:color w:val="1F1F1F"/>
        </w:rPr>
        <w:t>Thakur et al., 2018</w:t>
      </w:r>
      <w:r w:rsidRPr="00856855">
        <w:rPr>
          <w:rFonts w:ascii="Arial Narrow" w:hAnsi="Arial Narrow"/>
          <w:color w:val="1F1F1F"/>
        </w:rPr>
        <w:fldChar w:fldCharType="end"/>
      </w:r>
      <w:r w:rsidRPr="00856855">
        <w:rPr>
          <w:rFonts w:ascii="Arial Narrow" w:hAnsi="Arial Narrow"/>
          <w:color w:val="1F1F1F"/>
        </w:rPr>
        <w:t>); la utilización de ladrillos triturados, vidrio de desecho, hormigón reciclado, residuos de cerámica y desechos de baldosas como sustitutos de agregados en bloques de hormigón (</w:t>
      </w:r>
      <w:r w:rsidRPr="00856855">
        <w:rPr>
          <w:rFonts w:ascii="Arial Narrow" w:hAnsi="Arial Narrow"/>
          <w:color w:val="1F1F1F"/>
        </w:rPr>
        <w:fldChar w:fldCharType="begin" w:fldLock="1"/>
      </w:r>
      <w:r w:rsidRPr="00856855">
        <w:rPr>
          <w:rFonts w:ascii="Arial Narrow" w:hAnsi="Arial Narrow"/>
          <w:color w:val="1F1F1F"/>
        </w:rPr>
        <w:instrText>ADDIN CSL_CITATION {"citationItems":[{"id":"ITEM-1","itemData":{"DOI":"10.1016/j.resconrec.2018.07.029","ISSN":"18790658","abstract":"Environmental concerns related to the disposal of various waste materials have escalated to a worrying level. Depending on the local industries, different types of waste are generated in huge quantities every year. Hence, the demand for more sustainable development has further increased the importance of green construction. In recent years, extensive study efforts have been made to recycle wastes for possible use in the production of concrete products. This is because concrete blocks seem to be the most popular option for the incorporation of recycled waste materials due to the lower quality requirements of materials. This paper reviews published research works on the use of various kinds of wastes (i.e. recycled concrete, crushed brick, soda lime glass, cathode ray tube glass, crumb rubber, ceramic and tile waste, etc.) in the production of concrete blocks. The common concrete block properties as well as the value-added properties of concrete blocks with incorporated waste materials are highlighted and discussed in this paper. Several unique characteristics of recycled crumb rubber, plastic waste and crushed brick enhance the fire resistance, toughness, functional a</w:instrText>
      </w:r>
      <w:r w:rsidRPr="00856855">
        <w:rPr>
          <w:rFonts w:ascii="Arial Narrow" w:hAnsi="Arial Narrow"/>
          <w:color w:val="1F1F1F"/>
          <w:lang w:val="en-US"/>
        </w:rPr>
        <w:instrText>nd insulation properties of concrete blocks. Also, th</w:instrText>
      </w:r>
      <w:r w:rsidRPr="00856855">
        <w:rPr>
          <w:rFonts w:ascii="Arial Narrow" w:hAnsi="Arial Narrow"/>
          <w:color w:val="1F1F1F"/>
        </w:rPr>
        <w:instrText>e quantity of these materials incorporated into concrete blocks can be maximized up to 100% as natural aggregate replacements, while their usage can also be limited to below 30% in certain applications in order to meet the standard requirements of concrete blocks. The compliance of concrete blocks with standard requirements and the value-added properties have demonstrated good potential for incorporating wastes as aggregate in concrete blocks.","author":[{"dropping-particle":"","family":"Meng","given":"Yazi","non-dropping-particle":"","parse-names":false,"suffix":""},{"dropping-particle":"","family":"Ling","given":"Tung Chai","non-dropping-particle":"","parse-names":false,"suffix":""},{"dropping-particle":"","family":"Mo","given":"Kim Hung","non-dropping-particle":"","parse-names":false,"suffix":""}],"container-title":"Resources, Conservation and Recycling","id":"ITEM-1","issue":"August","issued":{"date-parts":[["2018"]]},"page":"298-312","publisher":"Elsevier","title":"Recycling of wastes for value-added applications in concrete blocks: An overview","type":"article-journal","volume":"138"},"uris":["http://www.mendeley.com/documents/?uuid=8f847988-02d5-4268-b319-24c0c3631c86"]}],"mendeley":{"formattedCitation":"(Meng et al., 2018)","manualFormatting":"Meng et al., 2018","plainTextFormattedCitation":"(Meng et al., 2018)","previouslyFormattedCitation":"[42]"},"properties":{"noteIndex":0},"schema":"https://github.com/citation-style-language/schema/raw/master/csl-citation.json"}</w:instrText>
      </w:r>
      <w:r w:rsidRPr="00856855">
        <w:rPr>
          <w:rFonts w:ascii="Arial Narrow" w:hAnsi="Arial Narrow"/>
          <w:color w:val="1F1F1F"/>
        </w:rPr>
        <w:fldChar w:fldCharType="separate"/>
      </w:r>
      <w:r w:rsidRPr="00856855">
        <w:rPr>
          <w:rFonts w:ascii="Arial Narrow" w:hAnsi="Arial Narrow"/>
          <w:color w:val="1F1F1F"/>
        </w:rPr>
        <w:t>Meng et al., 2018</w:t>
      </w:r>
      <w:r w:rsidRPr="00856855">
        <w:rPr>
          <w:rFonts w:ascii="Arial Narrow" w:hAnsi="Arial Narrow"/>
          <w:color w:val="1F1F1F"/>
        </w:rPr>
        <w:fldChar w:fldCharType="end"/>
      </w:r>
      <w:r w:rsidRPr="00856855">
        <w:rPr>
          <w:rFonts w:ascii="Arial Narrow" w:hAnsi="Arial Narrow"/>
          <w:color w:val="1F1F1F"/>
        </w:rPr>
        <w:t>); la producción de hormigón a partir de residuos industriales y áridos reciclados de RCD (</w:t>
      </w:r>
      <w:r w:rsidRPr="00856855">
        <w:rPr>
          <w:rFonts w:ascii="Arial Narrow" w:hAnsi="Arial Narrow"/>
          <w:color w:val="1F1F1F"/>
        </w:rPr>
        <w:fldChar w:fldCharType="begin" w:fldLock="1"/>
      </w:r>
      <w:r w:rsidRPr="00856855">
        <w:rPr>
          <w:rFonts w:ascii="Arial Narrow" w:hAnsi="Arial Narrow"/>
          <w:color w:val="1F1F1F"/>
        </w:rPr>
        <w:instrText>ADDIN CSL_CITATION {"citationItems":[{"id":"ITEM-1","itemData":{"DOI":"10.1016/j.procs.2022.12.200","ISSN":"18770509","abstract":"The excessive exploitation of natural resources for construction is producing an extreme impact on air pollution and global warming. In response to the extreme climate changes and the lack of primary resources that social-economic systems are experiencing all over the world, international and local governments are supporting the development of the culture of sustainable manufacturing, following the principles of the circular economy. In this context, the present study supports the research on the design of sustainable and cross-industry value chains. This paper investigates the characteristics of sustainable concrete obtained from industrial waste and recycled aggregates from construction and demolition waste. The industrial waste adopted in this study is the by-product of an industrial production process. The aim was to investigate the characteristics of such a by-product as a recycled additive for sustainable concrete and to assess its eco-compatible safety performance. The results suggest that the by-products adopted in this research provide an interesting alternative to the use of primary resources, e.g. the fine sand, in the concrete mixture. However, the optimal amount of by-products depends on the characteristics of the waste material in the mixture. The eco-compatibility test was performed to investigate the leaching behavior of the proposed sustainable concrete. The present research promotes the adoption of a cross-industry and circular approach towards sustainability, showing that the use of industrial waste to produce sustainable concrete allows benefits for all the stakeholders involved in the value chain and for society.","author":[{"dropping-particle":"","family":"Bergonzoni","given":"Marco","non-dropping-particle":"","parse-names":false,"suffix":""},{"dropping-particle":"","family":"Melloni","given":"Riccardo","non-dropping-particle":"","parse-names":false,"suffix":""},{"dropping-particle":"","family":"Botti","given":"Lucia","non-dropping-particle":"","parse-names":false,"suffix":""}],"container-title":"Procedia Computer Science","id":"ITEM-1","issue":"2022","issued":{"date-parts":[["2022"]]},"page":"41-51","publisher":"Elsevier B.V.","title":"Analysis of sustainable concrete obtained from the by-products of an industrial process and recycled aggregates from construction and demolition waste","type":"article-journal","volume":"217"},"uris":["http://www.mendeley.com/documents/?uuid=f7384ced-339f-49b5-b7f4-4c84dd21cb74"]}],"mendeley":{"formattedCitation":"(Bergonzoni et al., 2022)","manualFormatting":"Bergonzoni et al., 2022","plainTextFormattedCitation":"(Bergonzoni et al., 2022)","previouslyFormattedCitation":"[29]"},"properties":{"noteIndex":0},"schema":"https://github.com/citation-style-language/schema/raw/master/csl-citation.json"}</w:instrText>
      </w:r>
      <w:r w:rsidRPr="00856855">
        <w:rPr>
          <w:rFonts w:ascii="Arial Narrow" w:hAnsi="Arial Narrow"/>
          <w:color w:val="1F1F1F"/>
        </w:rPr>
        <w:fldChar w:fldCharType="separate"/>
      </w:r>
      <w:r w:rsidRPr="00856855">
        <w:rPr>
          <w:rFonts w:ascii="Arial Narrow" w:hAnsi="Arial Narrow"/>
          <w:color w:val="1F1F1F"/>
        </w:rPr>
        <w:t>Bergonzoni et al., 2022</w:t>
      </w:r>
      <w:r w:rsidRPr="00856855">
        <w:rPr>
          <w:rFonts w:ascii="Arial Narrow" w:hAnsi="Arial Narrow"/>
          <w:color w:val="1F1F1F"/>
        </w:rPr>
        <w:fldChar w:fldCharType="end"/>
      </w:r>
      <w:r w:rsidRPr="00856855">
        <w:rPr>
          <w:rFonts w:ascii="Arial Narrow" w:hAnsi="Arial Narrow"/>
          <w:color w:val="1F1F1F"/>
        </w:rPr>
        <w:t xml:space="preserve">); y el empleo de agregados </w:t>
      </w:r>
      <w:r w:rsidRPr="00856855">
        <w:rPr>
          <w:rFonts w:ascii="Arial Narrow" w:hAnsi="Arial Narrow"/>
          <w:color w:val="1F1F1F"/>
        </w:rPr>
        <w:lastRenderedPageBreak/>
        <w:t>reciclados de RCD en las capas de base y subbase de pavimentos, ofreciendo una alternativa viable a los agregados vírgenes (</w:t>
      </w:r>
      <w:r w:rsidRPr="00856855">
        <w:rPr>
          <w:rFonts w:ascii="Arial Narrow" w:hAnsi="Arial Narrow"/>
          <w:color w:val="1F1F1F"/>
        </w:rPr>
        <w:fldChar w:fldCharType="begin" w:fldLock="1"/>
      </w:r>
      <w:r w:rsidRPr="00856855">
        <w:rPr>
          <w:rFonts w:ascii="Arial Narrow" w:hAnsi="Arial Narrow"/>
          <w:color w:val="1F1F1F"/>
        </w:rPr>
        <w:instrText>ADDIN CSL_CITATION {"citationItems":[{"id":"ITEM-1","itemData":{"DOI":"10.1016/j.clema.2024.100266","ISSN":"27723976","abstract":"In recent times, the continuous growth of construction and demolition (C&amp;D) activities have resulted in increases in the utilization of natural resources as well as global C&amp;D waste production. A major part of C&amp;D waste produced is dumped in landfills worldwide although some countries have adopted good recycling and reuse facilities to generated C&amp;D waste. Based on an extensive critical review of published literature on the topic including global C&amp;D waste recycling statistics and composition of generated wastes, this paper identifies key physical, mechanical, and geotechnical characteristics of recycled C&amp;D waste aggregates specific to use as pavement base or subbase materials. Recycled aggregates typically have sufficient CBR, abrasion resistance, compressive strength and resilient modulus in accordance with various road standard specifications, which enable their applications for pavement base and subbase layer construction. Recycled aggregates typically have higher water absorption and lower specific gravity values than virgin aggregates. Furthermore, this study evaluates the feasibility and effectiveness of recycled aggregates in pavement base and subbase layers based on the detailed laboratory investigations. Additionally, case studies involving large-volume utilization of recycled aggregates for field-scale pavement construction are presented facilitating the broader adoption of recycled materials in sustainable construction of road pavements. These studies document crucial insights into its real field performance in terms of strength, durability and longevity. Finally, authors have discussed the potential challenges, research gaps and future insights on the use of recycled aggregates in pavement construction. The use of recycled aggregates in pavement construction still has some barriers and challenges such as availability in bulk quantity especially at the field scale and absence of road standards for application, which require further research and practical developments to promote the sustainable use of these materials in the future.","author":[{"dropping-particle":"","family":"Abedin Khan","given":"Zainul","non-dropping-particle":"","parse-names":false,"suffix":""},{"dropping-particle":"","family":"Balunaini","given":"Umashankar","non-dropping-particle":"","parse-names":false,"suffix":""},{"dropping-particle":"","family":"Costa","given":"Susanga","non-dropping-particle":"","parse-names":false,"suffix":""},{"dropping-particle":"","family":"Nguyen","given":"Nhu H.T.","non-dropping-particle":"","parse-names":false,"suffix":""}],"container-title":"Cleaner Materials","id":"ITEM-1","issue":"April","issued":{"date-parts":[["2024"]]},"page":"100266","publisher":"Elsevier Ltd","title":"A review on sustainable use of recycled construction and demolition waste aggregates in pavement base and subbase layers","type":"article-journal","volume":"13"},"uris":["http://www.mendeley.com/documents/?uuid=d342ca2c-a7c4-462e-b685-469798ee1773"]}],"mendeley":{"formattedCitation":"(Abedin Khan et al., 2024)","manualFormatting":"Abedin Khan et al., 2024","plainTextFormattedCitation":"(Abedin Khan et al., 2024)","previouslyFormattedCitation":"[37]"},"properties":{"noteIndex":0},"schema":"https://github.com/citation-style-language/schema/raw/master/csl-citation.json"}</w:instrText>
      </w:r>
      <w:r w:rsidRPr="00856855">
        <w:rPr>
          <w:rFonts w:ascii="Arial Narrow" w:hAnsi="Arial Narrow"/>
          <w:color w:val="1F1F1F"/>
        </w:rPr>
        <w:fldChar w:fldCharType="separate"/>
      </w:r>
      <w:r w:rsidRPr="00856855">
        <w:rPr>
          <w:rFonts w:ascii="Arial Narrow" w:hAnsi="Arial Narrow"/>
          <w:color w:val="1F1F1F"/>
        </w:rPr>
        <w:t>Abedin Khan et al., 2024</w:t>
      </w:r>
      <w:r w:rsidRPr="00856855">
        <w:rPr>
          <w:rFonts w:ascii="Arial Narrow" w:hAnsi="Arial Narrow"/>
          <w:color w:val="1F1F1F"/>
        </w:rPr>
        <w:fldChar w:fldCharType="end"/>
      </w:r>
      <w:r w:rsidRPr="00856855">
        <w:rPr>
          <w:rFonts w:ascii="Arial Narrow" w:hAnsi="Arial Narrow"/>
          <w:color w:val="1F1F1F"/>
        </w:rPr>
        <w:t>).</w:t>
      </w:r>
    </w:p>
    <w:p w:rsidR="00573375" w:rsidRPr="00846E66" w:rsidRDefault="00573375" w:rsidP="002D0878">
      <w:pPr>
        <w:spacing w:after="0" w:line="276" w:lineRule="auto"/>
        <w:jc w:val="both"/>
        <w:rPr>
          <w:rFonts w:ascii="Arial Narrow" w:hAnsi="Arial Narrow"/>
          <w:color w:val="1F1F1F"/>
        </w:rPr>
      </w:pPr>
    </w:p>
    <w:p w:rsidR="00FB17DA" w:rsidRDefault="00FB17DA" w:rsidP="002D0878">
      <w:pPr>
        <w:spacing w:after="0" w:line="276" w:lineRule="auto"/>
        <w:jc w:val="both"/>
        <w:rPr>
          <w:rFonts w:ascii="Arial Narrow" w:hAnsi="Arial Narrow"/>
        </w:rPr>
      </w:pPr>
      <w:r w:rsidRPr="00846E66">
        <w:rPr>
          <w:rFonts w:ascii="Arial Narrow" w:hAnsi="Arial Narrow"/>
        </w:rPr>
        <w:t xml:space="preserve">En el comercio ya se ven avances </w:t>
      </w:r>
      <w:r w:rsidR="006B6660" w:rsidRPr="00846E66">
        <w:rPr>
          <w:rFonts w:ascii="Arial Narrow" w:hAnsi="Arial Narrow"/>
        </w:rPr>
        <w:t xml:space="preserve">como lo </w:t>
      </w:r>
      <w:r w:rsidR="0091166C" w:rsidRPr="00846E66">
        <w:rPr>
          <w:rFonts w:ascii="Arial Narrow" w:hAnsi="Arial Narrow"/>
        </w:rPr>
        <w:t xml:space="preserve">hace </w:t>
      </w:r>
      <w:r w:rsidR="006B6660" w:rsidRPr="00846E66">
        <w:rPr>
          <w:rFonts w:ascii="Arial Narrow" w:hAnsi="Arial Narrow"/>
        </w:rPr>
        <w:t>CEMEX con la venta de concretos y cementos elaborados con materias primas reutilizables o desechos</w:t>
      </w:r>
      <w:r w:rsidR="0091166C" w:rsidRPr="00846E66">
        <w:rPr>
          <w:rFonts w:ascii="Arial Narrow" w:hAnsi="Arial Narrow"/>
        </w:rPr>
        <w:t>,</w:t>
      </w:r>
      <w:r w:rsidR="00330E11" w:rsidRPr="00846E66">
        <w:rPr>
          <w:rFonts w:ascii="Arial Narrow" w:hAnsi="Arial Narrow"/>
        </w:rPr>
        <w:t xml:space="preserve"> como la línea VERTUA </w:t>
      </w:r>
      <w:r w:rsidR="008C49DA" w:rsidRPr="00846E66">
        <w:rPr>
          <w:rFonts w:ascii="Arial Narrow" w:hAnsi="Arial Narrow"/>
        </w:rPr>
        <w:t>concreto bajo en carbono, manteniendo, las cualidades de resistencia, durabilidad, trabajabilidad de los concretos tradicionales</w:t>
      </w:r>
      <w:r w:rsidR="008F19CB" w:rsidRPr="00846E66">
        <w:rPr>
          <w:rFonts w:ascii="Arial Narrow" w:hAnsi="Arial Narrow"/>
        </w:rPr>
        <w:t xml:space="preserve"> </w:t>
      </w:r>
      <w:r w:rsidR="008F19CB">
        <w:rPr>
          <w:rFonts w:ascii="Arial Narrow" w:hAnsi="Arial Narrow"/>
        </w:rPr>
        <w:fldChar w:fldCharType="begin" w:fldLock="1"/>
      </w:r>
      <w:r w:rsidR="00430166" w:rsidRPr="00846E66">
        <w:rPr>
          <w:rFonts w:ascii="Arial Narrow" w:hAnsi="Arial Narrow"/>
        </w:rPr>
        <w:instrText>ADDIN CSL_CITATION {"citationItems":[{"id":"ITEM-1","itemData":{"URL":"https://www.cemexcolombia.com/cemento-vertua-bajo-carbono. Consultado 16 de agosto de 2024","author":[{"dropping-particle":"","family":"CEMEX.","given":"","non-dropping-particle":"","parse-names":false,"suffix":""}],"id":"ITEM-1","issued":{"date-parts":[["0"]]},"title":"Vertua: Cemento con menor emisiones de CO2.","type":"webpage"},"uris":["http://www.mendeley.com/documents/?uuid=5b706b0c-15a2-46c3-8cc4-ed95f80a4042"]}],"mendeley":{"formattedCitation":"(CEMEX., n.d.)","plainTextFormattedCitation":"(CEMEX., n.d.)","previouslyFormattedCitation":"[44]"},"properties":{"noteIndex":0},"schema":"https://github.com/citation-style-language/schema/raw/master/csl-citation.json"}</w:instrText>
      </w:r>
      <w:r w:rsidR="008F19CB">
        <w:rPr>
          <w:rFonts w:ascii="Arial Narrow" w:hAnsi="Arial Narrow"/>
        </w:rPr>
        <w:fldChar w:fldCharType="separate"/>
      </w:r>
      <w:r w:rsidR="00430166" w:rsidRPr="00846E66">
        <w:rPr>
          <w:rFonts w:ascii="Arial Narrow" w:hAnsi="Arial Narrow"/>
          <w:noProof/>
        </w:rPr>
        <w:t>(CEMEX., n.d.)</w:t>
      </w:r>
      <w:r w:rsidR="008F19CB">
        <w:rPr>
          <w:rFonts w:ascii="Arial Narrow" w:hAnsi="Arial Narrow"/>
        </w:rPr>
        <w:fldChar w:fldCharType="end"/>
      </w:r>
      <w:r w:rsidR="00ED310E" w:rsidRPr="00846E66">
        <w:rPr>
          <w:rFonts w:ascii="Arial Narrow" w:hAnsi="Arial Narrow"/>
        </w:rPr>
        <w:t>, o GRECO</w:t>
      </w:r>
      <w:r w:rsidR="00CE61AC" w:rsidRPr="00846E66">
        <w:rPr>
          <w:rFonts w:ascii="Arial Narrow" w:hAnsi="Arial Narrow"/>
        </w:rPr>
        <w:t xml:space="preserve"> (Granulados Reciclados de Colombia) que </w:t>
      </w:r>
      <w:r w:rsidR="00ED310E" w:rsidRPr="00846E66">
        <w:rPr>
          <w:rFonts w:ascii="Arial Narrow" w:hAnsi="Arial Narrow"/>
        </w:rPr>
        <w:t>contribu</w:t>
      </w:r>
      <w:r w:rsidR="00CE61AC" w:rsidRPr="00846E66">
        <w:rPr>
          <w:rFonts w:ascii="Arial Narrow" w:hAnsi="Arial Narrow"/>
        </w:rPr>
        <w:t>ye</w:t>
      </w:r>
      <w:r w:rsidR="00ED310E" w:rsidRPr="00846E66">
        <w:rPr>
          <w:rFonts w:ascii="Arial Narrow" w:hAnsi="Arial Narrow"/>
        </w:rPr>
        <w:t xml:space="preserve"> al aprovechamiento de los RCD </w:t>
      </w:r>
      <w:r w:rsidR="00CE61AC" w:rsidRPr="00846E66">
        <w:rPr>
          <w:rFonts w:ascii="Arial Narrow" w:hAnsi="Arial Narrow"/>
        </w:rPr>
        <w:t>reincorporando a la cadena productiva un material que comúnmente es considerado un desecho</w:t>
      </w:r>
      <w:r w:rsidR="008F19CB" w:rsidRPr="00846E66">
        <w:rPr>
          <w:rFonts w:ascii="Arial Narrow" w:hAnsi="Arial Narrow"/>
        </w:rPr>
        <w:t xml:space="preserve"> </w:t>
      </w:r>
      <w:r w:rsidR="008F19CB">
        <w:rPr>
          <w:rFonts w:ascii="Arial Narrow" w:hAnsi="Arial Narrow"/>
        </w:rPr>
        <w:fldChar w:fldCharType="begin" w:fldLock="1"/>
      </w:r>
      <w:r w:rsidR="00430166" w:rsidRPr="00846E66">
        <w:rPr>
          <w:rFonts w:ascii="Arial Narrow" w:hAnsi="Arial Narrow"/>
        </w:rPr>
        <w:instrText>ADDIN CSL_CITATION {"citationItems":[{"id":"ITEM-1","itemData":{"URL":"https://recicladosgreco.com/. Consultado 23 de agosto de 2024","author":[{"dropping-particle":"","family":"GRECO.","given":"","non-dropping-particle":"","parse-names":false,"suffix":""}],"id":"ITEM-1","issued":{"date-parts":[["0"]]},"title":"Granulados Reciclados de Colombia.","type":"webpage"},"uris":["http://www.mendeley.com/documents/?uuid=3b0c58ee-e4c4-4f2f-bc66-5fb7cf872e81"]}],"mendeley":{"formattedCitation":"(GRECO., n.d.)","plainTextFormattedCitation":"(GRECO., n.d.)","previouslyFormattedCitation":"[45]"},"properties":{"noteIndex":0},"schema":"https://github.com/citation-style-language/schema/raw/master/csl-citation.json"}</w:instrText>
      </w:r>
      <w:r w:rsidR="008F19CB">
        <w:rPr>
          <w:rFonts w:ascii="Arial Narrow" w:hAnsi="Arial Narrow"/>
        </w:rPr>
        <w:fldChar w:fldCharType="separate"/>
      </w:r>
      <w:r w:rsidR="00430166" w:rsidRPr="00846E66">
        <w:rPr>
          <w:rFonts w:ascii="Arial Narrow" w:hAnsi="Arial Narrow"/>
          <w:noProof/>
        </w:rPr>
        <w:t>(GRECO., n.d.)</w:t>
      </w:r>
      <w:r w:rsidR="008F19CB">
        <w:rPr>
          <w:rFonts w:ascii="Arial Narrow" w:hAnsi="Arial Narrow"/>
        </w:rPr>
        <w:fldChar w:fldCharType="end"/>
      </w:r>
      <w:r w:rsidR="008F19CB">
        <w:rPr>
          <w:rFonts w:ascii="Arial Narrow" w:hAnsi="Arial Narrow"/>
        </w:rPr>
        <w:t>.</w:t>
      </w:r>
    </w:p>
    <w:p w:rsidR="00573375" w:rsidRPr="0091741D" w:rsidRDefault="00573375" w:rsidP="002D0878">
      <w:pPr>
        <w:spacing w:after="0" w:line="276" w:lineRule="auto"/>
        <w:jc w:val="both"/>
        <w:rPr>
          <w:rFonts w:ascii="Arial Narrow" w:hAnsi="Arial Narrow"/>
        </w:rPr>
      </w:pPr>
    </w:p>
    <w:p w:rsidR="002E1C49" w:rsidRDefault="00C667A6" w:rsidP="002D0878">
      <w:pPr>
        <w:spacing w:after="0" w:line="276" w:lineRule="auto"/>
        <w:jc w:val="both"/>
        <w:rPr>
          <w:rFonts w:ascii="Arial Narrow" w:hAnsi="Arial Narrow"/>
          <w:color w:val="1F1F1F"/>
        </w:rPr>
      </w:pPr>
      <w:r w:rsidRPr="0091741D">
        <w:rPr>
          <w:rFonts w:ascii="Arial Narrow" w:hAnsi="Arial Narrow"/>
          <w:color w:val="1F1F1F"/>
        </w:rPr>
        <w:t>L</w:t>
      </w:r>
      <w:r w:rsidR="00865093" w:rsidRPr="0091741D">
        <w:rPr>
          <w:rFonts w:ascii="Arial Narrow" w:hAnsi="Arial Narrow"/>
          <w:color w:val="1F1F1F"/>
        </w:rPr>
        <w:t xml:space="preserve">a normativa nacional </w:t>
      </w:r>
      <w:r w:rsidRPr="0091741D">
        <w:rPr>
          <w:rFonts w:ascii="Arial Narrow" w:hAnsi="Arial Narrow"/>
          <w:color w:val="1F1F1F"/>
        </w:rPr>
        <w:t xml:space="preserve">establece </w:t>
      </w:r>
      <w:r w:rsidR="00865093" w:rsidRPr="0091741D">
        <w:rPr>
          <w:rFonts w:ascii="Arial Narrow" w:hAnsi="Arial Narrow"/>
          <w:color w:val="1F1F1F"/>
        </w:rPr>
        <w:t xml:space="preserve">sobre la gestión de RCD </w:t>
      </w:r>
      <w:r w:rsidR="00C9672A" w:rsidRPr="0091741D">
        <w:rPr>
          <w:rFonts w:ascii="Arial Narrow" w:hAnsi="Arial Narrow"/>
          <w:color w:val="1F1F1F"/>
        </w:rPr>
        <w:t xml:space="preserve">las NTC 6421 y 6422 para el uso de agregados reciclados en mezclas de concreto, </w:t>
      </w:r>
      <w:r w:rsidRPr="0091741D">
        <w:rPr>
          <w:rFonts w:ascii="Arial Narrow" w:hAnsi="Arial Narrow"/>
          <w:color w:val="1F1F1F"/>
        </w:rPr>
        <w:t>e</w:t>
      </w:r>
      <w:r w:rsidR="00EB117E" w:rsidRPr="0091741D">
        <w:rPr>
          <w:rFonts w:ascii="Arial Narrow" w:hAnsi="Arial Narrow"/>
          <w:color w:val="1F1F1F"/>
        </w:rPr>
        <w:t xml:space="preserve">l acero de demolición se puede reutilizar en elementos estructurales de edificaciones si cumple con lo estipulado en las normas NTC 2289, </w:t>
      </w:r>
      <w:r w:rsidR="00865093" w:rsidRPr="0091741D">
        <w:rPr>
          <w:rFonts w:ascii="Arial Narrow" w:hAnsi="Arial Narrow"/>
          <w:color w:val="1F1F1F"/>
        </w:rPr>
        <w:t>la resolución 1257 de 2021</w:t>
      </w:r>
      <w:r w:rsidR="00865093" w:rsidRPr="0091741D">
        <w:rPr>
          <w:rFonts w:ascii="Arial Narrow" w:hAnsi="Arial Narrow"/>
        </w:rPr>
        <w:t xml:space="preserve"> </w:t>
      </w:r>
      <w:r w:rsidR="00865093" w:rsidRPr="0091741D">
        <w:rPr>
          <w:rFonts w:ascii="Arial Narrow" w:hAnsi="Arial Narrow"/>
          <w:color w:val="1F1F1F"/>
        </w:rPr>
        <w:t xml:space="preserve">la </w:t>
      </w:r>
      <w:r w:rsidR="008C0D48" w:rsidRPr="0091741D">
        <w:rPr>
          <w:rFonts w:ascii="Arial Narrow" w:hAnsi="Arial Narrow"/>
          <w:color w:val="1F1F1F"/>
        </w:rPr>
        <w:t>cual modifica</w:t>
      </w:r>
      <w:r w:rsidR="00865093" w:rsidRPr="0091741D">
        <w:rPr>
          <w:rFonts w:ascii="Arial Narrow" w:hAnsi="Arial Narrow"/>
          <w:color w:val="1F1F1F"/>
        </w:rPr>
        <w:t xml:space="preserve"> la Resolución 0472 de 2017 sobre una adecuada gestión integral de los residuos de la obra</w:t>
      </w:r>
      <w:r w:rsidR="008C0D48" w:rsidRPr="0091741D">
        <w:rPr>
          <w:rFonts w:ascii="Arial Narrow" w:hAnsi="Arial Narrow"/>
          <w:color w:val="1F1F1F"/>
        </w:rPr>
        <w:t xml:space="preserve"> que</w:t>
      </w:r>
      <w:r w:rsidR="00865093" w:rsidRPr="0091741D">
        <w:rPr>
          <w:rFonts w:ascii="Arial Narrow" w:hAnsi="Arial Narrow"/>
          <w:color w:val="1F1F1F"/>
        </w:rPr>
        <w:t xml:space="preserve"> tiene como beneficios reducir la generación de emisiones de gases de efecto invernadero</w:t>
      </w:r>
      <w:r w:rsidR="002E1C49">
        <w:rPr>
          <w:rFonts w:ascii="Arial Narrow" w:hAnsi="Arial Narrow"/>
          <w:color w:val="1F1F1F"/>
        </w:rPr>
        <w:t xml:space="preserve"> y donde</w:t>
      </w:r>
      <w:r w:rsidR="00865093" w:rsidRPr="0091741D">
        <w:rPr>
          <w:rFonts w:ascii="Arial Narrow" w:hAnsi="Arial Narrow"/>
          <w:color w:val="1F1F1F"/>
        </w:rPr>
        <w:t xml:space="preserve"> </w:t>
      </w:r>
      <w:r w:rsidR="002E1C49" w:rsidRPr="002E1C49">
        <w:rPr>
          <w:rFonts w:ascii="Arial Narrow" w:hAnsi="Arial Narrow"/>
          <w:color w:val="1F1F1F"/>
        </w:rPr>
        <w:t xml:space="preserve">los generadores deberán utilizar </w:t>
      </w:r>
      <w:r w:rsidR="002E1C49">
        <w:rPr>
          <w:rFonts w:ascii="Arial Narrow" w:hAnsi="Arial Narrow"/>
          <w:color w:val="1F1F1F"/>
        </w:rPr>
        <w:t>RCD</w:t>
      </w:r>
      <w:r w:rsidR="002E1C49" w:rsidRPr="002E1C49">
        <w:rPr>
          <w:rFonts w:ascii="Arial Narrow" w:hAnsi="Arial Narrow"/>
          <w:color w:val="1F1F1F"/>
        </w:rPr>
        <w:t xml:space="preserve"> en un porcentaje no inferior al 2% con incrementos anuales de tres puntos porcentuales hasta alcanzar un mínimo de 30%</w:t>
      </w:r>
      <w:r w:rsidR="004F75A5">
        <w:rPr>
          <w:rFonts w:ascii="Arial Narrow" w:hAnsi="Arial Narrow"/>
          <w:color w:val="1F1F1F"/>
        </w:rPr>
        <w:t>.</w:t>
      </w:r>
      <w:r w:rsidR="003A1CC3">
        <w:rPr>
          <w:rFonts w:ascii="Arial Narrow" w:hAnsi="Arial Narrow"/>
          <w:color w:val="1F1F1F"/>
        </w:rPr>
        <w:t xml:space="preserve"> </w:t>
      </w:r>
    </w:p>
    <w:p w:rsidR="004414EE" w:rsidRDefault="004414EE" w:rsidP="002D0878">
      <w:pPr>
        <w:spacing w:after="0" w:line="276" w:lineRule="auto"/>
        <w:jc w:val="both"/>
        <w:rPr>
          <w:rFonts w:ascii="Arial Narrow" w:hAnsi="Arial Narrow"/>
          <w:color w:val="1F1F1F"/>
        </w:rPr>
      </w:pPr>
    </w:p>
    <w:p w:rsidR="00B24813" w:rsidRDefault="00C1036B" w:rsidP="004414EE">
      <w:pPr>
        <w:pStyle w:val="Prrafodelista"/>
        <w:numPr>
          <w:ilvl w:val="1"/>
          <w:numId w:val="10"/>
        </w:numPr>
        <w:spacing w:after="0" w:line="276" w:lineRule="auto"/>
        <w:rPr>
          <w:rFonts w:ascii="Arial Narrow" w:hAnsi="Arial Narrow"/>
          <w:b/>
        </w:rPr>
      </w:pPr>
      <w:r w:rsidRPr="001B292A">
        <w:rPr>
          <w:rFonts w:ascii="Arial Narrow" w:hAnsi="Arial Narrow"/>
          <w:b/>
        </w:rPr>
        <w:t>Etapa de operatividad</w:t>
      </w:r>
    </w:p>
    <w:p w:rsidR="00573375" w:rsidRPr="001B292A" w:rsidRDefault="00573375" w:rsidP="00573375">
      <w:pPr>
        <w:pStyle w:val="Prrafodelista"/>
        <w:spacing w:after="0" w:line="276" w:lineRule="auto"/>
        <w:ind w:left="792"/>
        <w:rPr>
          <w:rFonts w:ascii="Arial Narrow" w:hAnsi="Arial Narrow"/>
          <w:b/>
        </w:rPr>
      </w:pPr>
    </w:p>
    <w:p w:rsidR="00B550DD" w:rsidRDefault="00B976F2" w:rsidP="002D0878">
      <w:pPr>
        <w:spacing w:after="0" w:line="276" w:lineRule="auto"/>
        <w:jc w:val="both"/>
        <w:rPr>
          <w:rFonts w:ascii="Arial Narrow" w:hAnsi="Arial Narrow"/>
          <w:color w:val="1F1F1F"/>
        </w:rPr>
      </w:pPr>
      <w:r w:rsidRPr="0091741D">
        <w:rPr>
          <w:rFonts w:ascii="Arial Narrow" w:hAnsi="Arial Narrow"/>
          <w:color w:val="1F1F1F"/>
        </w:rPr>
        <w:t xml:space="preserve">En la etapa de operatividad se </w:t>
      </w:r>
      <w:r w:rsidR="00F53C1E" w:rsidRPr="0091741D">
        <w:rPr>
          <w:rFonts w:ascii="Arial Narrow" w:hAnsi="Arial Narrow"/>
          <w:color w:val="1F1F1F"/>
        </w:rPr>
        <w:t>obtienen</w:t>
      </w:r>
      <w:r w:rsidRPr="0091741D">
        <w:rPr>
          <w:rFonts w:ascii="Arial Narrow" w:hAnsi="Arial Narrow"/>
          <w:color w:val="1F1F1F"/>
        </w:rPr>
        <w:t xml:space="preserve"> los </w:t>
      </w:r>
      <w:r w:rsidR="00346C65" w:rsidRPr="0091741D">
        <w:rPr>
          <w:rFonts w:ascii="Arial Narrow" w:hAnsi="Arial Narrow"/>
          <w:color w:val="1F1F1F"/>
        </w:rPr>
        <w:t>beneficios</w:t>
      </w:r>
      <w:r w:rsidRPr="0091741D">
        <w:rPr>
          <w:rFonts w:ascii="Arial Narrow" w:hAnsi="Arial Narrow"/>
          <w:color w:val="1F1F1F"/>
        </w:rPr>
        <w:t xml:space="preserve"> </w:t>
      </w:r>
      <w:r w:rsidR="00F53C1E" w:rsidRPr="0091741D">
        <w:rPr>
          <w:rFonts w:ascii="Arial Narrow" w:hAnsi="Arial Narrow"/>
          <w:color w:val="1F1F1F"/>
        </w:rPr>
        <w:t xml:space="preserve">en eficiencia energética y confort producto </w:t>
      </w:r>
      <w:r w:rsidRPr="0091741D">
        <w:rPr>
          <w:rFonts w:ascii="Arial Narrow" w:hAnsi="Arial Narrow"/>
          <w:color w:val="1F1F1F"/>
        </w:rPr>
        <w:t xml:space="preserve">de los procesos constructivos </w:t>
      </w:r>
      <w:r w:rsidR="00B550DD" w:rsidRPr="0091741D">
        <w:rPr>
          <w:rFonts w:ascii="Arial Narrow" w:hAnsi="Arial Narrow"/>
          <w:color w:val="1F1F1F"/>
        </w:rPr>
        <w:t>sostenibles</w:t>
      </w:r>
      <w:r w:rsidR="00C667A6" w:rsidRPr="0091741D">
        <w:rPr>
          <w:rFonts w:ascii="Arial Narrow" w:hAnsi="Arial Narrow"/>
          <w:color w:val="1F1F1F"/>
        </w:rPr>
        <w:t>, entre los beneficios que se obtienen son</w:t>
      </w:r>
      <w:r w:rsidR="008F788E" w:rsidRPr="0091741D">
        <w:rPr>
          <w:rFonts w:ascii="Arial Narrow" w:hAnsi="Arial Narrow"/>
          <w:color w:val="1F1F1F"/>
        </w:rPr>
        <w:t>:</w:t>
      </w:r>
      <w:r w:rsidR="00F53C1E" w:rsidRPr="0091741D">
        <w:rPr>
          <w:rFonts w:ascii="Arial Narrow" w:hAnsi="Arial Narrow"/>
          <w:color w:val="1F1F1F"/>
        </w:rPr>
        <w:t xml:space="preserve"> </w:t>
      </w:r>
    </w:p>
    <w:p w:rsidR="00573375" w:rsidRPr="0091741D" w:rsidRDefault="00573375" w:rsidP="002D0878">
      <w:pPr>
        <w:spacing w:after="0" w:line="276" w:lineRule="auto"/>
        <w:jc w:val="both"/>
        <w:rPr>
          <w:rFonts w:ascii="Arial Narrow" w:hAnsi="Arial Narrow"/>
          <w:color w:val="1F1F1F"/>
        </w:rPr>
      </w:pPr>
    </w:p>
    <w:p w:rsidR="00024D39" w:rsidRDefault="00C1036B" w:rsidP="002D0878">
      <w:pPr>
        <w:spacing w:after="0" w:line="276" w:lineRule="auto"/>
        <w:jc w:val="both"/>
        <w:rPr>
          <w:rFonts w:ascii="Arial Narrow" w:hAnsi="Arial Narrow"/>
        </w:rPr>
      </w:pPr>
      <w:r w:rsidRPr="0091741D">
        <w:rPr>
          <w:rFonts w:ascii="Arial Narrow" w:hAnsi="Arial Narrow"/>
        </w:rPr>
        <w:t>Beneficio económico</w:t>
      </w:r>
      <w:r w:rsidR="00D443E7" w:rsidRPr="0091741D">
        <w:rPr>
          <w:rFonts w:ascii="Arial Narrow" w:hAnsi="Arial Narrow"/>
        </w:rPr>
        <w:t xml:space="preserve">: </w:t>
      </w:r>
      <w:r w:rsidRPr="0091741D">
        <w:rPr>
          <w:rFonts w:ascii="Arial Narrow" w:hAnsi="Arial Narrow"/>
        </w:rPr>
        <w:t>Si bien los costos iniciales de la construcción s</w:t>
      </w:r>
      <w:r w:rsidR="008F788E" w:rsidRPr="0091741D">
        <w:rPr>
          <w:rFonts w:ascii="Arial Narrow" w:hAnsi="Arial Narrow"/>
        </w:rPr>
        <w:t>ostenible</w:t>
      </w:r>
      <w:r w:rsidRPr="0091741D">
        <w:rPr>
          <w:rFonts w:ascii="Arial Narrow" w:hAnsi="Arial Narrow"/>
        </w:rPr>
        <w:t xml:space="preserve"> pueden ser ligeramente más altos que los métodos de construcción tradicionales, los beneficios económicos a largo plazo superan la inversión inicial</w:t>
      </w:r>
      <w:r w:rsidR="008F788E" w:rsidRPr="0091741D">
        <w:rPr>
          <w:rFonts w:ascii="Arial Narrow" w:hAnsi="Arial Narrow"/>
        </w:rPr>
        <w:t xml:space="preserve">, entre los beneficios se tiene: </w:t>
      </w:r>
      <w:r w:rsidR="00024D39" w:rsidRPr="0091741D">
        <w:rPr>
          <w:rFonts w:ascii="Arial Narrow" w:hAnsi="Arial Narrow"/>
        </w:rPr>
        <w:t xml:space="preserve">menor consumo de energía y agua </w:t>
      </w:r>
      <w:r w:rsidR="008F788E" w:rsidRPr="0091741D">
        <w:rPr>
          <w:rFonts w:ascii="Arial Narrow" w:hAnsi="Arial Narrow"/>
        </w:rPr>
        <w:t xml:space="preserve">que </w:t>
      </w:r>
      <w:r w:rsidR="00024D39" w:rsidRPr="0091741D">
        <w:rPr>
          <w:rFonts w:ascii="Arial Narrow" w:hAnsi="Arial Narrow"/>
        </w:rPr>
        <w:t>se traduce en menores cost</w:t>
      </w:r>
      <w:r w:rsidR="008F788E" w:rsidRPr="0091741D">
        <w:rPr>
          <w:rFonts w:ascii="Arial Narrow" w:hAnsi="Arial Narrow"/>
        </w:rPr>
        <w:t>os</w:t>
      </w:r>
      <w:r w:rsidR="00024D39" w:rsidRPr="0091741D">
        <w:rPr>
          <w:rFonts w:ascii="Arial Narrow" w:hAnsi="Arial Narrow"/>
        </w:rPr>
        <w:t xml:space="preserve"> operativos durante la vida útil del edificio</w:t>
      </w:r>
      <w:r w:rsidR="008F788E" w:rsidRPr="0091741D">
        <w:rPr>
          <w:rFonts w:ascii="Arial Narrow" w:hAnsi="Arial Narrow"/>
        </w:rPr>
        <w:t xml:space="preserve">, la posibilidad de </w:t>
      </w:r>
      <w:r w:rsidR="00024D39" w:rsidRPr="0091741D">
        <w:rPr>
          <w:rFonts w:ascii="Arial Narrow" w:hAnsi="Arial Narrow"/>
        </w:rPr>
        <w:t>incentivos gubernamentales</w:t>
      </w:r>
      <w:r w:rsidR="008F788E" w:rsidRPr="0091741D">
        <w:rPr>
          <w:rFonts w:ascii="Arial Narrow" w:hAnsi="Arial Narrow"/>
        </w:rPr>
        <w:t>, por certificaciones como LEED, EDGE y CASA Colombia.</w:t>
      </w:r>
      <w:r w:rsidR="00024D39" w:rsidRPr="0091741D">
        <w:rPr>
          <w:rFonts w:ascii="Arial Narrow" w:hAnsi="Arial Narrow"/>
        </w:rPr>
        <w:t xml:space="preserve"> </w:t>
      </w:r>
    </w:p>
    <w:p w:rsidR="00573375" w:rsidRPr="0091741D" w:rsidRDefault="00573375" w:rsidP="002D0878">
      <w:pPr>
        <w:spacing w:after="0" w:line="276" w:lineRule="auto"/>
        <w:jc w:val="both"/>
        <w:rPr>
          <w:rFonts w:ascii="Arial Narrow" w:hAnsi="Arial Narrow"/>
        </w:rPr>
      </w:pPr>
    </w:p>
    <w:p w:rsidR="00C1036B" w:rsidRDefault="00C1036B" w:rsidP="002D0878">
      <w:pPr>
        <w:spacing w:after="0" w:line="276" w:lineRule="auto"/>
        <w:jc w:val="both"/>
        <w:rPr>
          <w:rFonts w:ascii="Arial Narrow" w:hAnsi="Arial Narrow"/>
        </w:rPr>
      </w:pPr>
      <w:r w:rsidRPr="0091741D">
        <w:rPr>
          <w:rFonts w:ascii="Arial Narrow" w:hAnsi="Arial Narrow"/>
        </w:rPr>
        <w:t>Beneficios ambientales</w:t>
      </w:r>
      <w:r w:rsidR="00D443E7" w:rsidRPr="0091741D">
        <w:rPr>
          <w:rFonts w:ascii="Arial Narrow" w:hAnsi="Arial Narrow"/>
        </w:rPr>
        <w:t xml:space="preserve">: </w:t>
      </w:r>
      <w:r w:rsidRPr="0091741D">
        <w:rPr>
          <w:rFonts w:ascii="Arial Narrow" w:hAnsi="Arial Narrow"/>
        </w:rPr>
        <w:t>Las técnicas de construcción con procesos constructivos sostenibles reducen significativamente el impacto ambiental de los proyectos de construcción</w:t>
      </w:r>
      <w:r w:rsidR="00896BF1" w:rsidRPr="0091741D">
        <w:rPr>
          <w:rFonts w:ascii="Arial Narrow" w:hAnsi="Arial Narrow"/>
        </w:rPr>
        <w:t>,</w:t>
      </w:r>
      <w:r w:rsidRPr="0091741D">
        <w:rPr>
          <w:rFonts w:ascii="Arial Narrow" w:hAnsi="Arial Narrow"/>
        </w:rPr>
        <w:t xml:space="preserve"> </w:t>
      </w:r>
      <w:r w:rsidR="00896BF1" w:rsidRPr="0091741D">
        <w:rPr>
          <w:rFonts w:ascii="Arial Narrow" w:hAnsi="Arial Narrow"/>
        </w:rPr>
        <w:t>a</w:t>
      </w:r>
      <w:r w:rsidRPr="0091741D">
        <w:rPr>
          <w:rFonts w:ascii="Arial Narrow" w:hAnsi="Arial Narrow"/>
        </w:rPr>
        <w:t>l utilizar materiales sostenibles, conservar la energía e implementar estrategias de gestión de residuos, la construcción sostenible ayuda a</w:t>
      </w:r>
      <w:r w:rsidR="008F788E" w:rsidRPr="0091741D">
        <w:rPr>
          <w:rFonts w:ascii="Arial Narrow" w:hAnsi="Arial Narrow"/>
        </w:rPr>
        <w:t>: r</w:t>
      </w:r>
      <w:r w:rsidRPr="0091741D">
        <w:rPr>
          <w:rFonts w:ascii="Arial Narrow" w:hAnsi="Arial Narrow"/>
        </w:rPr>
        <w:t>educir las emisiones de gases de efecto invernadero combati</w:t>
      </w:r>
      <w:r w:rsidR="004F3DF2" w:rsidRPr="0091741D">
        <w:rPr>
          <w:rFonts w:ascii="Arial Narrow" w:hAnsi="Arial Narrow"/>
        </w:rPr>
        <w:t>endo</w:t>
      </w:r>
      <w:r w:rsidRPr="0091741D">
        <w:rPr>
          <w:rFonts w:ascii="Arial Narrow" w:hAnsi="Arial Narrow"/>
        </w:rPr>
        <w:t xml:space="preserve"> el cambio climático</w:t>
      </w:r>
      <w:r w:rsidR="008F788E" w:rsidRPr="0091741D">
        <w:rPr>
          <w:rFonts w:ascii="Arial Narrow" w:hAnsi="Arial Narrow"/>
        </w:rPr>
        <w:t>, r</w:t>
      </w:r>
      <w:r w:rsidR="004511C2" w:rsidRPr="0091741D">
        <w:rPr>
          <w:rFonts w:ascii="Arial Narrow" w:hAnsi="Arial Narrow"/>
        </w:rPr>
        <w:t>educción de consumo de energía</w:t>
      </w:r>
      <w:r w:rsidR="008F788E" w:rsidRPr="0091741D">
        <w:rPr>
          <w:rFonts w:ascii="Arial Narrow" w:hAnsi="Arial Narrow"/>
        </w:rPr>
        <w:t>, m</w:t>
      </w:r>
      <w:r w:rsidRPr="0091741D">
        <w:rPr>
          <w:rFonts w:ascii="Arial Narrow" w:hAnsi="Arial Narrow"/>
        </w:rPr>
        <w:t xml:space="preserve">inimizar la contaminación del aire y del agua. </w:t>
      </w:r>
    </w:p>
    <w:p w:rsidR="00573375" w:rsidRPr="0091741D" w:rsidRDefault="00573375" w:rsidP="002D0878">
      <w:pPr>
        <w:spacing w:after="0" w:line="276" w:lineRule="auto"/>
        <w:jc w:val="both"/>
        <w:rPr>
          <w:rFonts w:ascii="Arial Narrow" w:hAnsi="Arial Narrow"/>
        </w:rPr>
      </w:pPr>
    </w:p>
    <w:p w:rsidR="001E0AFA" w:rsidRDefault="0084515B" w:rsidP="002D0878">
      <w:pPr>
        <w:spacing w:after="0" w:line="276" w:lineRule="auto"/>
        <w:jc w:val="both"/>
        <w:rPr>
          <w:rFonts w:ascii="Arial Narrow" w:hAnsi="Arial Narrow"/>
        </w:rPr>
      </w:pPr>
      <w:r w:rsidRPr="0091741D">
        <w:rPr>
          <w:rFonts w:ascii="Arial Narrow" w:hAnsi="Arial Narrow"/>
        </w:rPr>
        <w:t>Beneficios para la salud y el bienestar</w:t>
      </w:r>
      <w:r w:rsidR="00D443E7" w:rsidRPr="0091741D">
        <w:rPr>
          <w:rFonts w:ascii="Arial Narrow" w:hAnsi="Arial Narrow"/>
        </w:rPr>
        <w:t xml:space="preserve">: </w:t>
      </w:r>
      <w:r w:rsidR="00CF2E2F" w:rsidRPr="0091741D">
        <w:rPr>
          <w:rFonts w:ascii="Arial Narrow" w:hAnsi="Arial Narrow"/>
        </w:rPr>
        <w:t>La implementación de</w:t>
      </w:r>
      <w:r w:rsidR="00BD1100" w:rsidRPr="0091741D">
        <w:rPr>
          <w:rFonts w:ascii="Arial Narrow" w:hAnsi="Arial Narrow"/>
        </w:rPr>
        <w:t xml:space="preserve"> procesos constructivos</w:t>
      </w:r>
      <w:r w:rsidR="00CF2E2F" w:rsidRPr="0091741D">
        <w:rPr>
          <w:rFonts w:ascii="Arial Narrow" w:hAnsi="Arial Narrow"/>
        </w:rPr>
        <w:t xml:space="preserve"> sostenibles en la construcción no solo tiene beneficios ambientales, también tiene un impacto positivo en la calidad de vida de los ocupantes y en el entorno urbano</w:t>
      </w:r>
      <w:r w:rsidR="00986195" w:rsidRPr="0091741D">
        <w:rPr>
          <w:rFonts w:ascii="Arial Narrow" w:hAnsi="Arial Narrow"/>
        </w:rPr>
        <w:t xml:space="preserve">, brindando confort </w:t>
      </w:r>
      <w:r w:rsidR="00896BF1" w:rsidRPr="0091741D">
        <w:rPr>
          <w:rFonts w:ascii="Arial Narrow" w:hAnsi="Arial Narrow"/>
        </w:rPr>
        <w:t>ambiental</w:t>
      </w:r>
      <w:r w:rsidR="00986195" w:rsidRPr="0091741D">
        <w:rPr>
          <w:rFonts w:ascii="Arial Narrow" w:hAnsi="Arial Narrow"/>
        </w:rPr>
        <w:t xml:space="preserve"> en interiores</w:t>
      </w:r>
      <w:r w:rsidR="008F788E" w:rsidRPr="0091741D">
        <w:rPr>
          <w:rFonts w:ascii="Arial Narrow" w:hAnsi="Arial Narrow"/>
        </w:rPr>
        <w:t>.</w:t>
      </w:r>
    </w:p>
    <w:p w:rsidR="002D0878" w:rsidRDefault="002D0878" w:rsidP="002D0878">
      <w:pPr>
        <w:spacing w:after="0" w:line="276" w:lineRule="auto"/>
        <w:jc w:val="both"/>
        <w:rPr>
          <w:rFonts w:ascii="Arial Narrow" w:hAnsi="Arial Narrow"/>
        </w:rPr>
      </w:pPr>
    </w:p>
    <w:p w:rsidR="009F6033" w:rsidRDefault="009F6033" w:rsidP="002D0878">
      <w:pPr>
        <w:pStyle w:val="Prrafodelista"/>
        <w:numPr>
          <w:ilvl w:val="0"/>
          <w:numId w:val="10"/>
        </w:numPr>
        <w:spacing w:after="0" w:line="276" w:lineRule="auto"/>
        <w:rPr>
          <w:rFonts w:ascii="Arial Narrow" w:hAnsi="Arial Narrow"/>
          <w:b/>
        </w:rPr>
      </w:pPr>
      <w:r w:rsidRPr="001B292A">
        <w:rPr>
          <w:rFonts w:ascii="Arial Narrow" w:hAnsi="Arial Narrow"/>
          <w:b/>
        </w:rPr>
        <w:t>Objetivo general</w:t>
      </w:r>
    </w:p>
    <w:p w:rsidR="002251FA" w:rsidRPr="001B292A" w:rsidRDefault="002251FA" w:rsidP="002251FA">
      <w:pPr>
        <w:pStyle w:val="Prrafodelista"/>
        <w:spacing w:after="0" w:line="276" w:lineRule="auto"/>
        <w:ind w:left="360"/>
        <w:rPr>
          <w:rFonts w:ascii="Arial Narrow" w:hAnsi="Arial Narrow"/>
          <w:b/>
        </w:rPr>
      </w:pPr>
    </w:p>
    <w:p w:rsidR="002D0878" w:rsidRDefault="009F6033" w:rsidP="002D0878">
      <w:pPr>
        <w:spacing w:after="0" w:line="276" w:lineRule="auto"/>
        <w:rPr>
          <w:rFonts w:ascii="Arial Narrow" w:hAnsi="Arial Narrow"/>
          <w:color w:val="1F1F1F"/>
        </w:rPr>
      </w:pPr>
      <w:r>
        <w:rPr>
          <w:rFonts w:ascii="Arial Narrow" w:hAnsi="Arial Narrow"/>
          <w:color w:val="1F1F1F"/>
        </w:rPr>
        <w:t>Contribuir a los tres ejes misionales</w:t>
      </w:r>
      <w:r w:rsidR="004E7A2A">
        <w:rPr>
          <w:rFonts w:ascii="Arial Narrow" w:hAnsi="Arial Narrow"/>
          <w:color w:val="1F1F1F"/>
        </w:rPr>
        <w:t xml:space="preserve"> de docencia, investigación y extensión</w:t>
      </w:r>
      <w:r>
        <w:rPr>
          <w:rFonts w:ascii="Arial Narrow" w:hAnsi="Arial Narrow"/>
          <w:color w:val="1F1F1F"/>
        </w:rPr>
        <w:t xml:space="preserve"> a partir del conocimiento de los procesos constructivos sostenibles</w:t>
      </w:r>
      <w:r w:rsidR="000C6712" w:rsidRPr="000C6712">
        <w:rPr>
          <w:rFonts w:ascii="Arial Narrow" w:hAnsi="Arial Narrow"/>
          <w:color w:val="1F1F1F"/>
        </w:rPr>
        <w:t xml:space="preserve"> </w:t>
      </w:r>
      <w:r w:rsidR="000C6712">
        <w:rPr>
          <w:rFonts w:ascii="Arial Narrow" w:hAnsi="Arial Narrow"/>
          <w:color w:val="1F1F1F"/>
        </w:rPr>
        <w:t>y la Construcción Sostenible</w:t>
      </w:r>
      <w:r>
        <w:rPr>
          <w:rFonts w:ascii="Arial Narrow" w:hAnsi="Arial Narrow"/>
          <w:color w:val="1F1F1F"/>
        </w:rPr>
        <w:t>.</w:t>
      </w:r>
    </w:p>
    <w:p w:rsidR="002D0878" w:rsidRDefault="002D0878" w:rsidP="002D0878">
      <w:pPr>
        <w:spacing w:after="0" w:line="276" w:lineRule="auto"/>
        <w:rPr>
          <w:rFonts w:ascii="Arial Narrow" w:hAnsi="Arial Narrow"/>
          <w:b/>
          <w:color w:val="FF0000"/>
        </w:rPr>
      </w:pPr>
    </w:p>
    <w:p w:rsidR="009F6033" w:rsidRDefault="009F6033" w:rsidP="00824401">
      <w:pPr>
        <w:pStyle w:val="Prrafodelista"/>
        <w:spacing w:after="0" w:line="276" w:lineRule="auto"/>
        <w:ind w:left="360"/>
        <w:rPr>
          <w:rFonts w:ascii="Arial Narrow" w:hAnsi="Arial Narrow"/>
          <w:b/>
        </w:rPr>
      </w:pPr>
      <w:r w:rsidRPr="001B292A">
        <w:rPr>
          <w:rFonts w:ascii="Arial Narrow" w:hAnsi="Arial Narrow"/>
          <w:b/>
        </w:rPr>
        <w:t>Objetivos específicos</w:t>
      </w:r>
    </w:p>
    <w:p w:rsidR="002251FA" w:rsidRPr="001B292A" w:rsidRDefault="002251FA" w:rsidP="00824401">
      <w:pPr>
        <w:pStyle w:val="Prrafodelista"/>
        <w:spacing w:after="0" w:line="276" w:lineRule="auto"/>
        <w:ind w:left="360"/>
        <w:rPr>
          <w:rFonts w:ascii="Arial Narrow" w:hAnsi="Arial Narrow"/>
        </w:rPr>
      </w:pPr>
    </w:p>
    <w:p w:rsidR="009F6033" w:rsidRPr="009F6033" w:rsidRDefault="009F6033" w:rsidP="002D0878">
      <w:pPr>
        <w:pStyle w:val="Prrafodelista"/>
        <w:numPr>
          <w:ilvl w:val="0"/>
          <w:numId w:val="11"/>
        </w:numPr>
        <w:spacing w:after="0" w:line="276" w:lineRule="auto"/>
        <w:ind w:left="360"/>
        <w:rPr>
          <w:rFonts w:ascii="Arial Narrow" w:hAnsi="Arial Narrow"/>
          <w:color w:val="1F1F1F"/>
        </w:rPr>
      </w:pPr>
      <w:r w:rsidRPr="009F6033">
        <w:rPr>
          <w:rFonts w:ascii="Arial Narrow" w:hAnsi="Arial Narrow"/>
          <w:color w:val="1F1F1F"/>
        </w:rPr>
        <w:t>Contribuir a la actualización de los conocimientos desde la sostenibilidad aplicada a los cursos de la línea de construcción.</w:t>
      </w:r>
    </w:p>
    <w:p w:rsidR="009F6033" w:rsidRPr="009F6033" w:rsidRDefault="009F6033" w:rsidP="002D0878">
      <w:pPr>
        <w:pStyle w:val="Prrafodelista"/>
        <w:numPr>
          <w:ilvl w:val="0"/>
          <w:numId w:val="11"/>
        </w:numPr>
        <w:spacing w:after="0" w:line="276" w:lineRule="auto"/>
        <w:ind w:left="360"/>
        <w:jc w:val="both"/>
        <w:rPr>
          <w:rFonts w:ascii="Arial Narrow" w:hAnsi="Arial Narrow"/>
          <w:color w:val="1F1F1F"/>
        </w:rPr>
      </w:pPr>
      <w:r w:rsidRPr="009F6033">
        <w:rPr>
          <w:rFonts w:ascii="Arial Narrow" w:hAnsi="Arial Narrow"/>
          <w:color w:val="1F1F1F"/>
        </w:rPr>
        <w:t>Integrar el enfoque de sostenibilidad y eficiencia energética en la investigación de la línea de construcción, tanto a nivel de pregrado como de posgrado.</w:t>
      </w:r>
    </w:p>
    <w:p w:rsidR="009F6033" w:rsidRPr="009F6033" w:rsidRDefault="009F6033" w:rsidP="002D0878">
      <w:pPr>
        <w:pStyle w:val="Prrafodelista"/>
        <w:numPr>
          <w:ilvl w:val="0"/>
          <w:numId w:val="11"/>
        </w:numPr>
        <w:spacing w:after="0" w:line="276" w:lineRule="auto"/>
        <w:ind w:left="360"/>
        <w:jc w:val="both"/>
        <w:rPr>
          <w:rFonts w:ascii="Arial Narrow" w:hAnsi="Arial Narrow"/>
          <w:color w:val="1F1F1F"/>
        </w:rPr>
      </w:pPr>
      <w:r w:rsidRPr="009F6033">
        <w:rPr>
          <w:rFonts w:ascii="Arial Narrow" w:hAnsi="Arial Narrow"/>
          <w:color w:val="1F1F1F"/>
        </w:rPr>
        <w:t xml:space="preserve">Desarrollar y coordinar proyectos y actividades de extensión, que aborden procesos constructivos, </w:t>
      </w:r>
      <w:r w:rsidR="004E7A2A">
        <w:rPr>
          <w:rFonts w:ascii="Arial Narrow" w:hAnsi="Arial Narrow"/>
          <w:color w:val="1F1F1F"/>
        </w:rPr>
        <w:t xml:space="preserve">y otros </w:t>
      </w:r>
      <w:r w:rsidRPr="009F6033">
        <w:rPr>
          <w:rFonts w:ascii="Arial Narrow" w:hAnsi="Arial Narrow"/>
          <w:color w:val="1F1F1F"/>
        </w:rPr>
        <w:t>temas de interés orientados a la construcción.</w:t>
      </w:r>
    </w:p>
    <w:p w:rsidR="009F6033" w:rsidRPr="009F6033" w:rsidRDefault="009F6033" w:rsidP="002D0878">
      <w:pPr>
        <w:spacing w:after="0" w:line="276" w:lineRule="auto"/>
        <w:jc w:val="both"/>
        <w:rPr>
          <w:rFonts w:ascii="Arial Narrow" w:hAnsi="Arial Narrow"/>
          <w:color w:val="1F1F1F"/>
        </w:rPr>
      </w:pPr>
    </w:p>
    <w:p w:rsidR="00CF676F" w:rsidRDefault="0091741D" w:rsidP="002D0878">
      <w:pPr>
        <w:pStyle w:val="Prrafodelista"/>
        <w:numPr>
          <w:ilvl w:val="0"/>
          <w:numId w:val="10"/>
        </w:numPr>
        <w:spacing w:after="0" w:line="276" w:lineRule="auto"/>
        <w:rPr>
          <w:rFonts w:ascii="Arial Narrow" w:hAnsi="Arial Narrow"/>
          <w:b/>
        </w:rPr>
      </w:pPr>
      <w:r w:rsidRPr="001B292A">
        <w:rPr>
          <w:rFonts w:ascii="Arial Narrow" w:hAnsi="Arial Narrow"/>
          <w:b/>
        </w:rPr>
        <w:t>Propuesta</w:t>
      </w:r>
      <w:r w:rsidR="00846E66" w:rsidRPr="001B292A">
        <w:rPr>
          <w:rFonts w:ascii="Arial Narrow" w:hAnsi="Arial Narrow"/>
          <w:b/>
        </w:rPr>
        <w:t xml:space="preserve"> en el componente</w:t>
      </w:r>
      <w:r w:rsidRPr="001B292A">
        <w:rPr>
          <w:rFonts w:ascii="Arial Narrow" w:hAnsi="Arial Narrow"/>
          <w:b/>
        </w:rPr>
        <w:t xml:space="preserve"> d</w:t>
      </w:r>
      <w:r w:rsidR="00C5491C" w:rsidRPr="001B292A">
        <w:rPr>
          <w:rFonts w:ascii="Arial Narrow" w:hAnsi="Arial Narrow"/>
          <w:b/>
        </w:rPr>
        <w:t>ocencia</w:t>
      </w:r>
    </w:p>
    <w:p w:rsidR="00573375" w:rsidRPr="001B292A" w:rsidRDefault="00573375" w:rsidP="00573375">
      <w:pPr>
        <w:pStyle w:val="Prrafodelista"/>
        <w:spacing w:after="0" w:line="276" w:lineRule="auto"/>
        <w:ind w:left="360"/>
        <w:rPr>
          <w:rFonts w:ascii="Arial Narrow" w:hAnsi="Arial Narrow"/>
          <w:b/>
        </w:rPr>
      </w:pPr>
    </w:p>
    <w:p w:rsidR="00B95F91" w:rsidRDefault="00560C04" w:rsidP="002D0878">
      <w:pPr>
        <w:spacing w:after="0" w:line="276" w:lineRule="auto"/>
        <w:jc w:val="both"/>
        <w:rPr>
          <w:rFonts w:ascii="Arial Narrow" w:hAnsi="Arial Narrow"/>
        </w:rPr>
      </w:pPr>
      <w:r w:rsidRPr="0091741D">
        <w:rPr>
          <w:rFonts w:ascii="Arial Narrow" w:hAnsi="Arial Narrow"/>
        </w:rPr>
        <w:t>En</w:t>
      </w:r>
      <w:r w:rsidR="00911612" w:rsidRPr="0091741D">
        <w:rPr>
          <w:rFonts w:ascii="Arial Narrow" w:hAnsi="Arial Narrow"/>
        </w:rPr>
        <w:t xml:space="preserve"> el programa de Ingeniería Civil se ofrecen los cursos de Fundamentos de Construcción y Construcción de Edificaciones para pregrado</w:t>
      </w:r>
      <w:r w:rsidR="000D0D84">
        <w:rPr>
          <w:rFonts w:ascii="Arial Narrow" w:hAnsi="Arial Narrow"/>
        </w:rPr>
        <w:t>,</w:t>
      </w:r>
      <w:r w:rsidR="00911612" w:rsidRPr="0091741D">
        <w:rPr>
          <w:rFonts w:ascii="Arial Narrow" w:hAnsi="Arial Narrow"/>
        </w:rPr>
        <w:t xml:space="preserve"> y en l</w:t>
      </w:r>
      <w:r w:rsidR="000D0D84">
        <w:rPr>
          <w:rFonts w:ascii="Arial Narrow" w:hAnsi="Arial Narrow"/>
        </w:rPr>
        <w:t xml:space="preserve">os posgrados </w:t>
      </w:r>
      <w:r w:rsidR="00911612" w:rsidRPr="0091741D">
        <w:rPr>
          <w:rFonts w:ascii="Arial Narrow" w:hAnsi="Arial Narrow"/>
        </w:rPr>
        <w:t xml:space="preserve">en Estructuras se encuentra la línea de investigación en materiales para estructuras, </w:t>
      </w:r>
      <w:r w:rsidR="00B95F91" w:rsidRPr="0091741D">
        <w:rPr>
          <w:rFonts w:ascii="Arial Narrow" w:hAnsi="Arial Narrow"/>
        </w:rPr>
        <w:t>el candidato está capacitado para dictar estas asignaturas debidos a su experiencia en docencia, que incluye la enseñanza del curso de Estática para el Departamento de Ingeniería Civil y Agrícola, así como del curso de Fundamentos Tecnológicos en Arquitectura en la Escuela de Arquitectura y Urbanismo de la Universidad Nacional de Colombia. Su experiencia se complementa con una trayectoria investigativa y profesional en proyectos de construcción.</w:t>
      </w:r>
    </w:p>
    <w:p w:rsidR="00573375" w:rsidRPr="0091741D" w:rsidRDefault="00573375" w:rsidP="002D0878">
      <w:pPr>
        <w:spacing w:after="0" w:line="276" w:lineRule="auto"/>
        <w:jc w:val="both"/>
        <w:rPr>
          <w:rFonts w:ascii="Arial Narrow" w:hAnsi="Arial Narrow"/>
        </w:rPr>
      </w:pPr>
    </w:p>
    <w:p w:rsidR="00911612" w:rsidRDefault="00B95F91" w:rsidP="002D0878">
      <w:pPr>
        <w:spacing w:after="0" w:line="276" w:lineRule="auto"/>
        <w:jc w:val="both"/>
        <w:rPr>
          <w:rFonts w:ascii="Arial Narrow" w:hAnsi="Arial Narrow"/>
          <w:color w:val="1F1F1F"/>
        </w:rPr>
      </w:pPr>
      <w:r w:rsidRPr="0091741D">
        <w:rPr>
          <w:rFonts w:ascii="Arial Narrow" w:hAnsi="Arial Narrow"/>
          <w:color w:val="1F1F1F"/>
        </w:rPr>
        <w:t xml:space="preserve">Actualmente, las tesis de la Maestría en Estructuras se enfocan principalmente en el diseño, dejando un </w:t>
      </w:r>
      <w:r w:rsidR="00632961">
        <w:rPr>
          <w:rFonts w:ascii="Arial Narrow" w:hAnsi="Arial Narrow"/>
          <w:color w:val="1F1F1F"/>
        </w:rPr>
        <w:t>espacio de expansión</w:t>
      </w:r>
      <w:r w:rsidR="00632961" w:rsidRPr="0091741D">
        <w:rPr>
          <w:rFonts w:ascii="Arial Narrow" w:hAnsi="Arial Narrow"/>
          <w:color w:val="1F1F1F"/>
        </w:rPr>
        <w:t xml:space="preserve"> </w:t>
      </w:r>
      <w:r w:rsidRPr="0091741D">
        <w:rPr>
          <w:rFonts w:ascii="Arial Narrow" w:hAnsi="Arial Narrow"/>
          <w:color w:val="1F1F1F"/>
        </w:rPr>
        <w:t xml:space="preserve">en el área de procesos constructivos, especialmente en lo relacionado con los procesos constructivos sostenibles. Para abordar </w:t>
      </w:r>
      <w:r w:rsidR="00632961" w:rsidRPr="0091741D">
        <w:rPr>
          <w:rFonts w:ascii="Arial Narrow" w:hAnsi="Arial Narrow"/>
          <w:color w:val="1F1F1F"/>
        </w:rPr>
        <w:t>est</w:t>
      </w:r>
      <w:r w:rsidR="00632961">
        <w:rPr>
          <w:rFonts w:ascii="Arial Narrow" w:hAnsi="Arial Narrow"/>
          <w:color w:val="1F1F1F"/>
        </w:rPr>
        <w:t>e tema</w:t>
      </w:r>
      <w:r w:rsidRPr="0091741D">
        <w:rPr>
          <w:rFonts w:ascii="Arial Narrow" w:hAnsi="Arial Narrow"/>
          <w:color w:val="1F1F1F"/>
        </w:rPr>
        <w:t xml:space="preserve">, se </w:t>
      </w:r>
      <w:r w:rsidR="00632961">
        <w:rPr>
          <w:rFonts w:ascii="Arial Narrow" w:hAnsi="Arial Narrow"/>
          <w:color w:val="1F1F1F"/>
        </w:rPr>
        <w:t xml:space="preserve">pretende </w:t>
      </w:r>
      <w:r w:rsidR="00846E66">
        <w:rPr>
          <w:rFonts w:ascii="Arial Narrow" w:hAnsi="Arial Narrow"/>
          <w:color w:val="1F1F1F"/>
        </w:rPr>
        <w:t>proponer</w:t>
      </w:r>
      <w:r w:rsidR="00632961">
        <w:rPr>
          <w:rFonts w:ascii="Arial Narrow" w:hAnsi="Arial Narrow"/>
          <w:color w:val="1F1F1F"/>
        </w:rPr>
        <w:t xml:space="preserve"> </w:t>
      </w:r>
      <w:r w:rsidRPr="0091741D">
        <w:rPr>
          <w:rFonts w:ascii="Arial Narrow" w:hAnsi="Arial Narrow"/>
          <w:color w:val="1F1F1F"/>
        </w:rPr>
        <w:t xml:space="preserve">un curso </w:t>
      </w:r>
      <w:r w:rsidR="00632961">
        <w:rPr>
          <w:rFonts w:ascii="Arial Narrow" w:hAnsi="Arial Narrow"/>
          <w:color w:val="1F1F1F"/>
        </w:rPr>
        <w:t>de</w:t>
      </w:r>
      <w:r w:rsidRPr="0091741D">
        <w:rPr>
          <w:rFonts w:ascii="Arial Narrow" w:hAnsi="Arial Narrow"/>
          <w:color w:val="1F1F1F"/>
        </w:rPr>
        <w:t xml:space="preserve"> Construcción Sostenible. En el país, existen solo dos maestrías centradas en construcción: una ofrecida por la Universidad Nacional de Colombia y otra por la Universidad Colegio Mayor de Cundinamarca, que ofrece la Maestría en Construcción Sostenible. </w:t>
      </w:r>
      <w:r w:rsidR="00A06F33">
        <w:rPr>
          <w:rFonts w:ascii="Arial Narrow" w:hAnsi="Arial Narrow"/>
          <w:color w:val="1F1F1F"/>
        </w:rPr>
        <w:t>E</w:t>
      </w:r>
      <w:r w:rsidRPr="0091741D">
        <w:rPr>
          <w:rFonts w:ascii="Arial Narrow" w:hAnsi="Arial Narrow"/>
          <w:color w:val="1F1F1F"/>
        </w:rPr>
        <w:t>n este contexto, se puede fortalecer el programa de Ingeniería Civil considerando la normativa vigente</w:t>
      </w:r>
      <w:r w:rsidR="00A06F33">
        <w:rPr>
          <w:rFonts w:ascii="Arial Narrow" w:hAnsi="Arial Narrow"/>
          <w:color w:val="1F1F1F"/>
        </w:rPr>
        <w:t>,</w:t>
      </w:r>
      <w:r w:rsidRPr="0091741D">
        <w:rPr>
          <w:rFonts w:ascii="Arial Narrow" w:hAnsi="Arial Narrow"/>
          <w:color w:val="1F1F1F"/>
        </w:rPr>
        <w:t xml:space="preserve"> y consolidando la línea de investigación en la Maestría en Estructuras.</w:t>
      </w:r>
    </w:p>
    <w:p w:rsidR="002D0878" w:rsidRPr="0091741D" w:rsidRDefault="002D0878" w:rsidP="002D0878">
      <w:pPr>
        <w:spacing w:after="0" w:line="276" w:lineRule="auto"/>
        <w:jc w:val="both"/>
        <w:rPr>
          <w:rFonts w:ascii="Arial Narrow" w:hAnsi="Arial Narrow"/>
          <w:color w:val="FF0000"/>
        </w:rPr>
      </w:pPr>
    </w:p>
    <w:p w:rsidR="00C5491C" w:rsidRDefault="0091741D" w:rsidP="002D0878">
      <w:pPr>
        <w:pStyle w:val="Prrafodelista"/>
        <w:numPr>
          <w:ilvl w:val="0"/>
          <w:numId w:val="10"/>
        </w:numPr>
        <w:spacing w:after="0" w:line="276" w:lineRule="auto"/>
        <w:rPr>
          <w:rFonts w:ascii="Arial Narrow" w:hAnsi="Arial Narrow"/>
          <w:b/>
        </w:rPr>
      </w:pPr>
      <w:r w:rsidRPr="001B292A">
        <w:rPr>
          <w:rFonts w:ascii="Arial Narrow" w:hAnsi="Arial Narrow"/>
          <w:b/>
        </w:rPr>
        <w:t>Propuesta en el componente de i</w:t>
      </w:r>
      <w:r w:rsidR="00C5491C" w:rsidRPr="001B292A">
        <w:rPr>
          <w:rFonts w:ascii="Arial Narrow" w:hAnsi="Arial Narrow"/>
          <w:b/>
        </w:rPr>
        <w:t>nvestigación</w:t>
      </w:r>
    </w:p>
    <w:p w:rsidR="00573375" w:rsidRPr="001B292A" w:rsidRDefault="00573375" w:rsidP="00573375">
      <w:pPr>
        <w:pStyle w:val="Prrafodelista"/>
        <w:spacing w:after="0" w:line="276" w:lineRule="auto"/>
        <w:ind w:left="360"/>
        <w:rPr>
          <w:rFonts w:ascii="Arial Narrow" w:hAnsi="Arial Narrow"/>
          <w:b/>
        </w:rPr>
      </w:pPr>
    </w:p>
    <w:p w:rsidR="00A71617" w:rsidRDefault="00A71617" w:rsidP="002D0878">
      <w:pPr>
        <w:spacing w:after="0" w:line="276" w:lineRule="auto"/>
        <w:jc w:val="both"/>
        <w:rPr>
          <w:rFonts w:ascii="Arial Narrow" w:hAnsi="Arial Narrow"/>
        </w:rPr>
      </w:pPr>
      <w:r w:rsidRPr="0091741D">
        <w:rPr>
          <w:rFonts w:ascii="Arial Narrow" w:hAnsi="Arial Narrow"/>
        </w:rPr>
        <w:t xml:space="preserve">El candidato posee experiencia en investigación acumulada durante los últimos cuatro años en grupos de investigación reconocidos por </w:t>
      </w:r>
      <w:proofErr w:type="spellStart"/>
      <w:r w:rsidR="00FB4068">
        <w:rPr>
          <w:rFonts w:ascii="Arial Narrow" w:hAnsi="Arial Narrow"/>
        </w:rPr>
        <w:t>Min</w:t>
      </w:r>
      <w:r w:rsidR="00FB4068" w:rsidRPr="0091741D">
        <w:rPr>
          <w:rFonts w:ascii="Arial Narrow" w:hAnsi="Arial Narrow"/>
        </w:rPr>
        <w:t>ciencias</w:t>
      </w:r>
      <w:proofErr w:type="spellEnd"/>
      <w:r w:rsidRPr="0091741D">
        <w:rPr>
          <w:rFonts w:ascii="Arial Narrow" w:hAnsi="Arial Narrow"/>
        </w:rPr>
        <w:t xml:space="preserve">, como el Grupo de Estudios en Sostenibilidad Ambiental (GESA) de la Universidad Nacional de Colombia, sus intereses de investigación abarcan construcción sostenible, simulación bioclimática, energía de edificios, confort ambiental y materiales de construcción. Además, ha estado vinculado con entidades del sector público como </w:t>
      </w:r>
      <w:proofErr w:type="spellStart"/>
      <w:r w:rsidRPr="0091741D">
        <w:rPr>
          <w:rFonts w:ascii="Arial Narrow" w:hAnsi="Arial Narrow"/>
        </w:rPr>
        <w:t>Agrosavia</w:t>
      </w:r>
      <w:proofErr w:type="spellEnd"/>
      <w:r w:rsidRPr="0091741D">
        <w:rPr>
          <w:rFonts w:ascii="Arial Narrow" w:hAnsi="Arial Narrow"/>
        </w:rPr>
        <w:t xml:space="preserve"> durante dos años, participando en proyectos de investigación orientados al diseño y construcciones del sector rural.</w:t>
      </w:r>
      <w:r w:rsidR="00D806AA" w:rsidRPr="0091741D">
        <w:rPr>
          <w:rFonts w:ascii="Arial Narrow" w:hAnsi="Arial Narrow"/>
        </w:rPr>
        <w:t xml:space="preserve"> </w:t>
      </w:r>
      <w:r w:rsidRPr="0091741D">
        <w:rPr>
          <w:rFonts w:ascii="Arial Narrow" w:hAnsi="Arial Narrow"/>
        </w:rPr>
        <w:t xml:space="preserve">Con esta experiencia, el candidato está en una posición para fortalecer una línea de investigación orientada en Construcción Sostenible y otras áreas de la construcción, asesorar trabajos de grado y tesis de maestría, y formular proyectos de </w:t>
      </w:r>
      <w:r w:rsidR="00846E66" w:rsidRPr="0091741D">
        <w:rPr>
          <w:rFonts w:ascii="Arial Narrow" w:hAnsi="Arial Narrow"/>
        </w:rPr>
        <w:t>investigación.</w:t>
      </w:r>
    </w:p>
    <w:p w:rsidR="00573375" w:rsidRPr="0091741D" w:rsidRDefault="00573375" w:rsidP="002D0878">
      <w:pPr>
        <w:spacing w:after="0" w:line="276" w:lineRule="auto"/>
        <w:jc w:val="both"/>
        <w:rPr>
          <w:rFonts w:ascii="Arial Narrow" w:hAnsi="Arial Narrow"/>
        </w:rPr>
      </w:pPr>
    </w:p>
    <w:p w:rsidR="00D806AA" w:rsidRDefault="00A71617" w:rsidP="002D0878">
      <w:pPr>
        <w:spacing w:after="0" w:line="276" w:lineRule="auto"/>
        <w:jc w:val="both"/>
        <w:rPr>
          <w:rFonts w:ascii="Arial Narrow" w:hAnsi="Arial Narrow"/>
        </w:rPr>
      </w:pPr>
      <w:r w:rsidRPr="0091741D">
        <w:rPr>
          <w:rFonts w:ascii="Arial Narrow" w:hAnsi="Arial Narrow"/>
        </w:rPr>
        <w:t xml:space="preserve">Se pretende </w:t>
      </w:r>
      <w:r w:rsidR="00742C8D">
        <w:rPr>
          <w:rFonts w:ascii="Arial Narrow" w:hAnsi="Arial Narrow"/>
        </w:rPr>
        <w:t xml:space="preserve">fortalecer los semilleros, o crear </w:t>
      </w:r>
      <w:r w:rsidRPr="0091741D">
        <w:rPr>
          <w:rFonts w:ascii="Arial Narrow" w:hAnsi="Arial Narrow"/>
        </w:rPr>
        <w:t>un semillero de investigación en construcción sostenible, bioclimática y eficiencia energética con estudiantes de pregrado de los programas de Ingeniería Civil, Ingeniería Agrícola y otros programas afines. Los estudiantes participantes recibirán formación en investigación y ofrecerán apoyo a estudiantes de posgrado y docentes en proyectos e investigaciones relacionadas con estas áreas.</w:t>
      </w:r>
    </w:p>
    <w:p w:rsidR="002D0878" w:rsidRPr="0091741D" w:rsidRDefault="002D0878" w:rsidP="002D0878">
      <w:pPr>
        <w:spacing w:after="0" w:line="276" w:lineRule="auto"/>
        <w:jc w:val="both"/>
        <w:rPr>
          <w:rFonts w:ascii="Arial Narrow" w:hAnsi="Arial Narrow"/>
        </w:rPr>
      </w:pPr>
    </w:p>
    <w:p w:rsidR="00016760" w:rsidRDefault="0091741D" w:rsidP="002D0878">
      <w:pPr>
        <w:pStyle w:val="Prrafodelista"/>
        <w:numPr>
          <w:ilvl w:val="0"/>
          <w:numId w:val="10"/>
        </w:numPr>
        <w:spacing w:after="0" w:line="276" w:lineRule="auto"/>
        <w:rPr>
          <w:rFonts w:ascii="Arial Narrow" w:hAnsi="Arial Narrow"/>
          <w:b/>
        </w:rPr>
      </w:pPr>
      <w:r w:rsidRPr="001B292A">
        <w:rPr>
          <w:rFonts w:ascii="Arial Narrow" w:hAnsi="Arial Narrow"/>
          <w:b/>
        </w:rPr>
        <w:t>Propuesta en el componente de e</w:t>
      </w:r>
      <w:r w:rsidR="00016760" w:rsidRPr="001B292A">
        <w:rPr>
          <w:rFonts w:ascii="Arial Narrow" w:hAnsi="Arial Narrow"/>
          <w:b/>
        </w:rPr>
        <w:t>xtensión</w:t>
      </w:r>
    </w:p>
    <w:p w:rsidR="00573375" w:rsidRPr="001B292A" w:rsidRDefault="00573375" w:rsidP="00573375">
      <w:pPr>
        <w:pStyle w:val="Prrafodelista"/>
        <w:spacing w:after="0" w:line="276" w:lineRule="auto"/>
        <w:ind w:left="360"/>
        <w:rPr>
          <w:rFonts w:ascii="Arial Narrow" w:hAnsi="Arial Narrow"/>
          <w:b/>
        </w:rPr>
      </w:pPr>
    </w:p>
    <w:p w:rsidR="00D806AA" w:rsidRDefault="00C33887" w:rsidP="002D0878">
      <w:pPr>
        <w:spacing w:after="0" w:line="276" w:lineRule="auto"/>
        <w:jc w:val="both"/>
        <w:rPr>
          <w:rFonts w:ascii="Arial Narrow" w:hAnsi="Arial Narrow"/>
        </w:rPr>
      </w:pPr>
      <w:r w:rsidRPr="0091741D">
        <w:rPr>
          <w:rFonts w:ascii="Arial Narrow" w:hAnsi="Arial Narrow"/>
        </w:rPr>
        <w:t xml:space="preserve">Se pretende gestionar proyectos y actividades de extensión, incluyendo cursos de educación continuada que aborden procesos constructivos, </w:t>
      </w:r>
      <w:r w:rsidR="00632961">
        <w:rPr>
          <w:rFonts w:ascii="Arial Narrow" w:hAnsi="Arial Narrow"/>
        </w:rPr>
        <w:t>y</w:t>
      </w:r>
      <w:r w:rsidRPr="0091741D">
        <w:rPr>
          <w:rFonts w:ascii="Arial Narrow" w:hAnsi="Arial Narrow"/>
        </w:rPr>
        <w:t xml:space="preserve"> otros temas de interés. Como parte del desarrollo de una nueva línea, se busca complementar los laboratorios existentes, como el de estructuras, con elementos de construcción sostenible. Esta iniciativa no solo favorecerá la investigación, sino también la docencia y la extensión, mejorando así la prestación de servicios.</w:t>
      </w:r>
    </w:p>
    <w:p w:rsidR="00573375" w:rsidRPr="0091741D" w:rsidRDefault="00573375" w:rsidP="002D0878">
      <w:pPr>
        <w:spacing w:after="0" w:line="276" w:lineRule="auto"/>
        <w:jc w:val="both"/>
        <w:rPr>
          <w:rFonts w:ascii="Arial Narrow" w:hAnsi="Arial Narrow"/>
        </w:rPr>
      </w:pPr>
    </w:p>
    <w:p w:rsidR="00946820" w:rsidRDefault="00C33887" w:rsidP="00782C14">
      <w:pPr>
        <w:spacing w:after="0" w:line="276" w:lineRule="auto"/>
        <w:jc w:val="both"/>
        <w:rPr>
          <w:rFonts w:ascii="Arial Narrow" w:hAnsi="Arial Narrow"/>
          <w:b/>
        </w:rPr>
      </w:pPr>
      <w:r w:rsidRPr="0091741D">
        <w:rPr>
          <w:rFonts w:ascii="Arial Narrow" w:hAnsi="Arial Narrow"/>
        </w:rPr>
        <w:t>Dado que el candidato posee doble titulación en Ingeniería Civil e Ingeniería Agrícola, y ha participado en la ejecución de proyectos de ingeniería como: coordinación de proyectos, control de costos, consultoría, supervisión e interventoría de obras, además de tener experiencia en el sector comercial de materiales de construcción, está capacitado para ofrecer asesoría y consultoría en proyectos externos, en el sector urbano y rural.</w:t>
      </w:r>
      <w:r w:rsidR="00782C14">
        <w:rPr>
          <w:rFonts w:ascii="Arial Narrow" w:hAnsi="Arial Narrow"/>
        </w:rPr>
        <w:br w:type="page"/>
      </w:r>
      <w:r w:rsidR="00946820" w:rsidRPr="00946820">
        <w:rPr>
          <w:rFonts w:ascii="Arial Narrow" w:hAnsi="Arial Narrow"/>
          <w:b/>
        </w:rPr>
        <w:lastRenderedPageBreak/>
        <w:t>e)</w:t>
      </w:r>
      <w:r w:rsidR="00946820" w:rsidRPr="00946820">
        <w:rPr>
          <w:rFonts w:ascii="Arial Narrow" w:hAnsi="Arial Narrow"/>
          <w:b/>
        </w:rPr>
        <w:tab/>
      </w:r>
      <w:r w:rsidR="00946820">
        <w:rPr>
          <w:rFonts w:ascii="Arial Narrow" w:hAnsi="Arial Narrow"/>
          <w:b/>
        </w:rPr>
        <w:t>Bibliografía</w:t>
      </w:r>
    </w:p>
    <w:p w:rsidR="00740B1D" w:rsidRPr="00782C14" w:rsidRDefault="00740B1D" w:rsidP="002D0878">
      <w:pPr>
        <w:spacing w:after="0" w:line="276" w:lineRule="auto"/>
        <w:rPr>
          <w:rFonts w:ascii="Arial Narrow" w:hAnsi="Arial Narrow"/>
          <w:b/>
        </w:rPr>
      </w:pPr>
      <w:bookmarkStart w:id="1" w:name="_Hlk176878962"/>
    </w:p>
    <w:bookmarkStart w:id="2" w:name="_Hlk176879199"/>
    <w:p w:rsidR="00946820" w:rsidRPr="00946820" w:rsidRDefault="00946820" w:rsidP="00740B1D">
      <w:pPr>
        <w:widowControl w:val="0"/>
        <w:autoSpaceDE w:val="0"/>
        <w:autoSpaceDN w:val="0"/>
        <w:adjustRightInd w:val="0"/>
        <w:spacing w:after="0" w:line="276" w:lineRule="auto"/>
        <w:ind w:left="482" w:hanging="482"/>
        <w:rPr>
          <w:rFonts w:ascii="Arial Narrow" w:hAnsi="Arial Narrow" w:cs="Times New Roman"/>
          <w:noProof/>
          <w:szCs w:val="24"/>
          <w:lang w:val="en-US"/>
        </w:rPr>
      </w:pPr>
      <w:r w:rsidRPr="00946820">
        <w:rPr>
          <w:rFonts w:ascii="Arial Narrow" w:hAnsi="Arial Narrow"/>
          <w:b/>
        </w:rPr>
        <w:fldChar w:fldCharType="begin" w:fldLock="1"/>
      </w:r>
      <w:r w:rsidRPr="00946820">
        <w:rPr>
          <w:rFonts w:ascii="Arial Narrow" w:hAnsi="Arial Narrow"/>
          <w:b/>
          <w:lang w:val="en-US"/>
        </w:rPr>
        <w:instrText xml:space="preserve">ADDIN Mendeley Bibliography CSL_BIBLIOGRAPHY </w:instrText>
      </w:r>
      <w:r w:rsidRPr="00946820">
        <w:rPr>
          <w:rFonts w:ascii="Arial Narrow" w:hAnsi="Arial Narrow"/>
          <w:b/>
        </w:rPr>
        <w:fldChar w:fldCharType="separate"/>
      </w:r>
      <w:r w:rsidRPr="00946820">
        <w:rPr>
          <w:rFonts w:ascii="Arial Narrow" w:hAnsi="Arial Narrow" w:cs="Times New Roman"/>
          <w:noProof/>
          <w:szCs w:val="24"/>
          <w:lang w:val="en-US"/>
        </w:rPr>
        <w:t>Abedin Khan, Z.; Balunaini, U.; Costa, S.; &amp; Nguyen, N. H. T. A review on sustainable use of recycled construction and demolition waste aggregates in pavement base and subbase layers Cleaner Materials, v.13 (April), p.100266, 2024. https://doi.org/10.1016/j.clema.2024.100266</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 xml:space="preserve">Altan, H.; Hajibandeh, M.; Tabet Aoul, K. A.; &amp; Deep, A. Passive Design In M. Noguchi (Ed.), </w:t>
      </w:r>
      <w:r w:rsidRPr="00946820">
        <w:rPr>
          <w:rFonts w:ascii="Arial Narrow" w:hAnsi="Arial Narrow" w:cs="Times New Roman"/>
          <w:i/>
          <w:iCs/>
          <w:noProof/>
          <w:szCs w:val="24"/>
          <w:lang w:val="en-US"/>
        </w:rPr>
        <w:t>ZEMCH: Toward the Delivery of Zero Energy Mass Custom Homes</w:t>
      </w:r>
      <w:r w:rsidRPr="00946820">
        <w:rPr>
          <w:rFonts w:ascii="Arial Narrow" w:hAnsi="Arial Narrow" w:cs="Times New Roman"/>
          <w:noProof/>
          <w:szCs w:val="24"/>
          <w:lang w:val="en-US"/>
        </w:rPr>
        <w:t xml:space="preserve"> (pp. 209–236) 2016 Springer International Publishing. https://doi.org/10.1007/978-3-319-31967-4_8</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Arias-Gaviria, J.; Valencia, V.; Olaya, Y.; &amp; Arango-Aramburo, S. Simulating the effect of sustainable buildings and energy efficiency standards on electricity consumption in four cities in Colombia: A system dynamics approach Journal of Cleaner Production, v.314 (65) 2021. https://doi.org/10.1016/j.jclepro.2021.128041</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Arvizu-Piña, V. A.; Armendáriz López, J. F.; García González, A. A.; &amp; Barrera Alarcón, I. G. An open access online tool for LCA in building’s early design stage in the Latin American context. A screening LCA case study for a bioclimatic building Energy and Buildings, v.295 (March) 2023. https://doi.org/10.1016/j.enbuild.2023.113269</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Ayarkwa, J.; Joe Opoku, D. G.; Antwi-Afari, P.; &amp; Man Li, R. Y. Sustainable building processes’ challenges and strategies: The relative important index approach Cleaner Engineering and Technology, v.7, p.100455, 2022. https://doi.org/10.1016/j.clet.2022.100455</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Banihashemi, S.; Meskin, S.; Sheikhkhoshkar, M.; Mohandes, S. R.; Hajirasouli, A.; &amp; LeNguyen, K. Circular economy in construction: The digital transformation perspective Cleaner Engineering and Technology, v.18 (August 2023), p.100715, 2024. https://doi.org/10.1016/j.clet.2023.100715</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Bergonzoni, M.; Melloni, R.; &amp; Botti, L. Analysis of sustainable concrete obtained from the by-products of an industrial process and recycled aggregates from construction and demolition waste Procedia Computer Science, v.217 (2022), p.41–51, 2022. https://doi.org/10.1016/j.procs.2022.12.200</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Camara, T.; Kamsu-Foguem, B.; Diourte, B.; Maiga, A. I.; &amp; Habbadi, A. Management and assessment of performance risks for bioclimatic buildings Journal of Cleaner Production, v.147, p.654–667, 2017. https://doi.org/10.1016/j.jclepro.2017.01.063</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rPr>
        <w:t xml:space="preserve">CCCS - Consejo Colombiano de Construcción Sostenible </w:t>
      </w:r>
      <w:r w:rsidRPr="00946820">
        <w:rPr>
          <w:rFonts w:ascii="Arial Narrow" w:hAnsi="Arial Narrow" w:cs="Times New Roman"/>
          <w:i/>
          <w:iCs/>
          <w:noProof/>
          <w:szCs w:val="24"/>
        </w:rPr>
        <w:t>. Estado de la contrucción sostenible en Colombia.</w:t>
      </w:r>
      <w:r w:rsidRPr="00946820">
        <w:rPr>
          <w:rFonts w:ascii="Arial Narrow" w:hAnsi="Arial Narrow" w:cs="Times New Roman"/>
          <w:noProof/>
          <w:szCs w:val="24"/>
        </w:rPr>
        <w:t xml:space="preserve"> </w:t>
      </w:r>
      <w:r w:rsidRPr="00946820">
        <w:rPr>
          <w:rFonts w:ascii="Arial Narrow" w:hAnsi="Arial Narrow" w:cs="Times New Roman"/>
          <w:noProof/>
          <w:szCs w:val="24"/>
          <w:lang w:val="en-US"/>
        </w:rPr>
        <w:t>(2nd ed.) 2024. https://www.cccs.org.co/wp/wp-content/uploads/2024/07/Estado_de_la_Construccion_Sostenible_2024pdf.pdf</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rPr>
      </w:pPr>
      <w:r w:rsidRPr="00946820">
        <w:rPr>
          <w:rFonts w:ascii="Arial Narrow" w:hAnsi="Arial Narrow" w:cs="Times New Roman"/>
          <w:noProof/>
          <w:szCs w:val="24"/>
        </w:rPr>
        <w:t xml:space="preserve">CCCS - Consejo Colombiano de Construcción Sostenible </w:t>
      </w:r>
      <w:r w:rsidRPr="00946820">
        <w:rPr>
          <w:rFonts w:ascii="Arial Narrow" w:hAnsi="Arial Narrow" w:cs="Times New Roman"/>
          <w:i/>
          <w:iCs/>
          <w:noProof/>
          <w:szCs w:val="24"/>
        </w:rPr>
        <w:t>. Introducción a la Construcción Sostenible.</w:t>
      </w:r>
      <w:r w:rsidRPr="00946820">
        <w:rPr>
          <w:rFonts w:ascii="Arial Narrow" w:hAnsi="Arial Narrow" w:cs="Times New Roman"/>
          <w:noProof/>
          <w:szCs w:val="24"/>
        </w:rPr>
        <w:t xml:space="preserve"> 2020. https://www.cccs.org.co/wp/mitigacion/guia-introduccion-a-la-construccion-sostenible/</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rPr>
        <w:t xml:space="preserve">CEMEX. (n.d.) </w:t>
      </w:r>
      <w:r w:rsidRPr="00946820">
        <w:rPr>
          <w:rFonts w:ascii="Arial Narrow" w:hAnsi="Arial Narrow" w:cs="Times New Roman"/>
          <w:i/>
          <w:iCs/>
          <w:noProof/>
          <w:szCs w:val="24"/>
        </w:rPr>
        <w:t>Vertua: Cemento con menor emisiones de CO2.</w:t>
      </w:r>
      <w:r w:rsidRPr="00946820">
        <w:rPr>
          <w:rFonts w:ascii="Arial Narrow" w:hAnsi="Arial Narrow" w:cs="Times New Roman"/>
          <w:noProof/>
          <w:szCs w:val="24"/>
        </w:rPr>
        <w:t xml:space="preserve"> https://www.cemexcolombia.com/cemento-vertua-bajo-carbono. </w:t>
      </w:r>
      <w:r w:rsidRPr="00946820">
        <w:rPr>
          <w:rFonts w:ascii="Arial Narrow" w:hAnsi="Arial Narrow" w:cs="Times New Roman"/>
          <w:noProof/>
          <w:szCs w:val="24"/>
          <w:lang w:val="en-US"/>
        </w:rPr>
        <w:t>Consultado 16 de agosto de 2024</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Chen Austin, M.; Castillo, M.; De Mendes Da Silva, Á.; &amp; Mora, D. Numerical Assessment of Bioclimatic Architecture Strategies for Buildings Design in Tropical Climates: A Case of Study in Panama E3S Web of Conferences, v.197, p.1–10, 2020. https://doi.org/10.1051/e3sconf/202019702006</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Chen, K.; Wang, J.; Yu, B.; Wu, H.; &amp; Zhang, J. Critical evaluation of construction and demolition waste and associated environmental impacts: A scientometric analysis Journal of Cleaner Production, v.287 2021. https://doi.org/10.1016/j.jclepro.2020.125071</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 xml:space="preserve">Chen, L.; Yang, M.; Chen, Z.; Xie, Z.; Huang, L.; Osman, A. I.; Farghali, M.; Sandanayake, M.; Liu, E.; Han Ahn, Y.; Al-Muhtaseb, H.; Rooney, D. W.; Yap, P.-S.; Chen, L.; Yang, M.; Chen, Z.; Xie, Z.; Huang, L.; Osman, A.; … Rooney, D. Journal Pre-proof Conversion of waste into sustainable construction materials: A review of recent developments and prospects Conversion of waste into sustainable </w:t>
      </w:r>
      <w:r w:rsidRPr="00946820">
        <w:rPr>
          <w:rFonts w:ascii="Arial Narrow" w:hAnsi="Arial Narrow" w:cs="Times New Roman"/>
          <w:noProof/>
          <w:szCs w:val="24"/>
          <w:lang w:val="en-US"/>
        </w:rPr>
        <w:lastRenderedPageBreak/>
        <w:t>construction materials: A review of recent 1 developments and prospects 2 Materials Today Sustainability, v.27 (July), p.100930, 2024. https://doi.org/10.1016/j.mtsust.2024.100930</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rPr>
      </w:pPr>
      <w:r w:rsidRPr="00946820">
        <w:rPr>
          <w:rFonts w:ascii="Arial Narrow" w:hAnsi="Arial Narrow" w:cs="Times New Roman"/>
          <w:noProof/>
          <w:szCs w:val="24"/>
        </w:rPr>
        <w:t xml:space="preserve">CONPES 3874 - CONSEJO NACIONAL DE POLÍTICA ECONÓMICA Y SOCIAL COLOMBIA REPÚBLICA DE PLANEACIÓN DEPARTAMENTO NACIONAL </w:t>
      </w:r>
      <w:r w:rsidRPr="00946820">
        <w:rPr>
          <w:rFonts w:ascii="Arial Narrow" w:hAnsi="Arial Narrow" w:cs="Times New Roman"/>
          <w:i/>
          <w:iCs/>
          <w:noProof/>
          <w:szCs w:val="24"/>
        </w:rPr>
        <w:t>. POLÍTICA NACIONAL PARA LA GESTIÓN INTEGRAL DE RESIDUOS SÓLIDOS.</w:t>
      </w:r>
      <w:r w:rsidRPr="00946820">
        <w:rPr>
          <w:rFonts w:ascii="Arial Narrow" w:hAnsi="Arial Narrow" w:cs="Times New Roman"/>
          <w:noProof/>
          <w:szCs w:val="24"/>
        </w:rPr>
        <w:t xml:space="preserve"> 2016. https://colaboracion.dnp.gov.co/CDT/Conpes/Económicos/3874.pdf</w:t>
      </w:r>
    </w:p>
    <w:p w:rsidR="00946820" w:rsidRPr="00946820" w:rsidRDefault="00946820" w:rsidP="00782C14">
      <w:pPr>
        <w:widowControl w:val="0"/>
        <w:autoSpaceDE w:val="0"/>
        <w:autoSpaceDN w:val="0"/>
        <w:adjustRightInd w:val="0"/>
        <w:spacing w:after="0" w:line="276" w:lineRule="auto"/>
        <w:ind w:left="482" w:hanging="482"/>
        <w:rPr>
          <w:rFonts w:ascii="Arial Narrow" w:hAnsi="Arial Narrow" w:cs="Times New Roman"/>
          <w:noProof/>
          <w:szCs w:val="24"/>
          <w:lang w:val="en-US"/>
        </w:rPr>
      </w:pPr>
      <w:r w:rsidRPr="00946820">
        <w:rPr>
          <w:rFonts w:ascii="Arial Narrow" w:hAnsi="Arial Narrow" w:cs="Times New Roman"/>
          <w:noProof/>
          <w:szCs w:val="24"/>
          <w:lang w:val="en-US"/>
        </w:rPr>
        <w:t>Elaouzy, Y.; &amp; El Fadar, A. Sustainability of building-integrated bioclimatic design strategies depending on energy affordability Renewable and Sustainable Energy Reviews, v.179 (March), p.113295, 2023. https://doi.org/10.1016/j.rser.2023.113295</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Elzomor, M.; &amp; Parrish, K. Investigating Building Construction Process and Developing a Performance Index Procedia Engineering, v.145 (520), p.211–218, 2016. https://doi.org/10.1016/j.proeng.2016.04.063</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rPr>
      </w:pPr>
      <w:r w:rsidRPr="00946820">
        <w:rPr>
          <w:rFonts w:ascii="Arial Narrow" w:hAnsi="Arial Narrow" w:cs="Times New Roman"/>
          <w:noProof/>
          <w:szCs w:val="24"/>
          <w:lang w:val="en-US"/>
        </w:rPr>
        <w:t xml:space="preserve">Environmental Protection Agency </w:t>
      </w:r>
      <w:r w:rsidRPr="00946820">
        <w:rPr>
          <w:rFonts w:ascii="Arial Narrow" w:hAnsi="Arial Narrow" w:cs="Times New Roman"/>
          <w:i/>
          <w:iCs/>
          <w:noProof/>
          <w:szCs w:val="24"/>
          <w:lang w:val="en-US"/>
        </w:rPr>
        <w:t>.Best practice guidelines for the preparation of resource &amp; waste management plans for construction &amp; demolition projects.</w:t>
      </w:r>
      <w:r w:rsidRPr="00946820">
        <w:rPr>
          <w:rFonts w:ascii="Arial Narrow" w:hAnsi="Arial Narrow" w:cs="Times New Roman"/>
          <w:noProof/>
          <w:szCs w:val="24"/>
          <w:lang w:val="en-US"/>
        </w:rPr>
        <w:t xml:space="preserve"> </w:t>
      </w:r>
      <w:r w:rsidRPr="00946820">
        <w:rPr>
          <w:rFonts w:ascii="Arial Narrow" w:hAnsi="Arial Narrow" w:cs="Times New Roman"/>
          <w:noProof/>
          <w:szCs w:val="24"/>
        </w:rPr>
        <w:t>2021.</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rPr>
        <w:t xml:space="preserve">GRECO. (n.d.) </w:t>
      </w:r>
      <w:r w:rsidRPr="00946820">
        <w:rPr>
          <w:rFonts w:ascii="Arial Narrow" w:hAnsi="Arial Narrow" w:cs="Times New Roman"/>
          <w:i/>
          <w:iCs/>
          <w:noProof/>
          <w:szCs w:val="24"/>
        </w:rPr>
        <w:t>Granulados Reciclados de Colombia.</w:t>
      </w:r>
      <w:r w:rsidRPr="00946820">
        <w:rPr>
          <w:rFonts w:ascii="Arial Narrow" w:hAnsi="Arial Narrow" w:cs="Times New Roman"/>
          <w:noProof/>
          <w:szCs w:val="24"/>
        </w:rPr>
        <w:t xml:space="preserve"> https://recicladosgreco.com/. </w:t>
      </w:r>
      <w:r w:rsidRPr="00946820">
        <w:rPr>
          <w:rFonts w:ascii="Arial Narrow" w:hAnsi="Arial Narrow" w:cs="Times New Roman"/>
          <w:noProof/>
          <w:szCs w:val="24"/>
          <w:lang w:val="en-US"/>
        </w:rPr>
        <w:t>Consultado 23 de agosto de 2024</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HaitherAli, H.; &amp; G, A. Sustainable urban development: Evaluating the potential of mineral-based construction and demolition waste recycling in emerging economies Sustainable Futures, v.7 (November 2023), p.100179, 2024. https://doi.org/10.1016/j.sftr.2024.100179</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Heidari, A.; &amp; Olivieri, F. Qualitative and Quantitative Scientometric Analysis of Bioclimatic Retrofitting in Commercial Buildings from 2008 to 2022 Buildings, v.13 (9) 2023. https://doi.org/10.3390/buildings13092177</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Kaoula, D.; &amp; Bouchair, A. The pinpointing of the most prominent parameters on the energy performance for optimal passive strategies in ecological buildings based on bioclimatic, sensitivity and uncertainty analyses International Journal of Ambient Energy, v.43 (1), p.685–712, 2022. https://doi.org/10.1080/01430750.2019.1665583</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Kishore, N. Impact of climate change on future bioclimatic potential and residential building thermal and energy performance in India Indoor and Built Environment, v.31 (2), p.329–354, 2022. https://doi.org/10.1177/1420326X21993919</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rPr>
      </w:pPr>
      <w:r w:rsidRPr="00946820">
        <w:rPr>
          <w:rFonts w:ascii="Arial Narrow" w:hAnsi="Arial Narrow" w:cs="Times New Roman"/>
          <w:noProof/>
          <w:szCs w:val="24"/>
        </w:rPr>
        <w:t xml:space="preserve">Ley 1715 de 2014 </w:t>
      </w:r>
      <w:r w:rsidRPr="00946820">
        <w:rPr>
          <w:rFonts w:ascii="Arial Narrow" w:hAnsi="Arial Narrow" w:cs="Times New Roman"/>
          <w:i/>
          <w:iCs/>
          <w:noProof/>
          <w:szCs w:val="24"/>
        </w:rPr>
        <w:t>. Por medio de la cual se regula la integración de las energías renovables no convencionales al Sistema Energético Nacional. Diario Oficial N° 49.150 de mayo 13 de 2014.</w:t>
      </w:r>
      <w:r w:rsidRPr="00946820">
        <w:rPr>
          <w:rFonts w:ascii="Arial Narrow" w:hAnsi="Arial Narrow" w:cs="Times New Roman"/>
          <w:noProof/>
          <w:szCs w:val="24"/>
        </w:rPr>
        <w:t xml:space="preserve"> 2014. https://www1.upme.gov.co/Normatividad/610_2023.pdf</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Manzano-Agugliaro, F.; Montoya, F. G.; Sabio-Ortega, A.; &amp; García-Cruz, A. Review of bioclimatic architecture strategies for achieving thermal comfort Renewable and Sustainable Energy Reviews, v.49, p.736–755, 2015. https://doi.org/10.1016/j.rser.2015.04.095</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Meng, Y.; Ling, T. C.; &amp; Mo, K. H. Recycling of wastes for value-added applications in concrete blocks: An overview Resources, Conservation and Recycling, v.138 (August), p.298–312, 2018. https://doi.org/10.1016/j.resconrec.2018.07.029</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rPr>
        <w:t xml:space="preserve">Ministerio de Ambiente Vivienda y Desarrollo Territorial </w:t>
      </w:r>
      <w:r w:rsidRPr="00946820">
        <w:rPr>
          <w:rFonts w:ascii="Arial Narrow" w:hAnsi="Arial Narrow" w:cs="Times New Roman"/>
          <w:i/>
          <w:iCs/>
          <w:noProof/>
          <w:szCs w:val="24"/>
        </w:rPr>
        <w:t>. Reglamento Colombiano de Construcción Sismo Resistente, Norma Sismo Resistente Colombiana NSR-10. Diario Oficial de la Republica de Colombia N° 46.223 del 30 de abril de 2010.</w:t>
      </w:r>
      <w:r w:rsidRPr="00946820">
        <w:rPr>
          <w:rFonts w:ascii="Arial Narrow" w:hAnsi="Arial Narrow" w:cs="Times New Roman"/>
          <w:noProof/>
          <w:szCs w:val="24"/>
        </w:rPr>
        <w:t xml:space="preserve"> </w:t>
      </w:r>
      <w:r w:rsidRPr="00946820">
        <w:rPr>
          <w:rFonts w:ascii="Arial Narrow" w:hAnsi="Arial Narrow" w:cs="Times New Roman"/>
          <w:noProof/>
          <w:szCs w:val="24"/>
          <w:lang w:val="en-US"/>
        </w:rPr>
        <w:t>2010.</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Nadarajah, P. D.; Singh, M. K.; Mahapatra, S.; Pajek, L.; &amp; Košir, M. Bioclimatic classification for building energy efficiency using hierarchical clustering: A case study for Sri Lanka Journal of Building Engineering, v.83 (November 2023) 2024. https://doi.org/10.1016/j.jobe.2023.108388</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Opoku, D.-G. J.; Ayarkwa, J.; &amp; Agyekum, K. Barriers to environmental sustainability of construction projects Smart and Sustainable Built Environment, v.8 (4), p.292–306, 2019. https://doi.org/10.1108/SASBE-08-</w:t>
      </w:r>
      <w:r w:rsidRPr="00946820">
        <w:rPr>
          <w:rFonts w:ascii="Arial Narrow" w:hAnsi="Arial Narrow" w:cs="Times New Roman"/>
          <w:noProof/>
          <w:szCs w:val="24"/>
          <w:lang w:val="en-US"/>
        </w:rPr>
        <w:lastRenderedPageBreak/>
        <w:t>2018-0040</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Quashie, R.; Fugar, F. D. K.; Antwi-Afari, P.; &amp; Ng, S. T. Evaluating the key competency skills of construction professionals for the attainment of circular construction in developing economies Cleaner Production Letters, v.6 (March), p.100060, 2024. https://doi.org/10.1016/j.clpl.2024.100060</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Salah, M.; Elmasry, M.; Mashhour, I. M.; &amp; Amer, N. A framework for assessing sustainability of construction projects Cleaner Engineering and Technology, v.13 (December 2022), p.100626, 2023. https://doi.org/10.1016/j.clet.2023.100626</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Selvaraj, S.; &amp; Chan, T. M. Recommendations for Implementing Circular Economy in Construction: Direct Reuse of Steel Structures Journal of Constructional Steel Research, v.214 (November 2023), p.108439, 2024. https://doi.org/10.1016/j.jcsr.2023.108439</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Tang, Z.; Li, W.; Tam, V. W. Y.; &amp; Xue, C. Advanced progress in recycling municipal and construction solid wastes for manufacturing sustainable construction materials Resources, Conservation and Recycling: X, v.6 (March), p.100036, 2020. https://doi.org/10.1016/j.rcrx.2020.100036</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Thakur, A. K.; Pappu, A.; &amp; Thakur, V. K. Resource efficiency impact on marble waste recycling towards sustainable green construction materials Current Opinion in Green and Sustainable Chemistry, v.13, p.91–101, 2018. https://doi.org/10.1016/j.cogsc.2018.06.005</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rPr>
      </w:pPr>
      <w:r w:rsidRPr="00946820">
        <w:rPr>
          <w:rFonts w:ascii="Arial Narrow" w:hAnsi="Arial Narrow" w:cs="Times New Roman"/>
          <w:noProof/>
          <w:szCs w:val="24"/>
        </w:rPr>
        <w:t xml:space="preserve">UPME - UNIDAD DE PLANEACIÓN MINERO ENERGÉTICA </w:t>
      </w:r>
      <w:r w:rsidRPr="00946820">
        <w:rPr>
          <w:rFonts w:ascii="Arial Narrow" w:hAnsi="Arial Narrow" w:cs="Times New Roman"/>
          <w:i/>
          <w:iCs/>
          <w:noProof/>
          <w:szCs w:val="24"/>
        </w:rPr>
        <w:t>. Resolución No. 610 de 2023. Por la cual se modifica el Anexo 1 de la Resolución UPME No. 319 de 2022 Lista de bienes FNCE, y servicios FNCER para proyectos de generación energía eléctrica a partir de FNCE.</w:t>
      </w:r>
      <w:r w:rsidRPr="00946820">
        <w:rPr>
          <w:rFonts w:ascii="Arial Narrow" w:hAnsi="Arial Narrow" w:cs="Times New Roman"/>
          <w:noProof/>
          <w:szCs w:val="24"/>
        </w:rPr>
        <w:t xml:space="preserve"> 2023. https://www1.upme.gov.co/Normatividad/610_2023.pdf</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cs="Times New Roman"/>
          <w:noProof/>
          <w:szCs w:val="24"/>
          <w:lang w:val="en-US"/>
        </w:rPr>
      </w:pPr>
      <w:r w:rsidRPr="00946820">
        <w:rPr>
          <w:rFonts w:ascii="Arial Narrow" w:hAnsi="Arial Narrow" w:cs="Times New Roman"/>
          <w:noProof/>
          <w:szCs w:val="24"/>
          <w:lang w:val="en-US"/>
        </w:rPr>
        <w:t>Van Nguyen, M. Drivers of innovation towards sustainable construction: A study in a developing country Journal of Building Engineering, v.80 (June), p.107970, 2023. https://doi.org/10.1016/j.jobe.2023.107970</w:t>
      </w:r>
    </w:p>
    <w:p w:rsidR="00946820" w:rsidRPr="00946820" w:rsidRDefault="00946820" w:rsidP="00946820">
      <w:pPr>
        <w:widowControl w:val="0"/>
        <w:autoSpaceDE w:val="0"/>
        <w:autoSpaceDN w:val="0"/>
        <w:adjustRightInd w:val="0"/>
        <w:spacing w:after="0" w:line="276" w:lineRule="auto"/>
        <w:ind w:left="480" w:hanging="480"/>
        <w:rPr>
          <w:rFonts w:ascii="Arial Narrow" w:hAnsi="Arial Narrow"/>
          <w:noProof/>
          <w:lang w:val="en-US"/>
        </w:rPr>
      </w:pPr>
      <w:r w:rsidRPr="00946820">
        <w:rPr>
          <w:rFonts w:ascii="Arial Narrow" w:hAnsi="Arial Narrow" w:cs="Times New Roman"/>
          <w:noProof/>
          <w:szCs w:val="24"/>
          <w:lang w:val="en-US"/>
        </w:rPr>
        <w:t>Waqar, A.; Houda, M.; Khan, A. M.; Qureshi, A. H.; &amp; Elmazi, G. Sustainable leadership practices in construction: Building a resilient society Environmental Challenges, v.14 (August 2023), p.100841, 2024. https://doi.org/10.1016/j.envc.2024.100841</w:t>
      </w:r>
    </w:p>
    <w:p w:rsidR="00946820" w:rsidRPr="00946820" w:rsidRDefault="00946820" w:rsidP="00946820">
      <w:pPr>
        <w:spacing w:after="0" w:line="276" w:lineRule="auto"/>
        <w:rPr>
          <w:rFonts w:ascii="Arial Narrow" w:hAnsi="Arial Narrow"/>
          <w:b/>
          <w:lang w:val="en-US"/>
        </w:rPr>
      </w:pPr>
      <w:r w:rsidRPr="00946820">
        <w:rPr>
          <w:rFonts w:ascii="Arial Narrow" w:hAnsi="Arial Narrow"/>
          <w:b/>
        </w:rPr>
        <w:fldChar w:fldCharType="end"/>
      </w:r>
    </w:p>
    <w:p w:rsidR="00946820" w:rsidRPr="00946820" w:rsidRDefault="00946820" w:rsidP="00946820">
      <w:pPr>
        <w:spacing w:after="0" w:line="276" w:lineRule="auto"/>
        <w:rPr>
          <w:rFonts w:ascii="Arial Narrow" w:hAnsi="Arial Narrow"/>
          <w:b/>
          <w:lang w:val="en-US"/>
        </w:rPr>
      </w:pPr>
    </w:p>
    <w:p w:rsidR="00946820" w:rsidRPr="00946820" w:rsidRDefault="00946820" w:rsidP="00946820">
      <w:pPr>
        <w:spacing w:after="0" w:line="276" w:lineRule="auto"/>
        <w:rPr>
          <w:rFonts w:ascii="Arial Narrow" w:hAnsi="Arial Narrow"/>
          <w:b/>
          <w:lang w:val="en-US"/>
        </w:rPr>
      </w:pPr>
    </w:p>
    <w:p w:rsidR="00946820" w:rsidRPr="00946820" w:rsidRDefault="00946820" w:rsidP="00946820">
      <w:pPr>
        <w:spacing w:after="0" w:line="276" w:lineRule="auto"/>
        <w:rPr>
          <w:rFonts w:ascii="Arial Narrow" w:hAnsi="Arial Narrow"/>
          <w:b/>
          <w:lang w:val="en-US"/>
        </w:rPr>
      </w:pPr>
    </w:p>
    <w:p w:rsidR="00946820" w:rsidRPr="00946820" w:rsidRDefault="00946820" w:rsidP="00946820">
      <w:pPr>
        <w:spacing w:after="0" w:line="276" w:lineRule="auto"/>
        <w:rPr>
          <w:rFonts w:ascii="Arial Narrow" w:hAnsi="Arial Narrow"/>
          <w:b/>
          <w:lang w:val="en-US"/>
        </w:rPr>
      </w:pPr>
    </w:p>
    <w:p w:rsidR="00946820" w:rsidRPr="00946820" w:rsidRDefault="00946820" w:rsidP="00946820">
      <w:pPr>
        <w:spacing w:after="0" w:line="276" w:lineRule="auto"/>
        <w:rPr>
          <w:rFonts w:ascii="Arial Narrow" w:hAnsi="Arial Narrow"/>
          <w:b/>
          <w:lang w:val="en-US"/>
        </w:rPr>
      </w:pPr>
    </w:p>
    <w:p w:rsidR="00946820" w:rsidRPr="00946820" w:rsidRDefault="00946820" w:rsidP="00946820">
      <w:pPr>
        <w:spacing w:after="0" w:line="276" w:lineRule="auto"/>
        <w:rPr>
          <w:rFonts w:ascii="Arial Narrow" w:hAnsi="Arial Narrow"/>
          <w:b/>
          <w:lang w:val="en-US"/>
        </w:rPr>
      </w:pPr>
    </w:p>
    <w:p w:rsidR="00946820" w:rsidRPr="00946820" w:rsidRDefault="00946820" w:rsidP="00946820">
      <w:pPr>
        <w:spacing w:after="0" w:line="276" w:lineRule="auto"/>
        <w:rPr>
          <w:rFonts w:ascii="Arial Narrow" w:hAnsi="Arial Narrow"/>
          <w:b/>
          <w:lang w:val="en-US"/>
        </w:rPr>
      </w:pPr>
    </w:p>
    <w:p w:rsidR="00946820" w:rsidRPr="00946820" w:rsidRDefault="00946820" w:rsidP="00946820">
      <w:pPr>
        <w:rPr>
          <w:lang w:val="en-US"/>
        </w:rPr>
      </w:pPr>
    </w:p>
    <w:p w:rsidR="00946820" w:rsidRPr="00946820" w:rsidRDefault="00946820" w:rsidP="002D0878">
      <w:pPr>
        <w:spacing w:after="0" w:line="276" w:lineRule="auto"/>
        <w:rPr>
          <w:rFonts w:ascii="Arial Narrow" w:hAnsi="Arial Narrow"/>
          <w:b/>
          <w:lang w:val="en-US"/>
        </w:rPr>
      </w:pPr>
    </w:p>
    <w:p w:rsidR="00946820" w:rsidRPr="00946820" w:rsidRDefault="00946820" w:rsidP="002D0878">
      <w:pPr>
        <w:spacing w:after="0" w:line="276" w:lineRule="auto"/>
        <w:rPr>
          <w:rFonts w:ascii="Arial Narrow" w:hAnsi="Arial Narrow"/>
          <w:b/>
          <w:lang w:val="en-US"/>
        </w:rPr>
      </w:pPr>
    </w:p>
    <w:p w:rsidR="00946820" w:rsidRPr="00946820" w:rsidRDefault="00946820" w:rsidP="002D0878">
      <w:pPr>
        <w:spacing w:after="0" w:line="276" w:lineRule="auto"/>
        <w:rPr>
          <w:rFonts w:ascii="Arial Narrow" w:hAnsi="Arial Narrow"/>
          <w:b/>
          <w:lang w:val="en-US"/>
        </w:rPr>
      </w:pPr>
    </w:p>
    <w:p w:rsidR="00946820" w:rsidRPr="00946820" w:rsidRDefault="00946820" w:rsidP="002D0878">
      <w:pPr>
        <w:spacing w:after="0" w:line="276" w:lineRule="auto"/>
        <w:rPr>
          <w:rFonts w:ascii="Arial Narrow" w:hAnsi="Arial Narrow"/>
          <w:b/>
          <w:lang w:val="en-US"/>
        </w:rPr>
      </w:pPr>
    </w:p>
    <w:p w:rsidR="00946820" w:rsidRPr="00946820" w:rsidRDefault="00946820" w:rsidP="002D0878">
      <w:pPr>
        <w:spacing w:after="0" w:line="276" w:lineRule="auto"/>
        <w:rPr>
          <w:rFonts w:ascii="Arial Narrow" w:hAnsi="Arial Narrow"/>
          <w:b/>
          <w:lang w:val="en-US"/>
        </w:rPr>
      </w:pPr>
    </w:p>
    <w:p w:rsidR="00946820" w:rsidRPr="00946820" w:rsidRDefault="00946820" w:rsidP="002D0878">
      <w:pPr>
        <w:spacing w:after="0" w:line="276" w:lineRule="auto"/>
        <w:rPr>
          <w:rFonts w:ascii="Arial Narrow" w:hAnsi="Arial Narrow"/>
          <w:b/>
          <w:lang w:val="en-US"/>
        </w:rPr>
      </w:pPr>
    </w:p>
    <w:bookmarkEnd w:id="1"/>
    <w:bookmarkEnd w:id="2"/>
    <w:p w:rsidR="00946820" w:rsidRPr="00946820" w:rsidRDefault="00946820" w:rsidP="002D0878">
      <w:pPr>
        <w:spacing w:after="0" w:line="276" w:lineRule="auto"/>
        <w:rPr>
          <w:rFonts w:ascii="Arial Narrow" w:hAnsi="Arial Narrow"/>
          <w:b/>
          <w:lang w:val="en-US"/>
        </w:rPr>
      </w:pPr>
    </w:p>
    <w:sectPr w:rsidR="00946820" w:rsidRPr="00946820">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7085" w:rsidRDefault="009D7085" w:rsidP="00740B1D">
      <w:pPr>
        <w:spacing w:after="0" w:line="240" w:lineRule="auto"/>
      </w:pPr>
      <w:r>
        <w:separator/>
      </w:r>
    </w:p>
  </w:endnote>
  <w:endnote w:type="continuationSeparator" w:id="0">
    <w:p w:rsidR="009D7085" w:rsidRDefault="009D7085" w:rsidP="00740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3730016"/>
      <w:docPartObj>
        <w:docPartGallery w:val="Page Numbers (Bottom of Page)"/>
        <w:docPartUnique/>
      </w:docPartObj>
    </w:sdtPr>
    <w:sdtContent>
      <w:p w:rsidR="00B434E0" w:rsidRDefault="00B434E0">
        <w:pPr>
          <w:pStyle w:val="Piedepgina"/>
          <w:jc w:val="center"/>
        </w:pPr>
        <w:r>
          <w:fldChar w:fldCharType="begin"/>
        </w:r>
        <w:r>
          <w:instrText>PAGE   \* MERGEFORMAT</w:instrText>
        </w:r>
        <w:r>
          <w:fldChar w:fldCharType="separate"/>
        </w:r>
        <w:r>
          <w:rPr>
            <w:lang w:val="es-ES"/>
          </w:rPr>
          <w:t>2</w:t>
        </w:r>
        <w:r>
          <w:fldChar w:fldCharType="end"/>
        </w:r>
      </w:p>
    </w:sdtContent>
  </w:sdt>
  <w:p w:rsidR="00740B1D" w:rsidRDefault="00740B1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7085" w:rsidRDefault="009D7085" w:rsidP="00740B1D">
      <w:pPr>
        <w:spacing w:after="0" w:line="240" w:lineRule="auto"/>
      </w:pPr>
      <w:r>
        <w:separator/>
      </w:r>
    </w:p>
  </w:footnote>
  <w:footnote w:type="continuationSeparator" w:id="0">
    <w:p w:rsidR="009D7085" w:rsidRDefault="009D7085" w:rsidP="00740B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D2B5D"/>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E34ACE"/>
    <w:multiLevelType w:val="hybridMultilevel"/>
    <w:tmpl w:val="126AE7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20D8341D"/>
    <w:multiLevelType w:val="hybridMultilevel"/>
    <w:tmpl w:val="F002058A"/>
    <w:lvl w:ilvl="0" w:tplc="55C4A4C6">
      <w:start w:val="1"/>
      <w:numFmt w:val="decimal"/>
      <w:lvlText w:val="%1.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331376C"/>
    <w:multiLevelType w:val="hybridMultilevel"/>
    <w:tmpl w:val="0836625A"/>
    <w:lvl w:ilvl="0" w:tplc="6EF8BC94">
      <w:numFmt w:val="bullet"/>
      <w:lvlText w:val="-"/>
      <w:lvlJc w:val="left"/>
      <w:pPr>
        <w:ind w:left="720" w:hanging="360"/>
      </w:pPr>
      <w:rPr>
        <w:rFonts w:ascii="Georgia" w:eastAsiaTheme="minorHAnsi" w:hAnsi="Georgi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F823903"/>
    <w:multiLevelType w:val="hybridMultilevel"/>
    <w:tmpl w:val="B9AA3C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F2D607E"/>
    <w:multiLevelType w:val="hybridMultilevel"/>
    <w:tmpl w:val="2DEACA5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44C447A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19A46CA"/>
    <w:multiLevelType w:val="multilevel"/>
    <w:tmpl w:val="7B26BF32"/>
    <w:lvl w:ilvl="0">
      <w:start w:val="1"/>
      <w:numFmt w:val="decimal"/>
      <w:lvlText w:val="%1.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30C282C"/>
    <w:multiLevelType w:val="multilevel"/>
    <w:tmpl w:val="6F824B3C"/>
    <w:lvl w:ilvl="0">
      <w:start w:val="1"/>
      <w:numFmt w:val="lowerLetter"/>
      <w:lvlText w:val="%1)"/>
      <w:lvlJc w:val="left"/>
      <w:pPr>
        <w:ind w:left="360" w:hanging="360"/>
      </w:pPr>
      <w:rPr>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2BA3C0D"/>
    <w:multiLevelType w:val="multilevel"/>
    <w:tmpl w:val="606A4F86"/>
    <w:lvl w:ilvl="0">
      <w:start w:val="1"/>
      <w:numFmt w:val="decimal"/>
      <w:lvlText w:val="%1.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9B932D6"/>
    <w:multiLevelType w:val="multilevel"/>
    <w:tmpl w:val="EF6EF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0"/>
  </w:num>
  <w:num w:numId="3">
    <w:abstractNumId w:val="5"/>
  </w:num>
  <w:num w:numId="4">
    <w:abstractNumId w:val="1"/>
  </w:num>
  <w:num w:numId="5">
    <w:abstractNumId w:val="0"/>
  </w:num>
  <w:num w:numId="6">
    <w:abstractNumId w:val="7"/>
  </w:num>
  <w:num w:numId="7">
    <w:abstractNumId w:val="2"/>
  </w:num>
  <w:num w:numId="8">
    <w:abstractNumId w:val="9"/>
  </w:num>
  <w:num w:numId="9">
    <w:abstractNumId w:val="6"/>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154"/>
    <w:rsid w:val="000008E0"/>
    <w:rsid w:val="000015EB"/>
    <w:rsid w:val="00003A18"/>
    <w:rsid w:val="0000449B"/>
    <w:rsid w:val="00007ACA"/>
    <w:rsid w:val="00007DA7"/>
    <w:rsid w:val="000108BD"/>
    <w:rsid w:val="00010EEF"/>
    <w:rsid w:val="0001241F"/>
    <w:rsid w:val="00015A86"/>
    <w:rsid w:val="00015E9D"/>
    <w:rsid w:val="00016760"/>
    <w:rsid w:val="00022063"/>
    <w:rsid w:val="0002275E"/>
    <w:rsid w:val="00024D39"/>
    <w:rsid w:val="00032ABB"/>
    <w:rsid w:val="000409DC"/>
    <w:rsid w:val="0004439C"/>
    <w:rsid w:val="00051749"/>
    <w:rsid w:val="00055492"/>
    <w:rsid w:val="00057420"/>
    <w:rsid w:val="00057C40"/>
    <w:rsid w:val="00061A1D"/>
    <w:rsid w:val="00065B13"/>
    <w:rsid w:val="00070F42"/>
    <w:rsid w:val="0007255F"/>
    <w:rsid w:val="00075DC1"/>
    <w:rsid w:val="00075E57"/>
    <w:rsid w:val="000769D6"/>
    <w:rsid w:val="00076FB9"/>
    <w:rsid w:val="00077DEB"/>
    <w:rsid w:val="00080C99"/>
    <w:rsid w:val="00083466"/>
    <w:rsid w:val="00084D46"/>
    <w:rsid w:val="00085FE2"/>
    <w:rsid w:val="00087893"/>
    <w:rsid w:val="00094CED"/>
    <w:rsid w:val="00095E64"/>
    <w:rsid w:val="000A2618"/>
    <w:rsid w:val="000B1450"/>
    <w:rsid w:val="000B5B05"/>
    <w:rsid w:val="000C554C"/>
    <w:rsid w:val="000C6712"/>
    <w:rsid w:val="000C72E5"/>
    <w:rsid w:val="000D0D84"/>
    <w:rsid w:val="000D5A5C"/>
    <w:rsid w:val="000D5A82"/>
    <w:rsid w:val="000D634C"/>
    <w:rsid w:val="000D6C29"/>
    <w:rsid w:val="000E1D5F"/>
    <w:rsid w:val="000F0393"/>
    <w:rsid w:val="000F1F3C"/>
    <w:rsid w:val="000F7727"/>
    <w:rsid w:val="0010271A"/>
    <w:rsid w:val="00102F13"/>
    <w:rsid w:val="0010485D"/>
    <w:rsid w:val="00106098"/>
    <w:rsid w:val="00106111"/>
    <w:rsid w:val="001062FF"/>
    <w:rsid w:val="00110A13"/>
    <w:rsid w:val="00110BD8"/>
    <w:rsid w:val="001138A9"/>
    <w:rsid w:val="00114E5D"/>
    <w:rsid w:val="00122840"/>
    <w:rsid w:val="00123547"/>
    <w:rsid w:val="00127F68"/>
    <w:rsid w:val="00136E64"/>
    <w:rsid w:val="001376EE"/>
    <w:rsid w:val="00140073"/>
    <w:rsid w:val="00141C5B"/>
    <w:rsid w:val="00144398"/>
    <w:rsid w:val="0014589B"/>
    <w:rsid w:val="00146113"/>
    <w:rsid w:val="00152E57"/>
    <w:rsid w:val="00153022"/>
    <w:rsid w:val="001535EB"/>
    <w:rsid w:val="00163C71"/>
    <w:rsid w:val="001670E2"/>
    <w:rsid w:val="00172909"/>
    <w:rsid w:val="00174610"/>
    <w:rsid w:val="00175EC6"/>
    <w:rsid w:val="00187DB8"/>
    <w:rsid w:val="0019184E"/>
    <w:rsid w:val="001926D4"/>
    <w:rsid w:val="00194524"/>
    <w:rsid w:val="0019590E"/>
    <w:rsid w:val="00196BEC"/>
    <w:rsid w:val="001970A1"/>
    <w:rsid w:val="001A45C6"/>
    <w:rsid w:val="001A4CFD"/>
    <w:rsid w:val="001A712E"/>
    <w:rsid w:val="001B14CF"/>
    <w:rsid w:val="001B25CD"/>
    <w:rsid w:val="001B292A"/>
    <w:rsid w:val="001D178A"/>
    <w:rsid w:val="001D4623"/>
    <w:rsid w:val="001D4EE7"/>
    <w:rsid w:val="001E0AFA"/>
    <w:rsid w:val="001E3B1F"/>
    <w:rsid w:val="001F1814"/>
    <w:rsid w:val="001F1903"/>
    <w:rsid w:val="001F19DD"/>
    <w:rsid w:val="001F4CD1"/>
    <w:rsid w:val="001F4EF7"/>
    <w:rsid w:val="001F5607"/>
    <w:rsid w:val="00200BCF"/>
    <w:rsid w:val="00207234"/>
    <w:rsid w:val="00207EFB"/>
    <w:rsid w:val="002113EA"/>
    <w:rsid w:val="00213149"/>
    <w:rsid w:val="00220F6A"/>
    <w:rsid w:val="00224226"/>
    <w:rsid w:val="002251FA"/>
    <w:rsid w:val="002253FC"/>
    <w:rsid w:val="002270CA"/>
    <w:rsid w:val="00232853"/>
    <w:rsid w:val="00233D9E"/>
    <w:rsid w:val="002416F3"/>
    <w:rsid w:val="002433B9"/>
    <w:rsid w:val="00243E88"/>
    <w:rsid w:val="00246B8A"/>
    <w:rsid w:val="00252A71"/>
    <w:rsid w:val="00262914"/>
    <w:rsid w:val="00272063"/>
    <w:rsid w:val="002726D6"/>
    <w:rsid w:val="00276A80"/>
    <w:rsid w:val="00282AB5"/>
    <w:rsid w:val="00282D4F"/>
    <w:rsid w:val="00284612"/>
    <w:rsid w:val="00291E93"/>
    <w:rsid w:val="002A25A3"/>
    <w:rsid w:val="002A3172"/>
    <w:rsid w:val="002A3CDD"/>
    <w:rsid w:val="002A7A7C"/>
    <w:rsid w:val="002C1186"/>
    <w:rsid w:val="002C6350"/>
    <w:rsid w:val="002D0878"/>
    <w:rsid w:val="002D1E7C"/>
    <w:rsid w:val="002E005A"/>
    <w:rsid w:val="002E0796"/>
    <w:rsid w:val="002E1C49"/>
    <w:rsid w:val="002E75A8"/>
    <w:rsid w:val="002E7908"/>
    <w:rsid w:val="002F27AD"/>
    <w:rsid w:val="002F304C"/>
    <w:rsid w:val="002F487D"/>
    <w:rsid w:val="003022DF"/>
    <w:rsid w:val="00307049"/>
    <w:rsid w:val="00312DED"/>
    <w:rsid w:val="003132BE"/>
    <w:rsid w:val="0032038E"/>
    <w:rsid w:val="003216B5"/>
    <w:rsid w:val="00326ACC"/>
    <w:rsid w:val="00326D82"/>
    <w:rsid w:val="003278FC"/>
    <w:rsid w:val="00330E11"/>
    <w:rsid w:val="00331B64"/>
    <w:rsid w:val="00332527"/>
    <w:rsid w:val="00335A2C"/>
    <w:rsid w:val="00344469"/>
    <w:rsid w:val="003454AE"/>
    <w:rsid w:val="00345D6B"/>
    <w:rsid w:val="00346C65"/>
    <w:rsid w:val="003534EB"/>
    <w:rsid w:val="00353F60"/>
    <w:rsid w:val="0035552E"/>
    <w:rsid w:val="003555D1"/>
    <w:rsid w:val="00357E0E"/>
    <w:rsid w:val="003601A7"/>
    <w:rsid w:val="00360324"/>
    <w:rsid w:val="00367F20"/>
    <w:rsid w:val="0038436E"/>
    <w:rsid w:val="00384782"/>
    <w:rsid w:val="00385257"/>
    <w:rsid w:val="003972B0"/>
    <w:rsid w:val="003974CD"/>
    <w:rsid w:val="003A1CC3"/>
    <w:rsid w:val="003A40F3"/>
    <w:rsid w:val="003B25C5"/>
    <w:rsid w:val="003B33F1"/>
    <w:rsid w:val="003B421D"/>
    <w:rsid w:val="003C0E3C"/>
    <w:rsid w:val="003D3137"/>
    <w:rsid w:val="003D6AEE"/>
    <w:rsid w:val="003E03B0"/>
    <w:rsid w:val="003E1BF6"/>
    <w:rsid w:val="003E33B5"/>
    <w:rsid w:val="003E5B65"/>
    <w:rsid w:val="003E5BE2"/>
    <w:rsid w:val="003F1196"/>
    <w:rsid w:val="003F26E5"/>
    <w:rsid w:val="003F6755"/>
    <w:rsid w:val="00400816"/>
    <w:rsid w:val="004075AB"/>
    <w:rsid w:val="00422578"/>
    <w:rsid w:val="00425E04"/>
    <w:rsid w:val="00430166"/>
    <w:rsid w:val="00431F19"/>
    <w:rsid w:val="00433761"/>
    <w:rsid w:val="0043611F"/>
    <w:rsid w:val="00436266"/>
    <w:rsid w:val="0043762D"/>
    <w:rsid w:val="004414EE"/>
    <w:rsid w:val="004511C2"/>
    <w:rsid w:val="00455019"/>
    <w:rsid w:val="00457D07"/>
    <w:rsid w:val="00461375"/>
    <w:rsid w:val="00462A37"/>
    <w:rsid w:val="00467AC4"/>
    <w:rsid w:val="00467E5D"/>
    <w:rsid w:val="00471160"/>
    <w:rsid w:val="004760EB"/>
    <w:rsid w:val="00483DDF"/>
    <w:rsid w:val="0048468B"/>
    <w:rsid w:val="00496DB6"/>
    <w:rsid w:val="004B072C"/>
    <w:rsid w:val="004B5DF6"/>
    <w:rsid w:val="004C11F3"/>
    <w:rsid w:val="004C3419"/>
    <w:rsid w:val="004C5E37"/>
    <w:rsid w:val="004C7F0D"/>
    <w:rsid w:val="004D0D36"/>
    <w:rsid w:val="004D3601"/>
    <w:rsid w:val="004D3F73"/>
    <w:rsid w:val="004D71CD"/>
    <w:rsid w:val="004E73DB"/>
    <w:rsid w:val="004E7A2A"/>
    <w:rsid w:val="004F06F6"/>
    <w:rsid w:val="004F1850"/>
    <w:rsid w:val="004F1C71"/>
    <w:rsid w:val="004F1DB4"/>
    <w:rsid w:val="004F3DF2"/>
    <w:rsid w:val="004F7153"/>
    <w:rsid w:val="004F75A5"/>
    <w:rsid w:val="005002E0"/>
    <w:rsid w:val="00501362"/>
    <w:rsid w:val="00502385"/>
    <w:rsid w:val="0050354D"/>
    <w:rsid w:val="00506B4B"/>
    <w:rsid w:val="00513AC4"/>
    <w:rsid w:val="00514257"/>
    <w:rsid w:val="0052720E"/>
    <w:rsid w:val="0053271A"/>
    <w:rsid w:val="005332B1"/>
    <w:rsid w:val="00533FF9"/>
    <w:rsid w:val="005412F8"/>
    <w:rsid w:val="005445E8"/>
    <w:rsid w:val="0054470D"/>
    <w:rsid w:val="0054763E"/>
    <w:rsid w:val="005551E7"/>
    <w:rsid w:val="005572DD"/>
    <w:rsid w:val="00560C04"/>
    <w:rsid w:val="00571E2F"/>
    <w:rsid w:val="00573375"/>
    <w:rsid w:val="00573945"/>
    <w:rsid w:val="00574B70"/>
    <w:rsid w:val="00575621"/>
    <w:rsid w:val="005758EF"/>
    <w:rsid w:val="00581610"/>
    <w:rsid w:val="00582434"/>
    <w:rsid w:val="00584F9A"/>
    <w:rsid w:val="0058550F"/>
    <w:rsid w:val="00586669"/>
    <w:rsid w:val="00593AFC"/>
    <w:rsid w:val="00595A7B"/>
    <w:rsid w:val="00597497"/>
    <w:rsid w:val="005A07FB"/>
    <w:rsid w:val="005A374B"/>
    <w:rsid w:val="005A64B5"/>
    <w:rsid w:val="005B5C50"/>
    <w:rsid w:val="005B5FEF"/>
    <w:rsid w:val="005C1948"/>
    <w:rsid w:val="005C4D2B"/>
    <w:rsid w:val="005C4EF8"/>
    <w:rsid w:val="005C6EB5"/>
    <w:rsid w:val="005D4103"/>
    <w:rsid w:val="005D6D5F"/>
    <w:rsid w:val="005E6730"/>
    <w:rsid w:val="005E69EB"/>
    <w:rsid w:val="005F222F"/>
    <w:rsid w:val="005F3998"/>
    <w:rsid w:val="005F5276"/>
    <w:rsid w:val="0060264C"/>
    <w:rsid w:val="006034C0"/>
    <w:rsid w:val="00605843"/>
    <w:rsid w:val="006173BB"/>
    <w:rsid w:val="0062245C"/>
    <w:rsid w:val="006246C3"/>
    <w:rsid w:val="006246EB"/>
    <w:rsid w:val="00632961"/>
    <w:rsid w:val="00635C7E"/>
    <w:rsid w:val="006363AC"/>
    <w:rsid w:val="00636CD3"/>
    <w:rsid w:val="00642B60"/>
    <w:rsid w:val="00643F5E"/>
    <w:rsid w:val="006442EB"/>
    <w:rsid w:val="00650225"/>
    <w:rsid w:val="0065498F"/>
    <w:rsid w:val="00656BF7"/>
    <w:rsid w:val="006608BA"/>
    <w:rsid w:val="0066476F"/>
    <w:rsid w:val="00666DA9"/>
    <w:rsid w:val="00667321"/>
    <w:rsid w:val="00667749"/>
    <w:rsid w:val="00667A0C"/>
    <w:rsid w:val="00670EE5"/>
    <w:rsid w:val="00675614"/>
    <w:rsid w:val="0068081F"/>
    <w:rsid w:val="006820D3"/>
    <w:rsid w:val="006848DF"/>
    <w:rsid w:val="00687002"/>
    <w:rsid w:val="00690C16"/>
    <w:rsid w:val="00691151"/>
    <w:rsid w:val="00693878"/>
    <w:rsid w:val="00696346"/>
    <w:rsid w:val="006B3090"/>
    <w:rsid w:val="006B3BBA"/>
    <w:rsid w:val="006B3FE4"/>
    <w:rsid w:val="006B4FB8"/>
    <w:rsid w:val="006B6660"/>
    <w:rsid w:val="006D2D04"/>
    <w:rsid w:val="006D5AB4"/>
    <w:rsid w:val="006D5C41"/>
    <w:rsid w:val="006D66CD"/>
    <w:rsid w:val="006F0CC2"/>
    <w:rsid w:val="006F0D05"/>
    <w:rsid w:val="006F1C64"/>
    <w:rsid w:val="007022CC"/>
    <w:rsid w:val="00710656"/>
    <w:rsid w:val="0071369E"/>
    <w:rsid w:val="00713DAD"/>
    <w:rsid w:val="0072242B"/>
    <w:rsid w:val="00725F7B"/>
    <w:rsid w:val="0073682C"/>
    <w:rsid w:val="00740B1D"/>
    <w:rsid w:val="007410E5"/>
    <w:rsid w:val="00742C8D"/>
    <w:rsid w:val="007433BC"/>
    <w:rsid w:val="0074638E"/>
    <w:rsid w:val="0075493B"/>
    <w:rsid w:val="0075750A"/>
    <w:rsid w:val="00762008"/>
    <w:rsid w:val="00771365"/>
    <w:rsid w:val="0077212E"/>
    <w:rsid w:val="007813F2"/>
    <w:rsid w:val="0078155D"/>
    <w:rsid w:val="00782C14"/>
    <w:rsid w:val="00784274"/>
    <w:rsid w:val="00785D68"/>
    <w:rsid w:val="00790184"/>
    <w:rsid w:val="007903F0"/>
    <w:rsid w:val="00791A9E"/>
    <w:rsid w:val="007931A2"/>
    <w:rsid w:val="007A139D"/>
    <w:rsid w:val="007A3837"/>
    <w:rsid w:val="007A3CF6"/>
    <w:rsid w:val="007A6425"/>
    <w:rsid w:val="007B3CFA"/>
    <w:rsid w:val="007B3ECA"/>
    <w:rsid w:val="007B57E8"/>
    <w:rsid w:val="007B6955"/>
    <w:rsid w:val="007C21EA"/>
    <w:rsid w:val="007C3B0B"/>
    <w:rsid w:val="007D0CA2"/>
    <w:rsid w:val="007D2E69"/>
    <w:rsid w:val="007D3597"/>
    <w:rsid w:val="007E216E"/>
    <w:rsid w:val="007E7706"/>
    <w:rsid w:val="007F42A2"/>
    <w:rsid w:val="007F59EB"/>
    <w:rsid w:val="008004D9"/>
    <w:rsid w:val="0080329B"/>
    <w:rsid w:val="0081428B"/>
    <w:rsid w:val="00820301"/>
    <w:rsid w:val="00823178"/>
    <w:rsid w:val="00824401"/>
    <w:rsid w:val="00826AB3"/>
    <w:rsid w:val="00830256"/>
    <w:rsid w:val="0083139C"/>
    <w:rsid w:val="008405CF"/>
    <w:rsid w:val="00840F4E"/>
    <w:rsid w:val="008420B1"/>
    <w:rsid w:val="00842112"/>
    <w:rsid w:val="00842C33"/>
    <w:rsid w:val="00843E12"/>
    <w:rsid w:val="0084515B"/>
    <w:rsid w:val="00846E66"/>
    <w:rsid w:val="00852CFE"/>
    <w:rsid w:val="00852DBE"/>
    <w:rsid w:val="00856855"/>
    <w:rsid w:val="00861B2F"/>
    <w:rsid w:val="008621A2"/>
    <w:rsid w:val="00864A54"/>
    <w:rsid w:val="00865093"/>
    <w:rsid w:val="0087423C"/>
    <w:rsid w:val="00877441"/>
    <w:rsid w:val="00877D61"/>
    <w:rsid w:val="00885956"/>
    <w:rsid w:val="008876C4"/>
    <w:rsid w:val="00891910"/>
    <w:rsid w:val="00896BF1"/>
    <w:rsid w:val="008A1EE1"/>
    <w:rsid w:val="008A2F55"/>
    <w:rsid w:val="008A46A6"/>
    <w:rsid w:val="008A4D0F"/>
    <w:rsid w:val="008B21F3"/>
    <w:rsid w:val="008C0D48"/>
    <w:rsid w:val="008C16BA"/>
    <w:rsid w:val="008C49DA"/>
    <w:rsid w:val="008C551F"/>
    <w:rsid w:val="008C73DF"/>
    <w:rsid w:val="008D0752"/>
    <w:rsid w:val="008D24FB"/>
    <w:rsid w:val="008D275F"/>
    <w:rsid w:val="008D4CDC"/>
    <w:rsid w:val="008D4E18"/>
    <w:rsid w:val="008E044B"/>
    <w:rsid w:val="008E280E"/>
    <w:rsid w:val="008E3657"/>
    <w:rsid w:val="008E3CAA"/>
    <w:rsid w:val="008F19CB"/>
    <w:rsid w:val="008F679A"/>
    <w:rsid w:val="008F788E"/>
    <w:rsid w:val="009031C5"/>
    <w:rsid w:val="00903E49"/>
    <w:rsid w:val="00907730"/>
    <w:rsid w:val="009103B6"/>
    <w:rsid w:val="00911612"/>
    <w:rsid w:val="0091166C"/>
    <w:rsid w:val="00911EED"/>
    <w:rsid w:val="00912619"/>
    <w:rsid w:val="00915389"/>
    <w:rsid w:val="0091741D"/>
    <w:rsid w:val="00917421"/>
    <w:rsid w:val="009235E6"/>
    <w:rsid w:val="00924050"/>
    <w:rsid w:val="00925780"/>
    <w:rsid w:val="00930B70"/>
    <w:rsid w:val="00933850"/>
    <w:rsid w:val="00941899"/>
    <w:rsid w:val="00946820"/>
    <w:rsid w:val="009507B9"/>
    <w:rsid w:val="009527B4"/>
    <w:rsid w:val="00953078"/>
    <w:rsid w:val="0095575E"/>
    <w:rsid w:val="00957FC3"/>
    <w:rsid w:val="0096048E"/>
    <w:rsid w:val="00962399"/>
    <w:rsid w:val="00975023"/>
    <w:rsid w:val="00977895"/>
    <w:rsid w:val="009814EB"/>
    <w:rsid w:val="00984D01"/>
    <w:rsid w:val="009854C9"/>
    <w:rsid w:val="00985F74"/>
    <w:rsid w:val="00986195"/>
    <w:rsid w:val="00986F36"/>
    <w:rsid w:val="00991138"/>
    <w:rsid w:val="009922F7"/>
    <w:rsid w:val="009926EF"/>
    <w:rsid w:val="009A2B71"/>
    <w:rsid w:val="009A5EDF"/>
    <w:rsid w:val="009B0011"/>
    <w:rsid w:val="009B3294"/>
    <w:rsid w:val="009B7C33"/>
    <w:rsid w:val="009C5343"/>
    <w:rsid w:val="009D7085"/>
    <w:rsid w:val="009E7573"/>
    <w:rsid w:val="009F2032"/>
    <w:rsid w:val="009F2572"/>
    <w:rsid w:val="009F404C"/>
    <w:rsid w:val="009F6033"/>
    <w:rsid w:val="00A06F33"/>
    <w:rsid w:val="00A100F4"/>
    <w:rsid w:val="00A1034D"/>
    <w:rsid w:val="00A16429"/>
    <w:rsid w:val="00A20652"/>
    <w:rsid w:val="00A26225"/>
    <w:rsid w:val="00A30959"/>
    <w:rsid w:val="00A4264A"/>
    <w:rsid w:val="00A450F6"/>
    <w:rsid w:val="00A45EFB"/>
    <w:rsid w:val="00A51CA6"/>
    <w:rsid w:val="00A53AFD"/>
    <w:rsid w:val="00A5625E"/>
    <w:rsid w:val="00A56E38"/>
    <w:rsid w:val="00A676C4"/>
    <w:rsid w:val="00A71617"/>
    <w:rsid w:val="00A732A8"/>
    <w:rsid w:val="00A75A8B"/>
    <w:rsid w:val="00A77D81"/>
    <w:rsid w:val="00A804B4"/>
    <w:rsid w:val="00A81EF3"/>
    <w:rsid w:val="00A84DBC"/>
    <w:rsid w:val="00A85B4D"/>
    <w:rsid w:val="00A87EB3"/>
    <w:rsid w:val="00A917D3"/>
    <w:rsid w:val="00A91D38"/>
    <w:rsid w:val="00A93F8E"/>
    <w:rsid w:val="00A95374"/>
    <w:rsid w:val="00A96B46"/>
    <w:rsid w:val="00AA235E"/>
    <w:rsid w:val="00AA4CFD"/>
    <w:rsid w:val="00AA5C2E"/>
    <w:rsid w:val="00AA6134"/>
    <w:rsid w:val="00AB03F3"/>
    <w:rsid w:val="00AB2226"/>
    <w:rsid w:val="00AB30FA"/>
    <w:rsid w:val="00AB60D4"/>
    <w:rsid w:val="00AB63AB"/>
    <w:rsid w:val="00AC0397"/>
    <w:rsid w:val="00AC074A"/>
    <w:rsid w:val="00AC1716"/>
    <w:rsid w:val="00AC6471"/>
    <w:rsid w:val="00AC6F6F"/>
    <w:rsid w:val="00AE0345"/>
    <w:rsid w:val="00AE1B1B"/>
    <w:rsid w:val="00AE70C7"/>
    <w:rsid w:val="00AE74C6"/>
    <w:rsid w:val="00AF66C0"/>
    <w:rsid w:val="00AF7604"/>
    <w:rsid w:val="00AF7C51"/>
    <w:rsid w:val="00B05145"/>
    <w:rsid w:val="00B10103"/>
    <w:rsid w:val="00B10CD7"/>
    <w:rsid w:val="00B1213C"/>
    <w:rsid w:val="00B1283A"/>
    <w:rsid w:val="00B128B9"/>
    <w:rsid w:val="00B1544E"/>
    <w:rsid w:val="00B234E1"/>
    <w:rsid w:val="00B23A03"/>
    <w:rsid w:val="00B24813"/>
    <w:rsid w:val="00B25F24"/>
    <w:rsid w:val="00B32BB2"/>
    <w:rsid w:val="00B4087C"/>
    <w:rsid w:val="00B434E0"/>
    <w:rsid w:val="00B445E0"/>
    <w:rsid w:val="00B45282"/>
    <w:rsid w:val="00B536DC"/>
    <w:rsid w:val="00B54220"/>
    <w:rsid w:val="00B550DD"/>
    <w:rsid w:val="00B57CB0"/>
    <w:rsid w:val="00B6216A"/>
    <w:rsid w:val="00B66567"/>
    <w:rsid w:val="00B70232"/>
    <w:rsid w:val="00B7214F"/>
    <w:rsid w:val="00B765BE"/>
    <w:rsid w:val="00B77E09"/>
    <w:rsid w:val="00B82450"/>
    <w:rsid w:val="00B91DB0"/>
    <w:rsid w:val="00B95F91"/>
    <w:rsid w:val="00B96DEA"/>
    <w:rsid w:val="00B976F2"/>
    <w:rsid w:val="00BA0209"/>
    <w:rsid w:val="00BA57CA"/>
    <w:rsid w:val="00BA5D69"/>
    <w:rsid w:val="00BB05AD"/>
    <w:rsid w:val="00BB655F"/>
    <w:rsid w:val="00BC05F8"/>
    <w:rsid w:val="00BC084A"/>
    <w:rsid w:val="00BC1F08"/>
    <w:rsid w:val="00BC4901"/>
    <w:rsid w:val="00BC51DF"/>
    <w:rsid w:val="00BC54A9"/>
    <w:rsid w:val="00BC6013"/>
    <w:rsid w:val="00BD1100"/>
    <w:rsid w:val="00BD4286"/>
    <w:rsid w:val="00BD536B"/>
    <w:rsid w:val="00BD6436"/>
    <w:rsid w:val="00BD7D3E"/>
    <w:rsid w:val="00BD7F51"/>
    <w:rsid w:val="00BE4409"/>
    <w:rsid w:val="00BE495B"/>
    <w:rsid w:val="00BE4EEB"/>
    <w:rsid w:val="00BF1FAB"/>
    <w:rsid w:val="00BF38C0"/>
    <w:rsid w:val="00C02903"/>
    <w:rsid w:val="00C07675"/>
    <w:rsid w:val="00C1036B"/>
    <w:rsid w:val="00C1072D"/>
    <w:rsid w:val="00C11605"/>
    <w:rsid w:val="00C1402D"/>
    <w:rsid w:val="00C17E4A"/>
    <w:rsid w:val="00C30239"/>
    <w:rsid w:val="00C30FE1"/>
    <w:rsid w:val="00C33887"/>
    <w:rsid w:val="00C34241"/>
    <w:rsid w:val="00C41366"/>
    <w:rsid w:val="00C41E37"/>
    <w:rsid w:val="00C43BFE"/>
    <w:rsid w:val="00C46741"/>
    <w:rsid w:val="00C4753D"/>
    <w:rsid w:val="00C544D7"/>
    <w:rsid w:val="00C5491C"/>
    <w:rsid w:val="00C630E3"/>
    <w:rsid w:val="00C640AB"/>
    <w:rsid w:val="00C667A6"/>
    <w:rsid w:val="00C66EA1"/>
    <w:rsid w:val="00C674C9"/>
    <w:rsid w:val="00C823E0"/>
    <w:rsid w:val="00C8620C"/>
    <w:rsid w:val="00C86381"/>
    <w:rsid w:val="00C9245F"/>
    <w:rsid w:val="00C94E0F"/>
    <w:rsid w:val="00C9516A"/>
    <w:rsid w:val="00C9525F"/>
    <w:rsid w:val="00C95829"/>
    <w:rsid w:val="00C95FC1"/>
    <w:rsid w:val="00C9672A"/>
    <w:rsid w:val="00CA045E"/>
    <w:rsid w:val="00CA0CC7"/>
    <w:rsid w:val="00CA212D"/>
    <w:rsid w:val="00CA4A2C"/>
    <w:rsid w:val="00CA6A92"/>
    <w:rsid w:val="00CB046D"/>
    <w:rsid w:val="00CB04EC"/>
    <w:rsid w:val="00CB0FE9"/>
    <w:rsid w:val="00CB2F0B"/>
    <w:rsid w:val="00CB365B"/>
    <w:rsid w:val="00CB39A4"/>
    <w:rsid w:val="00CC31A8"/>
    <w:rsid w:val="00CC4FF8"/>
    <w:rsid w:val="00CC7644"/>
    <w:rsid w:val="00CD00C4"/>
    <w:rsid w:val="00CE49A9"/>
    <w:rsid w:val="00CE61AC"/>
    <w:rsid w:val="00CE763D"/>
    <w:rsid w:val="00CE78F0"/>
    <w:rsid w:val="00CF0231"/>
    <w:rsid w:val="00CF0FCF"/>
    <w:rsid w:val="00CF2E2F"/>
    <w:rsid w:val="00CF3619"/>
    <w:rsid w:val="00CF5CDF"/>
    <w:rsid w:val="00CF676F"/>
    <w:rsid w:val="00D01311"/>
    <w:rsid w:val="00D042D9"/>
    <w:rsid w:val="00D10932"/>
    <w:rsid w:val="00D11F7A"/>
    <w:rsid w:val="00D12459"/>
    <w:rsid w:val="00D250A6"/>
    <w:rsid w:val="00D265A6"/>
    <w:rsid w:val="00D27652"/>
    <w:rsid w:val="00D30C3A"/>
    <w:rsid w:val="00D31FB1"/>
    <w:rsid w:val="00D355D8"/>
    <w:rsid w:val="00D443E7"/>
    <w:rsid w:val="00D45E9F"/>
    <w:rsid w:val="00D469F5"/>
    <w:rsid w:val="00D523CF"/>
    <w:rsid w:val="00D52B9F"/>
    <w:rsid w:val="00D53415"/>
    <w:rsid w:val="00D55384"/>
    <w:rsid w:val="00D62F8A"/>
    <w:rsid w:val="00D746F7"/>
    <w:rsid w:val="00D74927"/>
    <w:rsid w:val="00D806AA"/>
    <w:rsid w:val="00D83D38"/>
    <w:rsid w:val="00D85EF6"/>
    <w:rsid w:val="00D902F5"/>
    <w:rsid w:val="00D90FD1"/>
    <w:rsid w:val="00D9102B"/>
    <w:rsid w:val="00DA146F"/>
    <w:rsid w:val="00DA20A7"/>
    <w:rsid w:val="00DB07B9"/>
    <w:rsid w:val="00DB5B09"/>
    <w:rsid w:val="00DB7252"/>
    <w:rsid w:val="00DD0F5B"/>
    <w:rsid w:val="00DD31B8"/>
    <w:rsid w:val="00DD4CA3"/>
    <w:rsid w:val="00DD5A1D"/>
    <w:rsid w:val="00DE46CC"/>
    <w:rsid w:val="00DE5612"/>
    <w:rsid w:val="00DE5844"/>
    <w:rsid w:val="00DF0252"/>
    <w:rsid w:val="00DF062F"/>
    <w:rsid w:val="00DF0988"/>
    <w:rsid w:val="00DF0F84"/>
    <w:rsid w:val="00DF11ED"/>
    <w:rsid w:val="00DF208B"/>
    <w:rsid w:val="00DF2D5D"/>
    <w:rsid w:val="00DF5142"/>
    <w:rsid w:val="00DF7115"/>
    <w:rsid w:val="00DF7D05"/>
    <w:rsid w:val="00E008C4"/>
    <w:rsid w:val="00E00918"/>
    <w:rsid w:val="00E03CCA"/>
    <w:rsid w:val="00E10919"/>
    <w:rsid w:val="00E2051A"/>
    <w:rsid w:val="00E26FF1"/>
    <w:rsid w:val="00E36BA7"/>
    <w:rsid w:val="00E46994"/>
    <w:rsid w:val="00E46C89"/>
    <w:rsid w:val="00E50D1B"/>
    <w:rsid w:val="00E56069"/>
    <w:rsid w:val="00E568E0"/>
    <w:rsid w:val="00E57318"/>
    <w:rsid w:val="00E5792A"/>
    <w:rsid w:val="00E661FB"/>
    <w:rsid w:val="00E66CBA"/>
    <w:rsid w:val="00E751F8"/>
    <w:rsid w:val="00E75632"/>
    <w:rsid w:val="00E76894"/>
    <w:rsid w:val="00E76D03"/>
    <w:rsid w:val="00E8266E"/>
    <w:rsid w:val="00E83934"/>
    <w:rsid w:val="00E85D71"/>
    <w:rsid w:val="00E85F1C"/>
    <w:rsid w:val="00E94EE6"/>
    <w:rsid w:val="00E9542B"/>
    <w:rsid w:val="00EA4B02"/>
    <w:rsid w:val="00EA5BDC"/>
    <w:rsid w:val="00EB117E"/>
    <w:rsid w:val="00EB558C"/>
    <w:rsid w:val="00EB7457"/>
    <w:rsid w:val="00EC7E28"/>
    <w:rsid w:val="00ED0C83"/>
    <w:rsid w:val="00ED310E"/>
    <w:rsid w:val="00EE1154"/>
    <w:rsid w:val="00EE170D"/>
    <w:rsid w:val="00EE41D9"/>
    <w:rsid w:val="00EF2F93"/>
    <w:rsid w:val="00EF51BD"/>
    <w:rsid w:val="00EF7ABA"/>
    <w:rsid w:val="00F01E91"/>
    <w:rsid w:val="00F02DB3"/>
    <w:rsid w:val="00F0380A"/>
    <w:rsid w:val="00F04DC9"/>
    <w:rsid w:val="00F07251"/>
    <w:rsid w:val="00F12394"/>
    <w:rsid w:val="00F12761"/>
    <w:rsid w:val="00F14A61"/>
    <w:rsid w:val="00F1556E"/>
    <w:rsid w:val="00F15602"/>
    <w:rsid w:val="00F20387"/>
    <w:rsid w:val="00F20A76"/>
    <w:rsid w:val="00F369D7"/>
    <w:rsid w:val="00F4648C"/>
    <w:rsid w:val="00F4663F"/>
    <w:rsid w:val="00F53C1E"/>
    <w:rsid w:val="00F54AC8"/>
    <w:rsid w:val="00F61556"/>
    <w:rsid w:val="00F74927"/>
    <w:rsid w:val="00F7523C"/>
    <w:rsid w:val="00F812DE"/>
    <w:rsid w:val="00F81BA2"/>
    <w:rsid w:val="00F87253"/>
    <w:rsid w:val="00F908BD"/>
    <w:rsid w:val="00F939C7"/>
    <w:rsid w:val="00F93CE3"/>
    <w:rsid w:val="00FA0151"/>
    <w:rsid w:val="00FA05C7"/>
    <w:rsid w:val="00FA2092"/>
    <w:rsid w:val="00FA251F"/>
    <w:rsid w:val="00FA7DA0"/>
    <w:rsid w:val="00FB0393"/>
    <w:rsid w:val="00FB128D"/>
    <w:rsid w:val="00FB17DA"/>
    <w:rsid w:val="00FB4068"/>
    <w:rsid w:val="00FB46EA"/>
    <w:rsid w:val="00FB561F"/>
    <w:rsid w:val="00FB7F93"/>
    <w:rsid w:val="00FC1686"/>
    <w:rsid w:val="00FC79D4"/>
    <w:rsid w:val="00FD24C3"/>
    <w:rsid w:val="00FD40FC"/>
    <w:rsid w:val="00FD65EA"/>
    <w:rsid w:val="00FD663E"/>
    <w:rsid w:val="00FD7796"/>
    <w:rsid w:val="00FE0325"/>
    <w:rsid w:val="00FE55AC"/>
    <w:rsid w:val="00FE74C8"/>
    <w:rsid w:val="00FF129E"/>
    <w:rsid w:val="00FF6D38"/>
    <w:rsid w:val="00FF77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CFB6A"/>
  <w15:chartTrackingRefBased/>
  <w15:docId w15:val="{2E955946-A26F-4380-ADAB-BD07E9DD6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E1154"/>
    <w:rPr>
      <w:color w:val="0563C1" w:themeColor="hyperlink"/>
      <w:u w:val="single"/>
    </w:rPr>
  </w:style>
  <w:style w:type="character" w:customStyle="1" w:styleId="Mencinsinresolver1">
    <w:name w:val="Mención sin resolver1"/>
    <w:basedOn w:val="Fuentedeprrafopredeter"/>
    <w:uiPriority w:val="99"/>
    <w:semiHidden/>
    <w:unhideWhenUsed/>
    <w:rsid w:val="00EE1154"/>
    <w:rPr>
      <w:color w:val="605E5C"/>
      <w:shd w:val="clear" w:color="auto" w:fill="E1DFDD"/>
    </w:rPr>
  </w:style>
  <w:style w:type="paragraph" w:styleId="Prrafodelista">
    <w:name w:val="List Paragraph"/>
    <w:basedOn w:val="Normal"/>
    <w:uiPriority w:val="34"/>
    <w:qFormat/>
    <w:rsid w:val="00007ACA"/>
    <w:pPr>
      <w:ind w:left="720"/>
      <w:contextualSpacing/>
    </w:pPr>
  </w:style>
  <w:style w:type="character" w:customStyle="1" w:styleId="anchor-text">
    <w:name w:val="anchor-text"/>
    <w:basedOn w:val="Fuentedeprrafopredeter"/>
    <w:rsid w:val="00E85D71"/>
  </w:style>
  <w:style w:type="character" w:styleId="Hipervnculovisitado">
    <w:name w:val="FollowedHyperlink"/>
    <w:basedOn w:val="Fuentedeprrafopredeter"/>
    <w:uiPriority w:val="99"/>
    <w:semiHidden/>
    <w:unhideWhenUsed/>
    <w:rsid w:val="00252A71"/>
    <w:rPr>
      <w:color w:val="954F72" w:themeColor="followedHyperlink"/>
      <w:u w:val="single"/>
    </w:rPr>
  </w:style>
  <w:style w:type="paragraph" w:styleId="Textodeglobo">
    <w:name w:val="Balloon Text"/>
    <w:basedOn w:val="Normal"/>
    <w:link w:val="TextodegloboCar"/>
    <w:uiPriority w:val="99"/>
    <w:semiHidden/>
    <w:unhideWhenUsed/>
    <w:rsid w:val="0042257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22578"/>
    <w:rPr>
      <w:rFonts w:ascii="Segoe UI" w:hAnsi="Segoe UI" w:cs="Segoe UI"/>
      <w:sz w:val="18"/>
      <w:szCs w:val="18"/>
    </w:rPr>
  </w:style>
  <w:style w:type="paragraph" w:styleId="Encabezado">
    <w:name w:val="header"/>
    <w:basedOn w:val="Normal"/>
    <w:link w:val="EncabezadoCar"/>
    <w:uiPriority w:val="99"/>
    <w:unhideWhenUsed/>
    <w:rsid w:val="00740B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40B1D"/>
  </w:style>
  <w:style w:type="paragraph" w:styleId="Piedepgina">
    <w:name w:val="footer"/>
    <w:basedOn w:val="Normal"/>
    <w:link w:val="PiedepginaCar"/>
    <w:uiPriority w:val="99"/>
    <w:unhideWhenUsed/>
    <w:rsid w:val="00740B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0B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007540">
      <w:bodyDiv w:val="1"/>
      <w:marLeft w:val="0"/>
      <w:marRight w:val="0"/>
      <w:marTop w:val="0"/>
      <w:marBottom w:val="0"/>
      <w:divBdr>
        <w:top w:val="none" w:sz="0" w:space="0" w:color="auto"/>
        <w:left w:val="none" w:sz="0" w:space="0" w:color="auto"/>
        <w:bottom w:val="none" w:sz="0" w:space="0" w:color="auto"/>
        <w:right w:val="none" w:sz="0" w:space="0" w:color="auto"/>
      </w:divBdr>
    </w:div>
    <w:div w:id="158912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Referencia numérica" Version="1987"/>
</file>

<file path=customXml/itemProps1.xml><?xml version="1.0" encoding="utf-8"?>
<ds:datastoreItem xmlns:ds="http://schemas.openxmlformats.org/officeDocument/2006/customXml" ds:itemID="{70697074-3B92-43EC-94CD-19AA7E17E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20706</Words>
  <Characters>113886</Characters>
  <Application>Microsoft Office Word</Application>
  <DocSecurity>0</DocSecurity>
  <Lines>949</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14</cp:revision>
  <dcterms:created xsi:type="dcterms:W3CDTF">2024-09-09T19:58:00Z</dcterms:created>
  <dcterms:modified xsi:type="dcterms:W3CDTF">2024-09-10T22:07:00Z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https://csl.mendeley.com/styles/625046891/APA-INFORMES-DE-LA-CONSTR</vt:lpwstr>
  </property>
  <property fmtid="{D5CDD505-2E9C-101B-9397-08002B2CF9AE}" pid="5" name="Mendeley Recent Style Name 1_1">
    <vt:lpwstr>American Medical Association 11th edition - Giovanni Cortes</vt:lpwstr>
  </property>
  <property fmtid="{D5CDD505-2E9C-101B-9397-08002B2CF9AE}" pid="6" name="Mendeley Recent Style Id 2_1">
    <vt:lpwstr>http://csl.mendeley.com/styles/625046891/APA-INFORMES-DE-LA-CONSTR</vt:lpwstr>
  </property>
  <property fmtid="{D5CDD505-2E9C-101B-9397-08002B2CF9AE}" pid="7" name="Mendeley Recent Style Name 2_1">
    <vt:lpwstr>American Medical Association 11th edition - Giovanni Cortes</vt:lpwstr>
  </property>
  <property fmtid="{D5CDD505-2E9C-101B-9397-08002B2CF9AE}" pid="8" name="Mendeley Recent Style Id 3_1">
    <vt:lpwstr>http://csl.mendeley.com/styles/537458751/apa-2-agriambi</vt:lpwstr>
  </property>
  <property fmtid="{D5CDD505-2E9C-101B-9397-08002B2CF9AE}" pid="9" name="Mendeley Recent Style Name 3_1">
    <vt:lpwstr>American Psychological Association 7th edition - Giovanni Cortes Tovar</vt:lpwstr>
  </property>
  <property fmtid="{D5CDD505-2E9C-101B-9397-08002B2CF9AE}" pid="10" name="Mendeley Recent Style Id 4_1">
    <vt:lpwstr>http://www.zotero.org/styles/cement-and-concrete-research</vt:lpwstr>
  </property>
  <property fmtid="{D5CDD505-2E9C-101B-9397-08002B2CF9AE}" pid="11" name="Mendeley Recent Style Name 4_1">
    <vt:lpwstr>Cement and Concrete Research</vt:lpwstr>
  </property>
  <property fmtid="{D5CDD505-2E9C-101B-9397-08002B2CF9AE}" pid="12" name="Mendeley Recent Style Id 5_1">
    <vt:lpwstr>http://csl.mendeley.com/styles/625046891/harvard-cite-them-right</vt:lpwstr>
  </property>
  <property fmtid="{D5CDD505-2E9C-101B-9397-08002B2CF9AE}" pid="13" name="Mendeley Recent Style Name 5_1">
    <vt:lpwstr>Cite Them Right 12th edition - Harvard - Giovanni Cortes</vt:lpwstr>
  </property>
  <property fmtid="{D5CDD505-2E9C-101B-9397-08002B2CF9AE}" pid="14" name="Mendeley Recent Style Id 6_1">
    <vt:lpwstr>http://csl.mendeley.com/styles/537458751/ieee-2unall</vt:lpwstr>
  </property>
  <property fmtid="{D5CDD505-2E9C-101B-9397-08002B2CF9AE}" pid="15" name="Mendeley Recent Style Name 6_1">
    <vt:lpwstr>IEEE - Giovanni Cortes Tovar</vt:lpwstr>
  </property>
  <property fmtid="{D5CDD505-2E9C-101B-9397-08002B2CF9AE}" pid="16" name="Mendeley Recent Style Id 7_1">
    <vt:lpwstr>http://csl.mendeley.com/styles/537458751/ieee-3unall</vt:lpwstr>
  </property>
  <property fmtid="{D5CDD505-2E9C-101B-9397-08002B2CF9AE}" pid="17" name="Mendeley Recent Style Name 7_1">
    <vt:lpwstr>IEEE - Giovanni Cortes Tovar</vt:lpwstr>
  </property>
  <property fmtid="{D5CDD505-2E9C-101B-9397-08002B2CF9AE}" pid="18" name="Mendeley Recent Style Id 8_1">
    <vt:lpwstr>https://csl.mendeley.com/styles/537458751/ieee-dyna</vt:lpwstr>
  </property>
  <property fmtid="{D5CDD505-2E9C-101B-9397-08002B2CF9AE}" pid="19" name="Mendeley Recent Style Name 8_1">
    <vt:lpwstr>IEEE - Giovanni Cortes Tovar</vt:lpwstr>
  </property>
  <property fmtid="{D5CDD505-2E9C-101B-9397-08002B2CF9AE}" pid="20" name="Mendeley Recent Style Id 9_1">
    <vt:lpwstr>https://csl.mendeley.com/styles/661909271/RFNA</vt:lpwstr>
  </property>
  <property fmtid="{D5CDD505-2E9C-101B-9397-08002B2CF9AE}" pid="21" name="Mendeley Recent Style Name 9_1">
    <vt:lpwstr>RFNA</vt:lpwstr>
  </property>
  <property fmtid="{D5CDD505-2E9C-101B-9397-08002B2CF9AE}" pid="22" name="Mendeley Document_1">
    <vt:lpwstr>True</vt:lpwstr>
  </property>
  <property fmtid="{D5CDD505-2E9C-101B-9397-08002B2CF9AE}" pid="23" name="Mendeley Unique User Id_1">
    <vt:lpwstr>1f07215e-ae4d-37ca-928a-0af5e0928298</vt:lpwstr>
  </property>
  <property fmtid="{D5CDD505-2E9C-101B-9397-08002B2CF9AE}" pid="24" name="Mendeley Citation Style_1">
    <vt:lpwstr>http://csl.mendeley.com/styles/537458751/apa-2-agriambi</vt:lpwstr>
  </property>
</Properties>
</file>