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FEBEA" w14:textId="43030004" w:rsidR="00881F16" w:rsidRDefault="00881F16" w:rsidP="00F773E9">
      <w:pPr>
        <w:pStyle w:val="Ttulo1"/>
        <w:rPr>
          <w:rFonts w:ascii="Arial Narrow" w:hAnsi="Arial Narrow"/>
        </w:rPr>
      </w:pPr>
      <w:r w:rsidRPr="00F773E9">
        <w:rPr>
          <w:rFonts w:ascii="Arial Narrow" w:hAnsi="Arial Narrow"/>
        </w:rPr>
        <w:t>Aporte propuesto para las actividades misionales de la Universidad enmarcado en la Gestión Ambiental</w:t>
      </w:r>
    </w:p>
    <w:p w14:paraId="1B143AB2" w14:textId="77777777" w:rsidR="000125B3" w:rsidRDefault="000125B3" w:rsidP="000125B3"/>
    <w:p w14:paraId="61335B29" w14:textId="3A14ED5A" w:rsidR="00881F16" w:rsidRPr="000125B3" w:rsidRDefault="000125B3" w:rsidP="000125B3">
      <w:pPr>
        <w:jc w:val="center"/>
        <w:rPr>
          <w:b/>
          <w:bCs/>
        </w:rPr>
      </w:pPr>
      <w:r w:rsidRPr="000125B3">
        <w:rPr>
          <w:b/>
          <w:bCs/>
        </w:rPr>
        <w:t>HERNÁN G</w:t>
      </w:r>
      <w:r>
        <w:rPr>
          <w:b/>
          <w:bCs/>
        </w:rPr>
        <w:t>.</w:t>
      </w:r>
      <w:r w:rsidRPr="000125B3">
        <w:rPr>
          <w:b/>
          <w:bCs/>
        </w:rPr>
        <w:t xml:space="preserve"> CORTÉS MORA</w:t>
      </w:r>
    </w:p>
    <w:p w14:paraId="077AB49F" w14:textId="340FB0EC" w:rsidR="00881F16" w:rsidRPr="00F773E9" w:rsidRDefault="00891728" w:rsidP="00F773E9">
      <w:pPr>
        <w:pStyle w:val="Ttulo2"/>
      </w:pPr>
      <w:r w:rsidRPr="00F773E9">
        <w:t>Introducción</w:t>
      </w:r>
    </w:p>
    <w:p w14:paraId="5F4C5B14" w14:textId="228C975D" w:rsidR="00916330" w:rsidRPr="00F773E9" w:rsidRDefault="00916330" w:rsidP="00F773E9">
      <w:r w:rsidRPr="00F773E9">
        <w:tab/>
        <w:t>La gestión ambiental es una disciplina crítica en el contexto de los desafíos actuales, como el cambio climático, la degradación de ecosistemas y la pérdida de biodiversidad. Las</w:t>
      </w:r>
      <w:r w:rsidR="00393AB7" w:rsidRPr="00F773E9">
        <w:t xml:space="preserve"> </w:t>
      </w:r>
      <w:r w:rsidRPr="00F773E9">
        <w:t>universidades, instituciones formadoras de futuros líderes y profesionales, tienen la responsabilidad de integrar la sustentabilidad en sus actividades misionales. Esta responsabilidad implica la creación de un marco educativo que prepare a los estudiantes para abordar problemas ambientales desde una perspectiva interdisciplinaria y ética, mientras que la universidad sirve de ejemplo a seguir en la práctica de la sustentabilidad</w:t>
      </w:r>
      <w:r w:rsidR="00005DC3">
        <w:t xml:space="preserve"> (</w:t>
      </w:r>
      <w:r w:rsidR="00005DC3" w:rsidRPr="00005DC3">
        <w:t>Sustainable Earth Reviews</w:t>
      </w:r>
      <w:r w:rsidR="00005DC3">
        <w:t xml:space="preserve">, </w:t>
      </w:r>
      <w:r w:rsidR="00005DC3" w:rsidRPr="00005DC3">
        <w:t>2023)</w:t>
      </w:r>
      <w:r w:rsidRPr="00F773E9">
        <w:t>.</w:t>
      </w:r>
    </w:p>
    <w:p w14:paraId="6497DE09" w14:textId="63628C7C" w:rsidR="00916330" w:rsidRPr="00F773E9" w:rsidRDefault="00916330" w:rsidP="00F773E9">
      <w:r w:rsidRPr="00F773E9">
        <w:tab/>
        <w:t xml:space="preserve">El concepto de Responsabilidad Ambiental Universitaria </w:t>
      </w:r>
      <w:r w:rsidR="00ED64FB">
        <w:t xml:space="preserve">RAU, </w:t>
      </w:r>
      <w:r w:rsidRPr="00F773E9">
        <w:t>ubica lo ambiental como un eje transversal que atraviesa todas las dimensiones del quehacer universitario. Este enfoque holístico reconoce que los desafíos sociales están intrínsecamente ligados a los problemas ambientales y que la solución de muchos de ellos pasa por una adecuada gestión de los recursos naturales, la implementación de políticas ambientales y la formación de ciudadanos responsables</w:t>
      </w:r>
      <w:r w:rsidR="00E74052">
        <w:t>, de hecho,</w:t>
      </w:r>
      <w:r w:rsidR="00E74052" w:rsidRPr="00E74052">
        <w:t xml:space="preserve"> instituciones de educación superior están implementando los ODS y reorientando sus currículos hacia la </w:t>
      </w:r>
      <w:r w:rsidR="00340A88">
        <w:t>sustentabilidad (</w:t>
      </w:r>
      <w:r w:rsidR="00340A88" w:rsidRPr="00340A88">
        <w:t>Zanellato, F., &amp; Tiron-Tudor, A. 2023</w:t>
      </w:r>
      <w:r w:rsidR="009B6A75">
        <w:t xml:space="preserve">; </w:t>
      </w:r>
      <w:r w:rsidR="00CB6060" w:rsidRPr="00CB6060">
        <w:t>UNESCO</w:t>
      </w:r>
      <w:r w:rsidR="00CB6060">
        <w:t xml:space="preserve">, </w:t>
      </w:r>
      <w:r w:rsidR="00CB6060" w:rsidRPr="00CB6060">
        <w:t>2023</w:t>
      </w:r>
      <w:r w:rsidR="00340A88" w:rsidRPr="00340A88">
        <w:t>)</w:t>
      </w:r>
      <w:r w:rsidRPr="00F773E9">
        <w:t>.</w:t>
      </w:r>
    </w:p>
    <w:p w14:paraId="483969F9" w14:textId="2883AE20" w:rsidR="00916330" w:rsidRPr="00F773E9" w:rsidRDefault="00916330" w:rsidP="00F773E9">
      <w:r w:rsidRPr="00F773E9">
        <w:tab/>
        <w:t xml:space="preserve">El concepto de Aula Total transforma el campus en un espacio integral de aprendizaje y ciudadanía, donde los estudiantes no solo aprenden en el aula, sino también en las interacciones diarias y en la forma en que la universidad se gestiona y organiza. De esta manera, </w:t>
      </w:r>
      <w:r w:rsidR="000A4733">
        <w:t>se</w:t>
      </w:r>
      <w:r w:rsidRPr="00F773E9">
        <w:t xml:space="preserve"> fomenta una formación integral, ética y sensible hacia los problemas ambientales y sociales.</w:t>
      </w:r>
    </w:p>
    <w:p w14:paraId="79A6CFE1" w14:textId="7401E44E" w:rsidR="00916330" w:rsidRPr="00F773E9" w:rsidRDefault="00916330" w:rsidP="00F773E9">
      <w:r w:rsidRPr="00F773E9">
        <w:tab/>
        <w:t xml:space="preserve">Edgar Morin (2011) plasma una visión del mundo y muestra cómo se encuentra en peligro, sumido en una mega crisis derivada del actuar humano. Esta mega crisis es </w:t>
      </w:r>
      <w:r w:rsidR="00EA1EBD">
        <w:t xml:space="preserve">el </w:t>
      </w:r>
      <w:r w:rsidRPr="00F773E9">
        <w:t xml:space="preserve">resultado de la combinación de tres elementos que siguen llevando a la humanidad a </w:t>
      </w:r>
      <w:r w:rsidR="00C20B09">
        <w:t>la extinción</w:t>
      </w:r>
      <w:r w:rsidRPr="00F773E9">
        <w:t xml:space="preserve">: el desarrollo, la globalización y la occidentalización. </w:t>
      </w:r>
      <w:r w:rsidR="00C20B09">
        <w:t>S</w:t>
      </w:r>
      <w:r w:rsidRPr="00F773E9">
        <w:t>ugiere vías para contrarrestar los efectos negativos y enfrentar la mega crisis</w:t>
      </w:r>
      <w:r w:rsidR="00267C29" w:rsidRPr="00F773E9">
        <w:t xml:space="preserve"> </w:t>
      </w:r>
      <w:r w:rsidRPr="00F773E9">
        <w:t>(Peña-Reyes, 2011).</w:t>
      </w:r>
      <w:r w:rsidR="00895356">
        <w:t xml:space="preserve"> </w:t>
      </w:r>
      <w:r w:rsidRPr="00F773E9">
        <w:t xml:space="preserve">Si la crisis ambiental es una crisis </w:t>
      </w:r>
      <w:r w:rsidR="00AD2070" w:rsidRPr="00F773E9">
        <w:t>civilizatoria</w:t>
      </w:r>
      <w:r w:rsidRPr="00F773E9">
        <w:t xml:space="preserve"> con el cual hemos transformado el mundo, la restauración ecológica y la resignificación del mundo tendrán que atravesar por una refundamentación de las ideas. (Leff, 2011).</w:t>
      </w:r>
    </w:p>
    <w:p w14:paraId="7CBFB401" w14:textId="428A570E" w:rsidR="00916330" w:rsidRPr="00F773E9" w:rsidRDefault="00916330" w:rsidP="00F773E9">
      <w:r w:rsidRPr="00F773E9">
        <w:tab/>
        <w:t>La crisis cuestiona las premisas ontológicas, epistemológicas y éticas con las que se ha fundado la modernidad, negando las leyes límite y los potenciales de la naturaleza y de la cultura; es producto de un paradigma societario globalizador y homogenizante que ha negado la potencia de lo heterogéneo y el valor de la diversidad. Los propósitos de la sustentabilidad implican la reconstrucción del mundo a partir de los diversos proyectos civilizatorios que se han construido y sedimentado en la historia (Leff, 2000).</w:t>
      </w:r>
    </w:p>
    <w:p w14:paraId="20891B27" w14:textId="64B7DB9E" w:rsidR="005825CF" w:rsidRDefault="00916330" w:rsidP="005825CF">
      <w:r w:rsidRPr="00F773E9">
        <w:tab/>
      </w:r>
      <w:r w:rsidR="005825CF" w:rsidRPr="005825CF">
        <w:t xml:space="preserve">Morin destaca que toda crisis presenta tanto riesgos como oportunidades. Entre las oportunidades, señala la importancia de implementar normas ecológicas y económicas de interés global, promover energías renovables, reducir las desigualdades mundiales, y proveer dispositivos para generar energía verde, como plantas eólicas y solares. Además, subraya la necesidad de impulsar el pensamiento crítico y los derechos </w:t>
      </w:r>
      <w:r w:rsidR="005825CF" w:rsidRPr="005825CF">
        <w:lastRenderedPageBreak/>
        <w:t>humanos, así como reformar nuestra forma de pensar para abordar de manera integral la relación entre humanidad y naturaleza, fomentando reformas profundas en la sociedad y la civilización</w:t>
      </w:r>
      <w:r w:rsidR="005825CF">
        <w:t xml:space="preserve"> (</w:t>
      </w:r>
      <w:r w:rsidR="005825CF" w:rsidRPr="00F773E9">
        <w:t>Morin</w:t>
      </w:r>
      <w:r w:rsidR="005825CF">
        <w:t xml:space="preserve">, </w:t>
      </w:r>
      <w:r w:rsidR="005825CF" w:rsidRPr="00F773E9">
        <w:t>2011)</w:t>
      </w:r>
      <w:r w:rsidR="005825CF" w:rsidRPr="005825CF">
        <w:t>.</w:t>
      </w:r>
    </w:p>
    <w:p w14:paraId="045F3D24" w14:textId="2A6FDD4A" w:rsidR="00916330" w:rsidRPr="00F773E9" w:rsidRDefault="00916330" w:rsidP="005825CF">
      <w:r w:rsidRPr="00F773E9">
        <w:t>En la intersección entre lo ambiental y lo social, se plantea un dilema crítico: ¿qué sucede cuando las consideraciones ambientales prevalecen sobre las sociales? En un escenario donde lo ambiental supera lo social, se corre el riesgo de priorizar la sustentabilidad ecológica a expensas del bienestar humano, especialmente de las comunidades más vulnerables. Sin embargo, diversos eventos y decisiones de política pública en las últimas dos décadas han demostrado que privilegiar lo ambiental puede, de hecho, ser un medio para resolver problemáticas sociales de manera más efectiva y sustentable.</w:t>
      </w:r>
    </w:p>
    <w:p w14:paraId="79169E17" w14:textId="26F040D9" w:rsidR="00916330" w:rsidRPr="00F773E9" w:rsidRDefault="00916330" w:rsidP="00F773E9">
      <w:r w:rsidRPr="00F773E9">
        <w:tab/>
        <w:t>En la era del conocimiento, la sociedad ha experimentado cambios que son el resultado del uso de la tecnología y la ciencia. Si bien se han logrado múltiples avances, es evidente que estamos inmersos en una problemática ambiental como resultado del uso desmedido de los recursos naturales. Romero (2013) afirma: “A medida que aumenta el poder del hombre sobre la naturaleza, aparecen nuevas necesidades consecuencia de la vida en sociedad y el medio ambiente que lo rodea se deteriora cada vez más” (p.15). La contaminación ambiental está afectando gran diversidad de recursos naturales. Asimismo, la calidad de vida de los seres humanos se encuentra en un desequilibrio incalculable que cada vez se está acrecentando. Estamos en la obligación de promover prácticas sustentables desde todos los sectores de la sociedad, y es aquí donde el papel de la universidad es fundamental, desde la formación de profesionales integrales y comprometidos con la gestión ambiental hasta el impacto generado por el funcionamiento de las universidades, que también afecta el medio ambiente.</w:t>
      </w:r>
      <w:r w:rsidR="00E825CF">
        <w:t xml:space="preserve"> Específicamente </w:t>
      </w:r>
      <w:r w:rsidR="004B3EC3">
        <w:t xml:space="preserve">el campo de la Ingeniería debe asumir </w:t>
      </w:r>
      <w:r w:rsidR="00D43103">
        <w:t xml:space="preserve">la reparación de los impactos negativos que </w:t>
      </w:r>
      <w:r w:rsidR="00BA20A8">
        <w:t>han derivado de su</w:t>
      </w:r>
      <w:r w:rsidR="00894B6B">
        <w:t xml:space="preserve"> ejercicio</w:t>
      </w:r>
      <w:r w:rsidR="00455A75">
        <w:t>.</w:t>
      </w:r>
      <w:r w:rsidRPr="00F773E9">
        <w:tab/>
      </w:r>
    </w:p>
    <w:p w14:paraId="038E7314" w14:textId="35682AE5" w:rsidR="00916330" w:rsidRPr="00F773E9" w:rsidRDefault="00916330" w:rsidP="00F773E9">
      <w:r w:rsidRPr="00F773E9">
        <w:tab/>
        <w:t>Hablar de RAU como un marco integral y dominante en las instituciones de educación superior significa reconocer que las universidades tienen la responsabilidad de formar a futuros líderes que entiendan la necesidad de integrar las consideraciones ambientales en todos los aspectos de la vida social y económica. Este enfoque no solo prepara a los estudiantes para enfrentar los desafíos del siglo XXI, sino que también promueve una comprensión más profunda de cómo la protección del medio ambiente puede ser una herramienta poderosa para lograr la equidad social y el bienestar humano</w:t>
      </w:r>
      <w:r w:rsidR="00C834B4">
        <w:t xml:space="preserve"> (</w:t>
      </w:r>
      <w:r w:rsidR="00C834B4" w:rsidRPr="00C834B4">
        <w:t>Vallaeys, 2006</w:t>
      </w:r>
      <w:r w:rsidR="00C834B4">
        <w:t>;</w:t>
      </w:r>
      <w:r w:rsidR="00C834B4" w:rsidRPr="00C834B4">
        <w:t xml:space="preserve"> 2009</w:t>
      </w:r>
      <w:r w:rsidR="00C834B4">
        <w:t>)</w:t>
      </w:r>
      <w:r w:rsidRPr="00F773E9">
        <w:t>.</w:t>
      </w:r>
    </w:p>
    <w:p w14:paraId="2EE15EB6" w14:textId="24A6913C" w:rsidR="00267C29" w:rsidRPr="00F773E9" w:rsidRDefault="00916330" w:rsidP="00F773E9">
      <w:r w:rsidRPr="00F773E9">
        <w:tab/>
      </w:r>
      <w:r w:rsidR="00FC2E98">
        <w:t>L</w:t>
      </w:r>
      <w:r w:rsidRPr="00F773E9">
        <w:t>as Universidades adquieren la responsabilidad de formar profesionales para desempeñar</w:t>
      </w:r>
      <w:r w:rsidR="000D3D8E">
        <w:t>se</w:t>
      </w:r>
      <w:r w:rsidRPr="00F773E9">
        <w:t xml:space="preserve"> de forma ambientalmente correcta, pero también, la de ser un ejemplo para su entorno social desarrollando sus actividades de forma que se genere el menor impacto; pudiendo también, a través de su función de extensión, colaborar en la creación de la responsabilidad ambiental, en el desarrollo de soluciones a los problemas y la apropiación de comportamientos para la sustentabilidad. Por ello, en el ámbito formativo, la mayor influencia que la Universidad tendrá en la sociedad y, por tanto, el más importante de los aspectos ambientales de su actividad es la correcta formació</w:t>
      </w:r>
      <w:r w:rsidR="0030381D">
        <w:t>n</w:t>
      </w:r>
      <w:r w:rsidRPr="00F773E9">
        <w:t xml:space="preserve">. Los </w:t>
      </w:r>
      <w:r w:rsidR="0030381D">
        <w:t>estudiantes</w:t>
      </w:r>
      <w:r w:rsidRPr="00F773E9">
        <w:t xml:space="preserve"> de hoy se convertirán en los profesionales de mañana y desempeñarán su trabajo partiendo del comportamiento ambiental que se les haya inculcado cuando realizaron sus estudios. </w:t>
      </w:r>
      <w:r w:rsidR="00147C17">
        <w:t>E</w:t>
      </w:r>
      <w:r w:rsidRPr="00F773E9">
        <w:t>stos profesionales pasarán a formar parte del tejido social extendiendo su círculo de influencia continuamente a lo largo de su vida.</w:t>
      </w:r>
    </w:p>
    <w:p w14:paraId="749859F6" w14:textId="479CEEDF" w:rsidR="005A0769" w:rsidRPr="00F773E9" w:rsidRDefault="00267C29" w:rsidP="005A0769">
      <w:r w:rsidRPr="00F773E9">
        <w:tab/>
        <w:t>El concepto de Aula Total propone que el campus universitario se convierta en un laboratorio vivo donde se integren docencia, investigación y prácticas académicas</w:t>
      </w:r>
      <w:r w:rsidR="00E31A67">
        <w:t xml:space="preserve"> (</w:t>
      </w:r>
      <w:r w:rsidR="00E31A67" w:rsidRPr="00E31A67">
        <w:t>AASHE</w:t>
      </w:r>
      <w:r w:rsidR="00E31A67">
        <w:t xml:space="preserve">, </w:t>
      </w:r>
      <w:r w:rsidR="00E31A67" w:rsidRPr="00E31A67">
        <w:t>2024)</w:t>
      </w:r>
      <w:r w:rsidRPr="00F773E9">
        <w:t>. En la Sede Bogotá, este enfoque cobra especial relevancia al consolidar el campus como un espacio donde los estudiantes puedan experimentar directamente con soluciones sostenibles</w:t>
      </w:r>
      <w:r w:rsidR="00816793">
        <w:t xml:space="preserve"> </w:t>
      </w:r>
      <w:r w:rsidR="0051270F">
        <w:t>(</w:t>
      </w:r>
      <w:r w:rsidR="0051270F" w:rsidRPr="0051270F">
        <w:t>Frontiers Research Topic</w:t>
      </w:r>
      <w:r w:rsidR="0051270F">
        <w:t xml:space="preserve">, </w:t>
      </w:r>
      <w:r w:rsidR="0051270F" w:rsidRPr="0051270F">
        <w:t>2024)</w:t>
      </w:r>
      <w:r w:rsidRPr="00F773E9">
        <w:t>.</w:t>
      </w:r>
      <w:r w:rsidR="00E75928">
        <w:t xml:space="preserve"> Est</w:t>
      </w:r>
      <w:r w:rsidR="00285FA2">
        <w:t xml:space="preserve">a </w:t>
      </w:r>
      <w:r w:rsidR="005A0769" w:rsidRPr="00F773E9">
        <w:t xml:space="preserve">es una visión integral de la educación que propone transformar el campus universitario en un espacio multifacético de aprendizaje y desarrollo social, no solo para la comunidad universitaria, sino también para la ciudadanía en </w:t>
      </w:r>
      <w:r w:rsidR="005A0769" w:rsidRPr="00F773E9">
        <w:lastRenderedPageBreak/>
        <w:t>general</w:t>
      </w:r>
      <w:r w:rsidR="005A0769">
        <w:t xml:space="preserve"> (</w:t>
      </w:r>
      <w:r w:rsidR="005A0769" w:rsidRPr="00364235">
        <w:t>Barber</w:t>
      </w:r>
      <w:r w:rsidR="005A0769">
        <w:t xml:space="preserve">, </w:t>
      </w:r>
      <w:r w:rsidR="005A0769" w:rsidRPr="00364235">
        <w:t>2012)</w:t>
      </w:r>
      <w:r w:rsidR="005A0769" w:rsidRPr="00F773E9">
        <w:t>. Este enfoque considera que todo el entorno universitario, incluyendo los espacios físicos y las interacciones sociales, debe ser visto como un "aula" donde se imparte y se absorbe conocimiento de manera continua. El Aula Total incorpora los componentes de currículo oculto, formación integral y el uso de pedagogías activas.</w:t>
      </w:r>
    </w:p>
    <w:p w14:paraId="412D7460" w14:textId="77777777" w:rsidR="00267C29" w:rsidRDefault="00267C29" w:rsidP="00F773E9">
      <w:r w:rsidRPr="00F773E9">
        <w:tab/>
        <w:t>Por mi experiencia como jefe de la Oficina de Gestión Ambiental de la Sede Bogotá, conozco el potencial de coordinar iniciativas para que el campus se utilice como un espacio de enseñanza práctica en la gestión de recursos, eficiencia energética, manejo de residuos y conservación de espacios verdes. El trabajo en conjunto con la Oficina de Gestión Ambiental permitirá desarrollar proyectos en los que los estudiantes participen activamente en la implementación de soluciones ambientales dentro del campus.</w:t>
      </w:r>
    </w:p>
    <w:p w14:paraId="424A07E6" w14:textId="77777777" w:rsidR="000F35A7" w:rsidRPr="00F773E9" w:rsidRDefault="000F35A7" w:rsidP="00F773E9"/>
    <w:p w14:paraId="38AF6541" w14:textId="0299FDB8" w:rsidR="00916330" w:rsidRPr="00F773E9" w:rsidRDefault="00916330" w:rsidP="00F773E9">
      <w:pPr>
        <w:pStyle w:val="Ttulo2"/>
      </w:pPr>
      <w:r w:rsidRPr="00F773E9">
        <w:tab/>
      </w:r>
      <w:r w:rsidR="00FC236E">
        <w:t>O</w:t>
      </w:r>
      <w:r w:rsidRPr="00F773E9">
        <w:t>bjetivos</w:t>
      </w:r>
    </w:p>
    <w:p w14:paraId="26CADE67" w14:textId="5201F79F" w:rsidR="00916330" w:rsidRPr="00F773E9" w:rsidRDefault="00916330" w:rsidP="00F773E9">
      <w:pPr>
        <w:pStyle w:val="Prrafodelista"/>
        <w:numPr>
          <w:ilvl w:val="0"/>
          <w:numId w:val="14"/>
        </w:numPr>
      </w:pPr>
      <w:r w:rsidRPr="00F773E9">
        <w:t xml:space="preserve">Fomentar la inclusión de la sustentabilidad en los planes de estudio </w:t>
      </w:r>
      <w:r w:rsidR="00911370">
        <w:t xml:space="preserve">y la gestión </w:t>
      </w:r>
      <w:r w:rsidRPr="00F773E9">
        <w:t>del Departamento, la Facultad y la Universidad a través de metodologías</w:t>
      </w:r>
      <w:r w:rsidR="00107A1E">
        <w:t xml:space="preserve"> de</w:t>
      </w:r>
      <w:r w:rsidRPr="00F773E9">
        <w:t xml:space="preserve"> pedag</w:t>
      </w:r>
      <w:r w:rsidR="00107A1E">
        <w:t>ogías</w:t>
      </w:r>
      <w:r w:rsidRPr="00F773E9">
        <w:t xml:space="preserve"> activas y proyectos interdisciplinarios.</w:t>
      </w:r>
    </w:p>
    <w:p w14:paraId="4FC2CE23" w14:textId="70A57CB5" w:rsidR="00916330" w:rsidRPr="00F773E9" w:rsidRDefault="00916330" w:rsidP="00F773E9">
      <w:pPr>
        <w:pStyle w:val="Prrafodelista"/>
        <w:numPr>
          <w:ilvl w:val="0"/>
          <w:numId w:val="14"/>
        </w:numPr>
      </w:pPr>
      <w:r w:rsidRPr="00F773E9">
        <w:t xml:space="preserve">Desarrollar una agenda de investigación que aborde los desafíos </w:t>
      </w:r>
      <w:r w:rsidR="00E247F5">
        <w:t>socio</w:t>
      </w:r>
      <w:r w:rsidRPr="00F773E9">
        <w:t>ambientales desde una perspectiva práctica e interdisciplinaria.</w:t>
      </w:r>
    </w:p>
    <w:p w14:paraId="7F6B01CF" w14:textId="61306C21" w:rsidR="00916330" w:rsidRDefault="00916330" w:rsidP="00F773E9">
      <w:pPr>
        <w:pStyle w:val="Prrafodelista"/>
        <w:numPr>
          <w:ilvl w:val="0"/>
          <w:numId w:val="14"/>
        </w:numPr>
      </w:pPr>
      <w:r w:rsidRPr="00F773E9">
        <w:t>Implementar proyectos de extensión enfocados en la gestión de recursos y la promoción de la responsabilidad ambiental en las comunidades.</w:t>
      </w:r>
    </w:p>
    <w:p w14:paraId="1C114E31" w14:textId="6A282E48" w:rsidR="00C075BF" w:rsidRPr="00F773E9" w:rsidRDefault="00C075BF" w:rsidP="00C075BF">
      <w:pPr>
        <w:pStyle w:val="Prrafodelista"/>
        <w:numPr>
          <w:ilvl w:val="0"/>
          <w:numId w:val="14"/>
        </w:numPr>
      </w:pPr>
      <w:r>
        <w:t xml:space="preserve">Articular eficazmente </w:t>
      </w:r>
      <w:r w:rsidR="00A718C3">
        <w:t xml:space="preserve">las funciones misionales del Departamento </w:t>
      </w:r>
      <w:r w:rsidR="003F12ED">
        <w:t>y de éstas con los procesos de soporte y gestión a partir de los enfoques de RAU y Aula Total.</w:t>
      </w:r>
    </w:p>
    <w:p w14:paraId="744C385A" w14:textId="00978C9C" w:rsidR="00916330" w:rsidRPr="00F773E9" w:rsidRDefault="00916330" w:rsidP="00F773E9">
      <w:r w:rsidRPr="00F773E9">
        <w:tab/>
      </w:r>
    </w:p>
    <w:p w14:paraId="2B1AD25A" w14:textId="110FF3FC" w:rsidR="00916330" w:rsidRPr="00F773E9" w:rsidRDefault="00916330" w:rsidP="00F773E9">
      <w:pPr>
        <w:pStyle w:val="Ttulo2"/>
      </w:pPr>
      <w:r w:rsidRPr="00F773E9">
        <w:tab/>
      </w:r>
      <w:r w:rsidR="00E315B2">
        <w:t>C</w:t>
      </w:r>
      <w:r w:rsidR="00B671E8" w:rsidRPr="00F773E9">
        <w:t>omponente de docencia</w:t>
      </w:r>
    </w:p>
    <w:p w14:paraId="218F1604" w14:textId="4DFBE2C1" w:rsidR="00B72EB7" w:rsidRPr="00B72EB7" w:rsidRDefault="00916330" w:rsidP="00B72EB7">
      <w:r w:rsidRPr="00F773E9">
        <w:tab/>
      </w:r>
      <w:r w:rsidR="00B72EB7" w:rsidRPr="00B72EB7">
        <w:t xml:space="preserve">La docencia en el ámbito de la gestión ambiental no </w:t>
      </w:r>
      <w:r w:rsidR="00E44C5A">
        <w:t xml:space="preserve">se </w:t>
      </w:r>
      <w:r w:rsidR="00B72EB7" w:rsidRPr="00B72EB7">
        <w:t xml:space="preserve">limita a la impartición de conocimientos teóricos; es crucial que se integren enfoques prácticos e interdisciplinarios. El </w:t>
      </w:r>
      <w:r w:rsidR="00B72EB7" w:rsidRPr="00B72EB7">
        <w:rPr>
          <w:b/>
          <w:bCs/>
        </w:rPr>
        <w:t>Aprendizaje Basado en Problemas</w:t>
      </w:r>
      <w:r w:rsidR="00063955">
        <w:rPr>
          <w:b/>
          <w:bCs/>
        </w:rPr>
        <w:t xml:space="preserve"> y</w:t>
      </w:r>
      <w:r w:rsidR="00B72EB7" w:rsidRPr="00B72EB7">
        <w:rPr>
          <w:b/>
          <w:bCs/>
        </w:rPr>
        <w:t xml:space="preserve"> Proyectos (ABP)</w:t>
      </w:r>
      <w:r w:rsidR="00B72EB7" w:rsidRPr="00B72EB7">
        <w:t xml:space="preserve"> </w:t>
      </w:r>
      <w:r w:rsidR="00063955">
        <w:t xml:space="preserve">es una </w:t>
      </w:r>
      <w:r w:rsidR="00063955" w:rsidRPr="00B72EB7">
        <w:t>metodología</w:t>
      </w:r>
      <w:r w:rsidR="00B72EB7" w:rsidRPr="00B72EB7">
        <w:t xml:space="preserve"> que permite a los estudiantes enfrentar problemas ambientales reales, promoviendo el pensamiento crítico y el trabajo colaborativo. En este contexto, se propone que los predios externos de la </w:t>
      </w:r>
      <w:r w:rsidR="00B72EB7" w:rsidRPr="00B72EB7">
        <w:rPr>
          <w:b/>
          <w:bCs/>
        </w:rPr>
        <w:t>Sede Bogotá</w:t>
      </w:r>
      <w:r w:rsidR="00B72EB7" w:rsidRPr="00B72EB7">
        <w:t xml:space="preserve">, </w:t>
      </w:r>
      <w:r w:rsidR="006E27E5" w:rsidRPr="00860D7A">
        <w:t xml:space="preserve">así como </w:t>
      </w:r>
      <w:r w:rsidR="00860D7A" w:rsidRPr="00860D7A">
        <w:t>la zona</w:t>
      </w:r>
      <w:r w:rsidR="006E27E5" w:rsidRPr="00860D7A">
        <w:t xml:space="preserve"> suroccidental del campus</w:t>
      </w:r>
      <w:r w:rsidR="00B72EB7" w:rsidRPr="00B72EB7">
        <w:t xml:space="preserve">, se fortalezcan como espacios de enseñanza práctica donde los estudiantes puedan aplicar directamente sus conocimientos en proyectos </w:t>
      </w:r>
      <w:r w:rsidR="00590891">
        <w:t xml:space="preserve">ya existentes como </w:t>
      </w:r>
      <w:r w:rsidR="00554E86">
        <w:t>la escuela</w:t>
      </w:r>
      <w:r w:rsidR="00590891">
        <w:t xml:space="preserve"> para el buen vivir, e</w:t>
      </w:r>
      <w:r w:rsidR="009A021D">
        <w:t>l</w:t>
      </w:r>
      <w:r w:rsidR="00590891">
        <w:t xml:space="preserve"> proyecto M</w:t>
      </w:r>
      <w:r w:rsidR="00554E86" w:rsidRPr="009A021D">
        <w:rPr>
          <w:vertAlign w:val="superscript"/>
        </w:rPr>
        <w:t>2</w:t>
      </w:r>
      <w:r w:rsidR="00554E86">
        <w:t xml:space="preserve"> y el</w:t>
      </w:r>
      <w:r w:rsidR="00590891">
        <w:t xml:space="preserve"> curso de gestión de residuo</w:t>
      </w:r>
      <w:r w:rsidR="00554E86">
        <w:t>s sólidos</w:t>
      </w:r>
      <w:r w:rsidR="00590891">
        <w:t xml:space="preserve"> </w:t>
      </w:r>
      <w:r w:rsidR="00554E86">
        <w:t>urbanos.</w:t>
      </w:r>
    </w:p>
    <w:p w14:paraId="094C6C80" w14:textId="693FB9B3" w:rsidR="00B72EB7" w:rsidRPr="00B72EB7" w:rsidRDefault="00B72EB7" w:rsidP="00B72EB7">
      <w:r w:rsidRPr="00B72EB7">
        <w:t xml:space="preserve">La </w:t>
      </w:r>
      <w:r w:rsidRPr="00B72EB7">
        <w:rPr>
          <w:b/>
          <w:bCs/>
        </w:rPr>
        <w:t>ambientalización del currículo</w:t>
      </w:r>
      <w:r w:rsidRPr="00B72EB7">
        <w:t xml:space="preserve"> es otro aspecto clave en la formación de profesionales comprometidos con el medio ambiente. Esto implica la integración de la </w:t>
      </w:r>
      <w:r w:rsidRPr="00B72EB7">
        <w:rPr>
          <w:b/>
          <w:bCs/>
        </w:rPr>
        <w:t xml:space="preserve">gestión ambiental </w:t>
      </w:r>
      <w:r w:rsidRPr="00B72EB7">
        <w:t>en los programas académicos, mediante cursos específicos o</w:t>
      </w:r>
      <w:r w:rsidR="00050C79">
        <w:t xml:space="preserve"> </w:t>
      </w:r>
      <w:r w:rsidRPr="00B72EB7">
        <w:t xml:space="preserve">módulos ambientales en los programas existentes, particularmente en los posgrados de </w:t>
      </w:r>
      <w:r w:rsidRPr="00B72EB7">
        <w:rPr>
          <w:b/>
          <w:bCs/>
        </w:rPr>
        <w:t>Ingeniería Civil y Agrícola</w:t>
      </w:r>
      <w:r w:rsidRPr="00B72EB7">
        <w:t xml:space="preserve">. En estos programas, se busca no solo el desarrollo de conocimientos técnicos, sino también la capacidad de aplicar dichos conocimientos en la resolución de problemas ambientales complejos, utilizando herramientas como los </w:t>
      </w:r>
      <w:r w:rsidRPr="00B72EB7">
        <w:rPr>
          <w:b/>
          <w:bCs/>
        </w:rPr>
        <w:t>Sistemas de Información Geográfica (SIG)</w:t>
      </w:r>
      <w:r w:rsidRPr="00B72EB7">
        <w:t xml:space="preserve"> para la gestión de recursos naturales y la planificación urbana</w:t>
      </w:r>
      <w:r w:rsidR="00C45E04">
        <w:t xml:space="preserve"> como movilidad y transporte sostenible</w:t>
      </w:r>
      <w:r w:rsidRPr="00B72EB7">
        <w:t>.</w:t>
      </w:r>
    </w:p>
    <w:p w14:paraId="53EB2432" w14:textId="2DB707E2" w:rsidR="00B72EB7" w:rsidRPr="00B72EB7" w:rsidRDefault="00B72EB7" w:rsidP="00B72EB7">
      <w:r w:rsidRPr="00B72EB7">
        <w:t xml:space="preserve">Además, el </w:t>
      </w:r>
      <w:r w:rsidRPr="00B72EB7">
        <w:rPr>
          <w:b/>
          <w:bCs/>
        </w:rPr>
        <w:t>enfoque de</w:t>
      </w:r>
      <w:r w:rsidR="00050C79">
        <w:rPr>
          <w:b/>
          <w:bCs/>
        </w:rPr>
        <w:t xml:space="preserve"> </w:t>
      </w:r>
      <w:r w:rsidRPr="00B72EB7">
        <w:rPr>
          <w:b/>
          <w:bCs/>
        </w:rPr>
        <w:t>RAU</w:t>
      </w:r>
      <w:r w:rsidR="00050C79">
        <w:rPr>
          <w:b/>
          <w:bCs/>
        </w:rPr>
        <w:t xml:space="preserve"> </w:t>
      </w:r>
      <w:r w:rsidRPr="00B72EB7">
        <w:t xml:space="preserve">debe ser transversal, creando ambientes de aprendizaje que exploren la interrelación entre lo social y lo ambiental. Los estudiantes podrán participar en </w:t>
      </w:r>
      <w:r w:rsidRPr="00B72EB7">
        <w:rPr>
          <w:b/>
          <w:bCs/>
        </w:rPr>
        <w:t>laboratorios de sustentabilidad</w:t>
      </w:r>
      <w:r w:rsidRPr="00B72EB7">
        <w:t xml:space="preserve"> donde trabajen en proyectos reales relacionados con la eficiencia energética y la gestión de residuos en el campus universitario, contribuyendo a la implementación de soluciones sostenibles. Estos </w:t>
      </w:r>
      <w:r w:rsidRPr="00B72EB7">
        <w:lastRenderedPageBreak/>
        <w:t xml:space="preserve">espacios de aprendizaje se complementarán con la colaboración directa de la </w:t>
      </w:r>
      <w:r w:rsidRPr="00B72EB7">
        <w:rPr>
          <w:b/>
          <w:bCs/>
        </w:rPr>
        <w:t>Oficina de Gestión Ambiental</w:t>
      </w:r>
      <w:r w:rsidRPr="00B72EB7">
        <w:t xml:space="preserve"> de la sede, lo que permitirá que la docencia esté alineada con las políticas institucionales.</w:t>
      </w:r>
    </w:p>
    <w:p w14:paraId="693D82E3" w14:textId="7ED866C1" w:rsidR="00916330" w:rsidRPr="00F773E9" w:rsidRDefault="00E315B2" w:rsidP="00B72EB7">
      <w:pPr>
        <w:pStyle w:val="Ttulo2"/>
      </w:pPr>
      <w:r>
        <w:t>C</w:t>
      </w:r>
      <w:r w:rsidR="006E46BB" w:rsidRPr="00F773E9">
        <w:t>omponente de Investigación</w:t>
      </w:r>
    </w:p>
    <w:p w14:paraId="060CCF87" w14:textId="4FFAA10F" w:rsidR="00B72EB7" w:rsidRDefault="00B72EB7" w:rsidP="00B72EB7">
      <w:r>
        <w:t>La investigación es fundamental para desarrollar soluciones a los problemas ambientales contemporáneos. Mi propuesta se centra en promover proyectos de investigación interdisciplinarios que aborden temas como la transición energétic</w:t>
      </w:r>
      <w:r w:rsidR="006E6ECA">
        <w:t>, movilidad</w:t>
      </w:r>
      <w:r w:rsidR="00BE2E40">
        <w:t xml:space="preserve"> sostenible</w:t>
      </w:r>
      <w:r w:rsidR="006E6ECA">
        <w:t xml:space="preserve"> y tránsito </w:t>
      </w:r>
      <w:r>
        <w:t>y la economía circular. Estos proyectos buscarán reducir la huella de carbono y maximizar el aprovechamiento de los recursos a través de circuitos cerrados. Además, la creación de un observatorio de acción climática, en colaboración con el Centro de Pensamiento en Estructuración de la Sustentabilidad en la Educación Superior, permitirá monitorear el impacto de las políticas y proyectos ambientales implementados en la universidad y en otras instituciones.</w:t>
      </w:r>
    </w:p>
    <w:p w14:paraId="20003E4A" w14:textId="225D54A8" w:rsidR="00B72EB7" w:rsidRPr="00B72EB7" w:rsidRDefault="007416FF" w:rsidP="00B72EB7">
      <w:r>
        <w:t>Los</w:t>
      </w:r>
      <w:r w:rsidR="000847DD">
        <w:t xml:space="preserve"> predios de la sede servirán</w:t>
      </w:r>
      <w:r w:rsidR="00B72EB7">
        <w:t xml:space="preserve"> como </w:t>
      </w:r>
      <w:r w:rsidR="00B72EB7" w:rsidRPr="001B0F9B">
        <w:rPr>
          <w:b/>
          <w:bCs/>
        </w:rPr>
        <w:t>laboratorio</w:t>
      </w:r>
      <w:r w:rsidR="000847DD" w:rsidRPr="001B0F9B">
        <w:rPr>
          <w:b/>
          <w:bCs/>
        </w:rPr>
        <w:t>s</w:t>
      </w:r>
      <w:r w:rsidR="00B72EB7" w:rsidRPr="001B0F9B">
        <w:rPr>
          <w:b/>
          <w:bCs/>
        </w:rPr>
        <w:t xml:space="preserve"> vivo</w:t>
      </w:r>
      <w:r w:rsidR="000847DD" w:rsidRPr="001B0F9B">
        <w:rPr>
          <w:b/>
          <w:bCs/>
        </w:rPr>
        <w:t>s</w:t>
      </w:r>
      <w:r w:rsidR="00B72EB7">
        <w:t xml:space="preserve"> para proyectos </w:t>
      </w:r>
      <w:r w:rsidR="001B0F9B">
        <w:t>de</w:t>
      </w:r>
      <w:r w:rsidR="00B72EB7">
        <w:t xml:space="preserve"> agroecología, gestión de residuos</w:t>
      </w:r>
      <w:r w:rsidR="00CB1F2B">
        <w:t xml:space="preserve">, </w:t>
      </w:r>
      <w:r w:rsidR="001B0F9B">
        <w:t xml:space="preserve">movilidad </w:t>
      </w:r>
      <w:r w:rsidR="00B72EB7">
        <w:t>y producción de alimento</w:t>
      </w:r>
      <w:r w:rsidR="00DC489F">
        <w:t>s,</w:t>
      </w:r>
      <w:r w:rsidR="00B72EB7">
        <w:t xml:space="preserve"> contribuy</w:t>
      </w:r>
      <w:r w:rsidR="00DC489F">
        <w:t>endo</w:t>
      </w:r>
      <w:r w:rsidR="00B72EB7">
        <w:t xml:space="preserve"> al desarrollo de las comunidades (</w:t>
      </w:r>
      <w:r w:rsidR="00B72EB7" w:rsidRPr="004604DE">
        <w:t>Cortés-Mora, 2018</w:t>
      </w:r>
      <w:r w:rsidR="00213B99">
        <w:t>). La</w:t>
      </w:r>
      <w:r w:rsidR="00B72EB7">
        <w:t xml:space="preserve"> transferencia de conocimiento y tecnología será un eje central, promoviendo alianzas estratégicas con el sector público y privado para facilitar la adopción de tecnologías</w:t>
      </w:r>
      <w:r w:rsidR="00B33FA7">
        <w:t xml:space="preserve"> </w:t>
      </w:r>
      <w:r w:rsidR="00B72EB7" w:rsidRPr="00B72EB7">
        <w:t>(Etzkowitz y Leydesdorff, 2000).</w:t>
      </w:r>
    </w:p>
    <w:p w14:paraId="7A28D2CD" w14:textId="7BC45AB5" w:rsidR="00FD73E5" w:rsidRDefault="00E315B2" w:rsidP="00B72EB7">
      <w:pPr>
        <w:pStyle w:val="Ttulo2"/>
      </w:pPr>
      <w:r>
        <w:t>C</w:t>
      </w:r>
      <w:r w:rsidR="000871BD" w:rsidRPr="00F773E9">
        <w:t>omponente de Extensión</w:t>
      </w:r>
    </w:p>
    <w:p w14:paraId="2C57C99E" w14:textId="4130AC61" w:rsidR="000C12C2" w:rsidRDefault="000C12C2" w:rsidP="000C12C2">
      <w:r>
        <w:t>La extensión universitaria</w:t>
      </w:r>
      <w:r w:rsidR="001452E2">
        <w:t xml:space="preserve"> en todas sus modalidades</w:t>
      </w:r>
      <w:r>
        <w:t xml:space="preserve"> juega un papel clave en la transferencia de conocimientos y tecnologías hacia la sociedad. A través de programas de gestión de residuos y economía circular, los estudiantes podrán participar en proyectos piloto que se implementarán en comunidades locales, fomentando el desarrollo de sistemas de reciclaje y el uso eficiente de los recursos. Estas iniciativas no solo beneficiarán a las comunidades, sino que también ofrecerán a los estudiantes la oportunidad de aplicar sus conocimientos en un contexto práctico.</w:t>
      </w:r>
    </w:p>
    <w:p w14:paraId="1EB39BCD" w14:textId="3EDE8FAF" w:rsidR="00C13228" w:rsidRDefault="000C12C2" w:rsidP="00B72EB7">
      <w:r>
        <w:t>Asimismo, se propone la creación de una unidad de consultoría que ofrezca asesoramiento a pequeñas y medianas empresas (PYMES) sobre cómo implementar prácticas ambientales sostenibles en sus operaciones. Este programa permitirá que los estudiantes participen directamente en la creación de soluciones aplicadas, lo que también contribuirá a su formación integral. Finalmente, la extensión solidaria y el voluntariado ambiental serán mecanismos para involucrar a los estudiantes en proyectos de conservación, restauración de ecosistemas y gestión ambiental, promoviendo la responsabilidad ciudadana y el compromiso con el medio ambiente.</w:t>
      </w:r>
    </w:p>
    <w:p w14:paraId="3197E238" w14:textId="7CEF0D4F" w:rsidR="00FD73E5" w:rsidRDefault="00FD73E5" w:rsidP="00FD73E5">
      <w:pPr>
        <w:pStyle w:val="Ttulo2"/>
      </w:pPr>
      <w:r>
        <w:t>Conclusión</w:t>
      </w:r>
    </w:p>
    <w:p w14:paraId="09CC4923" w14:textId="77777777" w:rsidR="00FD73E5" w:rsidRPr="00FD73E5" w:rsidRDefault="00FD73E5" w:rsidP="00FD73E5">
      <w:r w:rsidRPr="00FD73E5">
        <w:t xml:space="preserve">La gestión ambiental en la universidad no solo es una responsabilidad institucional, sino una oportunidad clave para formar a los futuros líderes que enfrentarán los complejos desafíos del siglo XXI. A través de la integración de la </w:t>
      </w:r>
      <w:r w:rsidRPr="00FD73E5">
        <w:rPr>
          <w:b/>
          <w:bCs/>
        </w:rPr>
        <w:t>sustentabilidad</w:t>
      </w:r>
      <w:r w:rsidRPr="00FD73E5">
        <w:t xml:space="preserve"> en los planes de estudio, la investigación aplicada y la extensión comunitaria, las instituciones de educación superior tienen el potencial de transformar sus campus en laboratorios vivos que promuevan prácticas sostenibles y fomenten un compromiso activo con el entorno.</w:t>
      </w:r>
    </w:p>
    <w:p w14:paraId="7D1E8619" w14:textId="6813F781" w:rsidR="00FD73E5" w:rsidRPr="00FD73E5" w:rsidRDefault="00FD73E5" w:rsidP="00FD73E5">
      <w:r w:rsidRPr="00FD73E5">
        <w:t>El enfoque interdisciplinario, que incorpora herramientas como</w:t>
      </w:r>
      <w:r>
        <w:t xml:space="preserve"> </w:t>
      </w:r>
      <w:r w:rsidRPr="00FD73E5">
        <w:t xml:space="preserve">los </w:t>
      </w:r>
      <w:r w:rsidRPr="00FD73E5">
        <w:rPr>
          <w:b/>
          <w:bCs/>
        </w:rPr>
        <w:t>Sistemas de Gestión Ambiental</w:t>
      </w:r>
      <w:r w:rsidRPr="00FD73E5">
        <w:t xml:space="preserve">, es fundamental para formar profesionales capacitados en la resolución de problemas ambientales complejos. </w:t>
      </w:r>
      <w:r w:rsidR="00234FC1">
        <w:t>El</w:t>
      </w:r>
      <w:r w:rsidRPr="00FD73E5">
        <w:t xml:space="preserve"> </w:t>
      </w:r>
      <w:r w:rsidRPr="00FD73E5">
        <w:rPr>
          <w:b/>
          <w:bCs/>
        </w:rPr>
        <w:t>Centro Agropecuario Marengo</w:t>
      </w:r>
      <w:r w:rsidRPr="00FD73E5">
        <w:t xml:space="preserve"> y el</w:t>
      </w:r>
      <w:r w:rsidR="00234FC1">
        <w:t xml:space="preserve"> </w:t>
      </w:r>
      <w:r w:rsidRPr="00FD73E5">
        <w:rPr>
          <w:b/>
          <w:bCs/>
        </w:rPr>
        <w:t>Aula Total</w:t>
      </w:r>
      <w:r w:rsidRPr="00FD73E5">
        <w:t xml:space="preserve"> consolidan </w:t>
      </w:r>
      <w:r w:rsidR="00234FC1">
        <w:t xml:space="preserve">la Sede </w:t>
      </w:r>
      <w:r w:rsidRPr="00FD73E5">
        <w:t>como un espacio para la experimentación y la docencia práctica, reforzando la conexión entre la academia y las comunidades.</w:t>
      </w:r>
    </w:p>
    <w:p w14:paraId="29996FFD" w14:textId="6DF02015" w:rsidR="00881F16" w:rsidRPr="00F773E9" w:rsidRDefault="00FD73E5" w:rsidP="00F773E9">
      <w:r w:rsidRPr="00FD73E5">
        <w:t xml:space="preserve">Finalmente, mediante la creación de alianzas estratégicas y la participación en proyectos de </w:t>
      </w:r>
      <w:r w:rsidRPr="00FD73E5">
        <w:rPr>
          <w:b/>
          <w:bCs/>
        </w:rPr>
        <w:t>economía circular</w:t>
      </w:r>
      <w:r w:rsidRPr="00FD73E5">
        <w:t xml:space="preserve"> y </w:t>
      </w:r>
      <w:r w:rsidRPr="00FD73E5">
        <w:rPr>
          <w:b/>
          <w:bCs/>
        </w:rPr>
        <w:t>voluntariado ambiental</w:t>
      </w:r>
      <w:r w:rsidRPr="00FD73E5">
        <w:t xml:space="preserve">, la universidad puede ampliar su impacto y contribuir significativamente al desarrollo </w:t>
      </w:r>
      <w:r w:rsidRPr="00FD73E5">
        <w:lastRenderedPageBreak/>
        <w:t xml:space="preserve">sostenible de las comunidades. Este compromiso con la </w:t>
      </w:r>
      <w:r w:rsidR="00B34A93">
        <w:t>sustentabilidad</w:t>
      </w:r>
      <w:r w:rsidRPr="00FD73E5">
        <w:t xml:space="preserve"> no solo enriquecerá la experiencia educativa de los estudiantes, sino que también consolidará a la universidad como un modelo de responsabilidad ambiental y social.</w:t>
      </w:r>
      <w:r w:rsidR="00881F16" w:rsidRPr="00F773E9">
        <w:br w:type="page"/>
      </w:r>
    </w:p>
    <w:p w14:paraId="61DD7EE9" w14:textId="14364365" w:rsidR="00881F16" w:rsidRPr="00FD73E5" w:rsidRDefault="00881F16" w:rsidP="00FD73E5">
      <w:pPr>
        <w:pStyle w:val="Ttulo2"/>
      </w:pPr>
      <w:r w:rsidRPr="00FD73E5">
        <w:lastRenderedPageBreak/>
        <w:t>Bibliografía</w:t>
      </w:r>
    </w:p>
    <w:p w14:paraId="49A84EC9" w14:textId="77777777" w:rsidR="00881F16" w:rsidRPr="00F773E9" w:rsidRDefault="00881F16" w:rsidP="00F773E9">
      <w:pPr>
        <w:pStyle w:val="Prrafodelista"/>
      </w:pPr>
    </w:p>
    <w:p w14:paraId="1F981A0C" w14:textId="66E3A6C8" w:rsidR="00815897" w:rsidRDefault="00815897" w:rsidP="00F773E9">
      <w:pPr>
        <w:pStyle w:val="Prrafodelista"/>
        <w:numPr>
          <w:ilvl w:val="1"/>
          <w:numId w:val="13"/>
        </w:numPr>
        <w:rPr>
          <w:lang w:val="en-US"/>
        </w:rPr>
      </w:pPr>
      <w:r w:rsidRPr="00815897">
        <w:t xml:space="preserve">AASHE. (2024). </w:t>
      </w:r>
      <w:r w:rsidRPr="00815897">
        <w:rPr>
          <w:i/>
          <w:iCs/>
        </w:rPr>
        <w:t>2024 Sustainable Campus Index</w:t>
      </w:r>
      <w:r w:rsidRPr="00815897">
        <w:t>.</w:t>
      </w:r>
    </w:p>
    <w:p w14:paraId="6755BB1B" w14:textId="6F72BBB6" w:rsidR="00881F16" w:rsidRPr="00F773E9" w:rsidRDefault="00881F16" w:rsidP="00F773E9">
      <w:pPr>
        <w:pStyle w:val="Prrafodelista"/>
        <w:numPr>
          <w:ilvl w:val="1"/>
          <w:numId w:val="13"/>
        </w:numPr>
        <w:rPr>
          <w:lang w:val="en-US"/>
        </w:rPr>
      </w:pPr>
      <w:r w:rsidRPr="00F773E9">
        <w:rPr>
          <w:lang w:val="en-US"/>
        </w:rPr>
        <w:t>Barber, J. P. (2012). Integration of learning: A grounded theory analysis of college students’ learning. American Educational Research Journal, 49(3), 590–617. https://doi.org/10.3102/0002831212437854</w:t>
      </w:r>
    </w:p>
    <w:p w14:paraId="5EF7EEF2" w14:textId="0333CFCE" w:rsidR="00881F16" w:rsidRPr="00F773E9" w:rsidRDefault="00881F16" w:rsidP="00F773E9">
      <w:pPr>
        <w:pStyle w:val="Prrafodelista"/>
        <w:numPr>
          <w:ilvl w:val="1"/>
          <w:numId w:val="13"/>
        </w:numPr>
        <w:rPr>
          <w:lang w:val="en-US"/>
        </w:rPr>
      </w:pPr>
      <w:r w:rsidRPr="00F773E9">
        <w:rPr>
          <w:lang w:val="en-US"/>
        </w:rPr>
        <w:t>Budwig, N., &amp; Alexander, A. J. (2020). A transdisciplinary approach to student learning and development in university settings. Frontiers in Psychology, 11, 1–13. https://doi.org/10.3389/fpsyg.2020.576250</w:t>
      </w:r>
    </w:p>
    <w:p w14:paraId="6896A895" w14:textId="256CE780" w:rsidR="00881F16" w:rsidRPr="00F773E9" w:rsidRDefault="00881F16" w:rsidP="00F773E9">
      <w:pPr>
        <w:pStyle w:val="Prrafodelista"/>
        <w:numPr>
          <w:ilvl w:val="1"/>
          <w:numId w:val="13"/>
        </w:numPr>
        <w:rPr>
          <w:lang w:val="en-US"/>
        </w:rPr>
      </w:pPr>
      <w:r w:rsidRPr="00F773E9">
        <w:rPr>
          <w:lang w:val="en-US"/>
        </w:rPr>
        <w:t>Budwig, N., &amp; Jessen-Marshall, A. (2018). Making the case for capstone and signature work. Peer Review, 20(2), 4+. https://link.gale.com/apps/doc/A547869395/AONE?u=anon~c262b3e4&amp;sid=googleScholar&amp;xid=a2baf727</w:t>
      </w:r>
    </w:p>
    <w:p w14:paraId="76CE40D4" w14:textId="1F2325B4" w:rsidR="00881F16" w:rsidRPr="00F773E9" w:rsidRDefault="00881F16" w:rsidP="00F773E9">
      <w:pPr>
        <w:pStyle w:val="Prrafodelista"/>
        <w:numPr>
          <w:ilvl w:val="1"/>
          <w:numId w:val="13"/>
        </w:numPr>
        <w:rPr>
          <w:lang w:val="en-US"/>
        </w:rPr>
      </w:pPr>
      <w:r w:rsidRPr="00F773E9">
        <w:t xml:space="preserve">Cortés-Mora, H., &amp; Peña-Reyes, J. (2015). De la sostenibilidad a la sustentabilidad. Modelo de Desarrollo Sustentable para su implementación en políticas y proyectos. </w:t>
      </w:r>
      <w:proofErr w:type="spellStart"/>
      <w:r w:rsidRPr="00F773E9">
        <w:rPr>
          <w:lang w:val="en-US"/>
        </w:rPr>
        <w:t>Revista</w:t>
      </w:r>
      <w:proofErr w:type="spellEnd"/>
      <w:r w:rsidRPr="00F773E9">
        <w:rPr>
          <w:lang w:val="en-US"/>
        </w:rPr>
        <w:t xml:space="preserve"> EAN, 78.</w:t>
      </w:r>
    </w:p>
    <w:p w14:paraId="12389119" w14:textId="77777777" w:rsidR="00942311" w:rsidRPr="00F773E9" w:rsidRDefault="00942311" w:rsidP="00942311">
      <w:pPr>
        <w:pStyle w:val="Prrafodelista"/>
        <w:numPr>
          <w:ilvl w:val="1"/>
          <w:numId w:val="13"/>
        </w:numPr>
        <w:rPr>
          <w:lang w:val="en-US"/>
        </w:rPr>
      </w:pPr>
      <w:r w:rsidRPr="00D069ED">
        <w:rPr>
          <w:lang w:val="es-ES"/>
        </w:rPr>
        <w:t>Cort</w:t>
      </w:r>
      <w:r w:rsidRPr="00D069ED">
        <w:rPr>
          <w:rFonts w:hint="eastAsia"/>
          <w:lang w:val="es-ES"/>
        </w:rPr>
        <w:t>é</w:t>
      </w:r>
      <w:r w:rsidRPr="00D069ED">
        <w:rPr>
          <w:lang w:val="es-ES"/>
        </w:rPr>
        <w:t>s-Mora, H., 2018. Estructuraci</w:t>
      </w:r>
      <w:r w:rsidRPr="00D069ED">
        <w:rPr>
          <w:rFonts w:hint="eastAsia"/>
          <w:lang w:val="es-ES"/>
        </w:rPr>
        <w:t>ó</w:t>
      </w:r>
      <w:r w:rsidRPr="00D069ED">
        <w:rPr>
          <w:lang w:val="es-ES"/>
        </w:rPr>
        <w:t>n de la sustentabilidad en la facultad de ingenier</w:t>
      </w:r>
      <w:r w:rsidRPr="00D069ED">
        <w:rPr>
          <w:rFonts w:hint="eastAsia"/>
          <w:lang w:val="es-ES"/>
        </w:rPr>
        <w:t>í</w:t>
      </w:r>
      <w:r w:rsidRPr="00D069ED">
        <w:rPr>
          <w:lang w:val="es-ES"/>
        </w:rPr>
        <w:t>a de la Universidad Nacional de Colombia.Tesis de doctorado. Universidad Nacional de Colombia, Bogot</w:t>
      </w:r>
      <w:r w:rsidRPr="00D069ED">
        <w:rPr>
          <w:rFonts w:hint="eastAsia"/>
          <w:lang w:val="es-ES"/>
        </w:rPr>
        <w:t>á</w:t>
      </w:r>
      <w:r w:rsidRPr="00D069ED">
        <w:rPr>
          <w:lang w:val="es-ES"/>
        </w:rPr>
        <w:t>, DC.</w:t>
      </w:r>
      <w:r>
        <w:rPr>
          <w:lang w:val="es-ES"/>
        </w:rPr>
        <w:t xml:space="preserve"> </w:t>
      </w:r>
    </w:p>
    <w:p w14:paraId="619A0A03" w14:textId="06AC74EB" w:rsidR="00881F16" w:rsidRDefault="00881F16" w:rsidP="00F773E9">
      <w:pPr>
        <w:pStyle w:val="Prrafodelista"/>
        <w:numPr>
          <w:ilvl w:val="1"/>
          <w:numId w:val="13"/>
        </w:numPr>
      </w:pPr>
      <w:proofErr w:type="spellStart"/>
      <w:r w:rsidRPr="00F773E9">
        <w:rPr>
          <w:lang w:val="en-US"/>
        </w:rPr>
        <w:t>Etzkowitz</w:t>
      </w:r>
      <w:proofErr w:type="spellEnd"/>
      <w:r w:rsidRPr="00F773E9">
        <w:rPr>
          <w:lang w:val="en-US"/>
        </w:rPr>
        <w:t xml:space="preserve">, H., &amp; </w:t>
      </w:r>
      <w:proofErr w:type="spellStart"/>
      <w:r w:rsidRPr="00F773E9">
        <w:rPr>
          <w:lang w:val="en-US"/>
        </w:rPr>
        <w:t>Leydesdorff</w:t>
      </w:r>
      <w:proofErr w:type="spellEnd"/>
      <w:r w:rsidRPr="00F773E9">
        <w:rPr>
          <w:lang w:val="en-US"/>
        </w:rPr>
        <w:t xml:space="preserve">, L. (2000). The dynamics of innovation: From National Systems and “Mode 2” to a Triple Helix of university–industry–government relations. </w:t>
      </w:r>
      <w:r w:rsidRPr="00F773E9">
        <w:t xml:space="preserve">Research Policy, 29(2), 109-123. </w:t>
      </w:r>
      <w:hyperlink r:id="rId8" w:history="1">
        <w:r w:rsidR="004765A1" w:rsidRPr="00583C2E">
          <w:rPr>
            <w:rStyle w:val="Hipervnculo"/>
          </w:rPr>
          <w:t>https://doi.org/10.1016/S0048-7333(99)00055-4</w:t>
        </w:r>
      </w:hyperlink>
      <w:r w:rsidRPr="00F773E9">
        <w:t>.</w:t>
      </w:r>
    </w:p>
    <w:p w14:paraId="6086697F" w14:textId="446F09A0" w:rsidR="004765A1" w:rsidRPr="004765A1" w:rsidRDefault="004765A1" w:rsidP="00F773E9">
      <w:pPr>
        <w:pStyle w:val="Prrafodelista"/>
        <w:numPr>
          <w:ilvl w:val="1"/>
          <w:numId w:val="13"/>
        </w:numPr>
        <w:rPr>
          <w:lang w:val="en-US"/>
        </w:rPr>
      </w:pPr>
      <w:r w:rsidRPr="004765A1">
        <w:rPr>
          <w:lang w:val="en-US"/>
        </w:rPr>
        <w:t>Frontiers Research Topic (2024). Policies and Practices for Sustainability Transformation in Higher Education Institutions.</w:t>
      </w:r>
    </w:p>
    <w:p w14:paraId="6D7EFED0" w14:textId="22767EF5" w:rsidR="00881F16" w:rsidRPr="00F773E9" w:rsidRDefault="00881F16" w:rsidP="00F773E9">
      <w:pPr>
        <w:pStyle w:val="Prrafodelista"/>
        <w:numPr>
          <w:ilvl w:val="1"/>
          <w:numId w:val="13"/>
        </w:numPr>
        <w:rPr>
          <w:lang w:val="en-US"/>
        </w:rPr>
      </w:pPr>
      <w:r w:rsidRPr="00ED64FB">
        <w:t xml:space="preserve">Giddens, A. (1984). Bases para la teoría de la estructuración. </w:t>
      </w:r>
      <w:r w:rsidRPr="00F773E9">
        <w:rPr>
          <w:lang w:val="en-US"/>
        </w:rPr>
        <w:t>Oxford University Press.</w:t>
      </w:r>
    </w:p>
    <w:p w14:paraId="3C0256B7" w14:textId="7314F3F4" w:rsidR="00881F16" w:rsidRPr="00F773E9" w:rsidRDefault="00881F16" w:rsidP="00F773E9">
      <w:pPr>
        <w:pStyle w:val="Prrafodelista"/>
        <w:numPr>
          <w:ilvl w:val="1"/>
          <w:numId w:val="13"/>
        </w:numPr>
        <w:rPr>
          <w:lang w:val="en-US"/>
        </w:rPr>
      </w:pPr>
      <w:r w:rsidRPr="00F773E9">
        <w:rPr>
          <w:lang w:val="en-US"/>
        </w:rPr>
        <w:t>Huber, M. T., Hutchings, P., &amp; Gale, R. (2005). Integrative learning for liberal education. Peer Review, 7(4), 4-7.</w:t>
      </w:r>
    </w:p>
    <w:p w14:paraId="40C58C90" w14:textId="2B7A3846" w:rsidR="00881F16" w:rsidRPr="00F773E9" w:rsidRDefault="00881F16" w:rsidP="00F773E9">
      <w:pPr>
        <w:pStyle w:val="Prrafodelista"/>
        <w:numPr>
          <w:ilvl w:val="1"/>
          <w:numId w:val="13"/>
        </w:numPr>
        <w:rPr>
          <w:lang w:val="en-US"/>
        </w:rPr>
      </w:pPr>
      <w:r w:rsidRPr="00F773E9">
        <w:rPr>
          <w:lang w:val="en-US"/>
        </w:rPr>
        <w:t>Jacobs, J. A. (2014). In defense of disciplines: Interdisciplinarity and specialization in the research university. University of Chicago Press.</w:t>
      </w:r>
    </w:p>
    <w:p w14:paraId="75AE413B" w14:textId="569415FA" w:rsidR="00881F16" w:rsidRPr="00F773E9" w:rsidRDefault="00881F16" w:rsidP="00F773E9">
      <w:pPr>
        <w:pStyle w:val="Prrafodelista"/>
        <w:numPr>
          <w:ilvl w:val="1"/>
          <w:numId w:val="13"/>
        </w:numPr>
        <w:rPr>
          <w:lang w:val="en-US"/>
        </w:rPr>
      </w:pPr>
      <w:r w:rsidRPr="00F773E9">
        <w:rPr>
          <w:lang w:val="en-US"/>
        </w:rPr>
        <w:t>Kamp, A. (2016). Engineering education in a rapidly changing world: Rethinking the vision for higher engineering education (2nd rev. ed.). Delft: 4TU.Centre for Engineering Education. https://pure.tudelft.nl/ws/files/10113369/Vision_eng</w:t>
      </w:r>
    </w:p>
    <w:p w14:paraId="39097B3B" w14:textId="061FB7E5" w:rsidR="00881F16" w:rsidRPr="00F773E9" w:rsidRDefault="00881F16" w:rsidP="00F773E9">
      <w:pPr>
        <w:pStyle w:val="Prrafodelista"/>
        <w:numPr>
          <w:ilvl w:val="1"/>
          <w:numId w:val="13"/>
        </w:numPr>
        <w:rPr>
          <w:lang w:val="en-US"/>
        </w:rPr>
      </w:pPr>
      <w:r w:rsidRPr="00ED64FB">
        <w:t xml:space="preserve">Leff, E. (2000). La construcción de un pensamiento ambiental latinoamericano: Aportes a la constitución de un campo disciplinario y a la sustentabilidad. </w:t>
      </w:r>
      <w:proofErr w:type="spellStart"/>
      <w:r w:rsidRPr="00F773E9">
        <w:rPr>
          <w:lang w:val="en-US"/>
        </w:rPr>
        <w:t>Revista</w:t>
      </w:r>
      <w:proofErr w:type="spellEnd"/>
      <w:r w:rsidRPr="00F773E9">
        <w:rPr>
          <w:lang w:val="en-US"/>
        </w:rPr>
        <w:t xml:space="preserve"> Venezolana de Economía y Ciencias Sociales, 6(1), 91-104.</w:t>
      </w:r>
    </w:p>
    <w:p w14:paraId="3BC95795" w14:textId="5B9437BF" w:rsidR="00881F16" w:rsidRPr="00F773E9" w:rsidRDefault="00881F16" w:rsidP="00F773E9">
      <w:pPr>
        <w:pStyle w:val="Prrafodelista"/>
        <w:numPr>
          <w:ilvl w:val="1"/>
          <w:numId w:val="13"/>
        </w:numPr>
        <w:rPr>
          <w:lang w:val="en-US"/>
        </w:rPr>
      </w:pPr>
      <w:r w:rsidRPr="00ED64FB">
        <w:t xml:space="preserve">Leff, E. (2011). Saber ambiental: Sustentabilidad, racionalidad, complejidad, poder (2ª ed.). </w:t>
      </w:r>
      <w:proofErr w:type="spellStart"/>
      <w:r w:rsidRPr="00F773E9">
        <w:rPr>
          <w:lang w:val="en-US"/>
        </w:rPr>
        <w:t>Siglo</w:t>
      </w:r>
      <w:proofErr w:type="spellEnd"/>
      <w:r w:rsidRPr="00F773E9">
        <w:rPr>
          <w:lang w:val="en-US"/>
        </w:rPr>
        <w:t xml:space="preserve"> XXI </w:t>
      </w:r>
      <w:proofErr w:type="spellStart"/>
      <w:r w:rsidRPr="00F773E9">
        <w:rPr>
          <w:lang w:val="en-US"/>
        </w:rPr>
        <w:t>Editores</w:t>
      </w:r>
      <w:proofErr w:type="spellEnd"/>
      <w:r w:rsidRPr="00F773E9">
        <w:rPr>
          <w:lang w:val="en-US"/>
        </w:rPr>
        <w:t>.</w:t>
      </w:r>
    </w:p>
    <w:p w14:paraId="3631BE1B" w14:textId="7138F5FE" w:rsidR="00881F16" w:rsidRPr="00F773E9" w:rsidRDefault="00881F16" w:rsidP="00F773E9">
      <w:pPr>
        <w:pStyle w:val="Prrafodelista"/>
        <w:numPr>
          <w:ilvl w:val="1"/>
          <w:numId w:val="13"/>
        </w:numPr>
        <w:rPr>
          <w:lang w:val="en-US"/>
        </w:rPr>
      </w:pPr>
      <w:r w:rsidRPr="00ED64FB">
        <w:t xml:space="preserve">Morin, E. (2011). La Vía: Para el futuro de la humanidad. </w:t>
      </w:r>
      <w:proofErr w:type="spellStart"/>
      <w:r w:rsidRPr="00F773E9">
        <w:rPr>
          <w:lang w:val="en-US"/>
        </w:rPr>
        <w:t>Paidós</w:t>
      </w:r>
      <w:proofErr w:type="spellEnd"/>
      <w:r w:rsidRPr="00F773E9">
        <w:rPr>
          <w:lang w:val="en-US"/>
        </w:rPr>
        <w:t>.</w:t>
      </w:r>
    </w:p>
    <w:p w14:paraId="2D56D685" w14:textId="668BA57C" w:rsidR="00881F16" w:rsidRPr="00ED64FB" w:rsidRDefault="00881F16" w:rsidP="00F773E9">
      <w:pPr>
        <w:pStyle w:val="Prrafodelista"/>
        <w:numPr>
          <w:ilvl w:val="1"/>
          <w:numId w:val="13"/>
        </w:numPr>
      </w:pPr>
      <w:r w:rsidRPr="00ED64FB">
        <w:t>Peña-Reyes, R. (2011). Globalización, desarrollo y occidentalización: La trilogía de la crisis. Revista del Instituto de Investigaciones de la Facultad de Psicología de la Universidad de Buenos Aires, 16(1), 113-128.</w:t>
      </w:r>
    </w:p>
    <w:p w14:paraId="77707572" w14:textId="722D5456" w:rsidR="00881F16" w:rsidRPr="00F773E9" w:rsidRDefault="00881F16" w:rsidP="00F773E9">
      <w:pPr>
        <w:pStyle w:val="Prrafodelista"/>
        <w:numPr>
          <w:ilvl w:val="1"/>
          <w:numId w:val="13"/>
        </w:numPr>
        <w:rPr>
          <w:lang w:val="en-US"/>
        </w:rPr>
      </w:pPr>
      <w:r w:rsidRPr="00ED64FB">
        <w:t xml:space="preserve">Romero, R. (2013). El poder del hombre sobre la naturaleza y sus consecuencias ambientales. </w:t>
      </w:r>
      <w:r w:rsidRPr="00F773E9">
        <w:rPr>
          <w:lang w:val="en-US"/>
        </w:rPr>
        <w:t>Editorial Universitaria.</w:t>
      </w:r>
    </w:p>
    <w:p w14:paraId="30567B0B" w14:textId="2F135692" w:rsidR="00881F16" w:rsidRDefault="00881F16" w:rsidP="00F773E9">
      <w:pPr>
        <w:pStyle w:val="Prrafodelista"/>
        <w:numPr>
          <w:ilvl w:val="1"/>
          <w:numId w:val="13"/>
        </w:numPr>
        <w:rPr>
          <w:lang w:val="en-US"/>
        </w:rPr>
      </w:pPr>
      <w:r w:rsidRPr="00F773E9">
        <w:rPr>
          <w:lang w:val="en-US"/>
        </w:rPr>
        <w:t xml:space="preserve">Standing Rock Sioux Tribe. (2016). The Standing Rock Sioux Tribe’s Statement on the Dakota Access Pipeline. </w:t>
      </w:r>
      <w:hyperlink r:id="rId9" w:history="1">
        <w:r w:rsidR="004765A1" w:rsidRPr="00583C2E">
          <w:rPr>
            <w:rStyle w:val="Hipervnculo"/>
            <w:lang w:val="en-US"/>
          </w:rPr>
          <w:t>https://www.standingrock.org</w:t>
        </w:r>
      </w:hyperlink>
    </w:p>
    <w:p w14:paraId="6DA74708" w14:textId="77777777" w:rsidR="00CB6060" w:rsidRDefault="004765A1" w:rsidP="00927AB4">
      <w:pPr>
        <w:pStyle w:val="Prrafodelista"/>
        <w:numPr>
          <w:ilvl w:val="1"/>
          <w:numId w:val="13"/>
        </w:numPr>
        <w:rPr>
          <w:lang w:val="en-US"/>
        </w:rPr>
      </w:pPr>
      <w:r w:rsidRPr="00CB6060">
        <w:rPr>
          <w:lang w:val="en-US"/>
        </w:rPr>
        <w:lastRenderedPageBreak/>
        <w:t>Sustainable Earth Reviews (2023). Reframing sustainability initiatives in higher education: An ethics-driven and interdisciplinary approach.</w:t>
      </w:r>
    </w:p>
    <w:p w14:paraId="175D1A3C" w14:textId="70692BE1" w:rsidR="00CB6060" w:rsidRDefault="00CB6060" w:rsidP="00927AB4">
      <w:pPr>
        <w:pStyle w:val="Prrafodelista"/>
        <w:numPr>
          <w:ilvl w:val="1"/>
          <w:numId w:val="13"/>
        </w:numPr>
        <w:rPr>
          <w:lang w:val="en-US"/>
        </w:rPr>
      </w:pPr>
      <w:r w:rsidRPr="00CB6060">
        <w:rPr>
          <w:lang w:val="en-US"/>
        </w:rPr>
        <w:t xml:space="preserve">UNESCO. (2023). </w:t>
      </w:r>
      <w:r w:rsidRPr="00CB6060">
        <w:rPr>
          <w:i/>
          <w:iCs/>
          <w:lang w:val="en-US"/>
        </w:rPr>
        <w:t>New report calls for higher education institutions to embrace the 2030 Agenda</w:t>
      </w:r>
      <w:r w:rsidRPr="00CB6060">
        <w:rPr>
          <w:lang w:val="en-US"/>
        </w:rPr>
        <w:t>.</w:t>
      </w:r>
    </w:p>
    <w:p w14:paraId="00BB2CBE" w14:textId="455CE229" w:rsidR="00881F16" w:rsidRPr="00CB6060" w:rsidRDefault="00881F16" w:rsidP="00927AB4">
      <w:pPr>
        <w:pStyle w:val="Prrafodelista"/>
        <w:numPr>
          <w:ilvl w:val="1"/>
          <w:numId w:val="13"/>
        </w:numPr>
        <w:rPr>
          <w:lang w:val="en-US"/>
        </w:rPr>
      </w:pPr>
      <w:r w:rsidRPr="00ED64FB">
        <w:t xml:space="preserve">Vallaeys, F. (2006). La responsabilidad social universitaria: Un nuevo modelo universitario contra la mercantilización. </w:t>
      </w:r>
      <w:proofErr w:type="spellStart"/>
      <w:r w:rsidRPr="00CB6060">
        <w:rPr>
          <w:lang w:val="en-US"/>
        </w:rPr>
        <w:t>Revista</w:t>
      </w:r>
      <w:proofErr w:type="spellEnd"/>
      <w:r w:rsidRPr="00CB6060">
        <w:rPr>
          <w:lang w:val="en-US"/>
        </w:rPr>
        <w:t xml:space="preserve"> </w:t>
      </w:r>
      <w:proofErr w:type="spellStart"/>
      <w:r w:rsidRPr="00CB6060">
        <w:rPr>
          <w:lang w:val="en-US"/>
        </w:rPr>
        <w:t>Iberoamericana</w:t>
      </w:r>
      <w:proofErr w:type="spellEnd"/>
      <w:r w:rsidRPr="00CB6060">
        <w:rPr>
          <w:lang w:val="en-US"/>
        </w:rPr>
        <w:t xml:space="preserve"> de </w:t>
      </w:r>
      <w:proofErr w:type="spellStart"/>
      <w:r w:rsidRPr="00CB6060">
        <w:rPr>
          <w:lang w:val="en-US"/>
        </w:rPr>
        <w:t>Educación</w:t>
      </w:r>
      <w:proofErr w:type="spellEnd"/>
      <w:r w:rsidRPr="00CB6060">
        <w:rPr>
          <w:lang w:val="en-US"/>
        </w:rPr>
        <w:t>, 41(1), 1-13.</w:t>
      </w:r>
    </w:p>
    <w:p w14:paraId="27B01D09" w14:textId="7E3AA854" w:rsidR="00881F16" w:rsidRPr="00F773E9" w:rsidRDefault="00881F16" w:rsidP="00F773E9">
      <w:pPr>
        <w:pStyle w:val="Prrafodelista"/>
        <w:numPr>
          <w:ilvl w:val="1"/>
          <w:numId w:val="13"/>
        </w:numPr>
        <w:rPr>
          <w:lang w:val="en-US"/>
        </w:rPr>
      </w:pPr>
      <w:r w:rsidRPr="00ED64FB">
        <w:t xml:space="preserve">Vallaeys, F. (2009). Responsabilidad Social Universitaria: Propuesta para una definición madura y eficaz. </w:t>
      </w:r>
      <w:proofErr w:type="spellStart"/>
      <w:r w:rsidRPr="00F773E9">
        <w:rPr>
          <w:lang w:val="en-US"/>
        </w:rPr>
        <w:t>Revista</w:t>
      </w:r>
      <w:proofErr w:type="spellEnd"/>
      <w:r w:rsidRPr="00F773E9">
        <w:rPr>
          <w:lang w:val="en-US"/>
        </w:rPr>
        <w:t xml:space="preserve"> Mexicana de </w:t>
      </w:r>
      <w:proofErr w:type="spellStart"/>
      <w:r w:rsidRPr="00F773E9">
        <w:rPr>
          <w:lang w:val="en-US"/>
        </w:rPr>
        <w:t>Investigación</w:t>
      </w:r>
      <w:proofErr w:type="spellEnd"/>
      <w:r w:rsidRPr="00F773E9">
        <w:rPr>
          <w:lang w:val="en-US"/>
        </w:rPr>
        <w:t xml:space="preserve"> Educativa, 14(40), 39-66.</w:t>
      </w:r>
    </w:p>
    <w:p w14:paraId="74D5424E" w14:textId="3FA1E185" w:rsidR="00881F16" w:rsidRDefault="00881F16" w:rsidP="00F773E9">
      <w:pPr>
        <w:pStyle w:val="Prrafodelista"/>
        <w:numPr>
          <w:ilvl w:val="1"/>
          <w:numId w:val="13"/>
        </w:numPr>
        <w:rPr>
          <w:lang w:val="en-US"/>
        </w:rPr>
      </w:pPr>
      <w:r w:rsidRPr="00ED64FB">
        <w:t xml:space="preserve">Vives, A. (2011). La responsabilidad social empresarial: Un nuevo paradigma de comportamiento. </w:t>
      </w:r>
      <w:proofErr w:type="spellStart"/>
      <w:r w:rsidRPr="00F773E9">
        <w:rPr>
          <w:lang w:val="en-US"/>
        </w:rPr>
        <w:t>Revista</w:t>
      </w:r>
      <w:proofErr w:type="spellEnd"/>
      <w:r w:rsidRPr="00F773E9">
        <w:rPr>
          <w:lang w:val="en-US"/>
        </w:rPr>
        <w:t xml:space="preserve"> de </w:t>
      </w:r>
      <w:proofErr w:type="spellStart"/>
      <w:r w:rsidRPr="00F773E9">
        <w:rPr>
          <w:lang w:val="en-US"/>
        </w:rPr>
        <w:t>Responsabilidad</w:t>
      </w:r>
      <w:proofErr w:type="spellEnd"/>
      <w:r w:rsidRPr="00F773E9">
        <w:rPr>
          <w:lang w:val="en-US"/>
        </w:rPr>
        <w:t xml:space="preserve"> Social de la </w:t>
      </w:r>
      <w:proofErr w:type="spellStart"/>
      <w:r w:rsidRPr="00F773E9">
        <w:rPr>
          <w:lang w:val="en-US"/>
        </w:rPr>
        <w:t>Empresa</w:t>
      </w:r>
      <w:proofErr w:type="spellEnd"/>
      <w:r w:rsidRPr="00F773E9">
        <w:rPr>
          <w:lang w:val="en-US"/>
        </w:rPr>
        <w:t>, 4(2), 55-72.</w:t>
      </w:r>
    </w:p>
    <w:p w14:paraId="77E41C0C" w14:textId="4CB5723B" w:rsidR="0051270F" w:rsidRPr="00D069ED" w:rsidRDefault="0051270F" w:rsidP="00F773E9">
      <w:pPr>
        <w:pStyle w:val="Prrafodelista"/>
        <w:numPr>
          <w:ilvl w:val="1"/>
          <w:numId w:val="13"/>
        </w:numPr>
        <w:rPr>
          <w:lang w:val="en-US"/>
        </w:rPr>
      </w:pPr>
      <w:r w:rsidRPr="0051270F">
        <w:t xml:space="preserve">Zanellato, F., &amp; Tiron-Tudor, A. (2023). </w:t>
      </w:r>
      <w:r w:rsidRPr="0051270F">
        <w:rPr>
          <w:lang w:val="en-US"/>
        </w:rPr>
        <w:t xml:space="preserve">Towards more sustainable higher education institutions: Implementing the sustainable development goals. </w:t>
      </w:r>
      <w:r w:rsidRPr="0051270F">
        <w:rPr>
          <w:i/>
          <w:iCs/>
        </w:rPr>
        <w:t>Education and Information Technologies</w:t>
      </w:r>
      <w:r w:rsidRPr="0051270F">
        <w:t>.</w:t>
      </w:r>
    </w:p>
    <w:p w14:paraId="06CBE7EA" w14:textId="77777777" w:rsidR="00942311" w:rsidRPr="00F773E9" w:rsidRDefault="00942311" w:rsidP="009956C8">
      <w:pPr>
        <w:pStyle w:val="Prrafodelista"/>
        <w:ind w:left="1440"/>
        <w:rPr>
          <w:lang w:val="en-US"/>
        </w:rPr>
      </w:pPr>
    </w:p>
    <w:sectPr w:rsidR="00942311" w:rsidRPr="00F773E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274299" w14:textId="77777777" w:rsidR="00A36366" w:rsidRDefault="00A36366" w:rsidP="00952FD9">
      <w:pPr>
        <w:spacing w:after="0" w:line="240" w:lineRule="auto"/>
      </w:pPr>
      <w:r>
        <w:separator/>
      </w:r>
    </w:p>
  </w:endnote>
  <w:endnote w:type="continuationSeparator" w:id="0">
    <w:p w14:paraId="5DB37306" w14:textId="77777777" w:rsidR="00A36366" w:rsidRDefault="00A36366" w:rsidP="00952FD9">
      <w:pPr>
        <w:spacing w:after="0" w:line="240" w:lineRule="auto"/>
      </w:pPr>
      <w:r>
        <w:continuationSeparator/>
      </w:r>
    </w:p>
  </w:endnote>
  <w:endnote w:type="continuationNotice" w:id="1">
    <w:p w14:paraId="58E4C81C" w14:textId="77777777" w:rsidR="00A36366" w:rsidRDefault="00A363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29365B" w14:textId="77777777" w:rsidR="00A36366" w:rsidRDefault="00A36366" w:rsidP="00952FD9">
      <w:pPr>
        <w:spacing w:after="0" w:line="240" w:lineRule="auto"/>
      </w:pPr>
      <w:r>
        <w:separator/>
      </w:r>
    </w:p>
  </w:footnote>
  <w:footnote w:type="continuationSeparator" w:id="0">
    <w:p w14:paraId="1FC1682D" w14:textId="77777777" w:rsidR="00A36366" w:rsidRDefault="00A36366" w:rsidP="00952FD9">
      <w:pPr>
        <w:spacing w:after="0" w:line="240" w:lineRule="auto"/>
      </w:pPr>
      <w:r>
        <w:continuationSeparator/>
      </w:r>
    </w:p>
  </w:footnote>
  <w:footnote w:type="continuationNotice" w:id="1">
    <w:p w14:paraId="29D80973" w14:textId="77777777" w:rsidR="00A36366" w:rsidRDefault="00A363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8487E"/>
    <w:multiLevelType w:val="multilevel"/>
    <w:tmpl w:val="9A6E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00BF7"/>
    <w:multiLevelType w:val="hybridMultilevel"/>
    <w:tmpl w:val="65F6F43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49629AA"/>
    <w:multiLevelType w:val="multilevel"/>
    <w:tmpl w:val="4248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7284C"/>
    <w:multiLevelType w:val="hybridMultilevel"/>
    <w:tmpl w:val="3AB802F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6281FF3"/>
    <w:multiLevelType w:val="hybridMultilevel"/>
    <w:tmpl w:val="DB32B4B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9AD36AB"/>
    <w:multiLevelType w:val="multilevel"/>
    <w:tmpl w:val="19C2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0219A"/>
    <w:multiLevelType w:val="multilevel"/>
    <w:tmpl w:val="AE7C6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3B0E78"/>
    <w:multiLevelType w:val="hybridMultilevel"/>
    <w:tmpl w:val="A34AE202"/>
    <w:lvl w:ilvl="0" w:tplc="D8C829C4">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024EDF"/>
    <w:multiLevelType w:val="multilevel"/>
    <w:tmpl w:val="18365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89645C"/>
    <w:multiLevelType w:val="hybridMultilevel"/>
    <w:tmpl w:val="D80A86C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C385DC6"/>
    <w:multiLevelType w:val="hybridMultilevel"/>
    <w:tmpl w:val="69A09740"/>
    <w:lvl w:ilvl="0" w:tplc="0DE0C8C8">
      <w:start w:val="1"/>
      <w:numFmt w:val="decimal"/>
      <w:pStyle w:val="Ttulo2"/>
      <w:lvlText w:val="%1."/>
      <w:lvlJc w:val="left"/>
      <w:pPr>
        <w:ind w:left="360" w:hanging="360"/>
      </w:pPr>
    </w:lvl>
    <w:lvl w:ilvl="1" w:tplc="09901714">
      <w:start w:val="1"/>
      <w:numFmt w:val="decimal"/>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3CB2403C"/>
    <w:multiLevelType w:val="multilevel"/>
    <w:tmpl w:val="0FF4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6B017C"/>
    <w:multiLevelType w:val="multilevel"/>
    <w:tmpl w:val="57D2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A4611C"/>
    <w:multiLevelType w:val="hybridMultilevel"/>
    <w:tmpl w:val="7E0E6B0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67A45C94"/>
    <w:multiLevelType w:val="multilevel"/>
    <w:tmpl w:val="BAEC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08245C"/>
    <w:multiLevelType w:val="hybridMultilevel"/>
    <w:tmpl w:val="12721E20"/>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6" w15:restartNumberingAfterBreak="0">
    <w:nsid w:val="6D9656FD"/>
    <w:multiLevelType w:val="multilevel"/>
    <w:tmpl w:val="BE74E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853623"/>
    <w:multiLevelType w:val="multilevel"/>
    <w:tmpl w:val="1FE2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867DFF"/>
    <w:multiLevelType w:val="hybridMultilevel"/>
    <w:tmpl w:val="FD846FB2"/>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9" w15:restartNumberingAfterBreak="0">
    <w:nsid w:val="77622D4D"/>
    <w:multiLevelType w:val="hybridMultilevel"/>
    <w:tmpl w:val="573E5208"/>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16cid:durableId="402458726">
    <w:abstractNumId w:val="8"/>
  </w:num>
  <w:num w:numId="2" w16cid:durableId="1036926362">
    <w:abstractNumId w:val="14"/>
  </w:num>
  <w:num w:numId="3" w16cid:durableId="464347959">
    <w:abstractNumId w:val="0"/>
  </w:num>
  <w:num w:numId="4" w16cid:durableId="937831169">
    <w:abstractNumId w:val="17"/>
  </w:num>
  <w:num w:numId="5" w16cid:durableId="154536578">
    <w:abstractNumId w:val="16"/>
  </w:num>
  <w:num w:numId="6" w16cid:durableId="546334533">
    <w:abstractNumId w:val="11"/>
  </w:num>
  <w:num w:numId="7" w16cid:durableId="1822426356">
    <w:abstractNumId w:val="5"/>
  </w:num>
  <w:num w:numId="8" w16cid:durableId="920989153">
    <w:abstractNumId w:val="6"/>
  </w:num>
  <w:num w:numId="9" w16cid:durableId="1709836558">
    <w:abstractNumId w:val="12"/>
  </w:num>
  <w:num w:numId="10" w16cid:durableId="2030328525">
    <w:abstractNumId w:val="2"/>
  </w:num>
  <w:num w:numId="11" w16cid:durableId="949507940">
    <w:abstractNumId w:val="7"/>
  </w:num>
  <w:num w:numId="12" w16cid:durableId="2068794566">
    <w:abstractNumId w:val="4"/>
  </w:num>
  <w:num w:numId="13" w16cid:durableId="355892990">
    <w:abstractNumId w:val="10"/>
  </w:num>
  <w:num w:numId="14" w16cid:durableId="1529249226">
    <w:abstractNumId w:val="3"/>
  </w:num>
  <w:num w:numId="15" w16cid:durableId="1233541381">
    <w:abstractNumId w:val="13"/>
  </w:num>
  <w:num w:numId="16" w16cid:durableId="1131360835">
    <w:abstractNumId w:val="18"/>
  </w:num>
  <w:num w:numId="17" w16cid:durableId="928349695">
    <w:abstractNumId w:val="19"/>
  </w:num>
  <w:num w:numId="18" w16cid:durableId="1624846151">
    <w:abstractNumId w:val="1"/>
  </w:num>
  <w:num w:numId="19" w16cid:durableId="566764567">
    <w:abstractNumId w:val="9"/>
  </w:num>
  <w:num w:numId="20" w16cid:durableId="1770154507">
    <w:abstractNumId w:val="15"/>
  </w:num>
  <w:num w:numId="21" w16cid:durableId="19237597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1F9"/>
    <w:rsid w:val="0000058B"/>
    <w:rsid w:val="00005DC3"/>
    <w:rsid w:val="000125B3"/>
    <w:rsid w:val="00032E9A"/>
    <w:rsid w:val="0003327A"/>
    <w:rsid w:val="00046ED0"/>
    <w:rsid w:val="00050C79"/>
    <w:rsid w:val="00056D3F"/>
    <w:rsid w:val="00063955"/>
    <w:rsid w:val="000847DD"/>
    <w:rsid w:val="000871BD"/>
    <w:rsid w:val="000A4733"/>
    <w:rsid w:val="000A4CBE"/>
    <w:rsid w:val="000B144B"/>
    <w:rsid w:val="000C12C2"/>
    <w:rsid w:val="000D3D8E"/>
    <w:rsid w:val="000F0BEE"/>
    <w:rsid w:val="000F35A7"/>
    <w:rsid w:val="00107A1E"/>
    <w:rsid w:val="001215D6"/>
    <w:rsid w:val="00133F6E"/>
    <w:rsid w:val="001452E2"/>
    <w:rsid w:val="00147C17"/>
    <w:rsid w:val="00147D85"/>
    <w:rsid w:val="001530C5"/>
    <w:rsid w:val="00184FF8"/>
    <w:rsid w:val="00194907"/>
    <w:rsid w:val="001A3FF0"/>
    <w:rsid w:val="001B0F9B"/>
    <w:rsid w:val="001D55D7"/>
    <w:rsid w:val="001F0816"/>
    <w:rsid w:val="00212C82"/>
    <w:rsid w:val="00213B99"/>
    <w:rsid w:val="00234FC1"/>
    <w:rsid w:val="00255C5F"/>
    <w:rsid w:val="00267C29"/>
    <w:rsid w:val="0027488E"/>
    <w:rsid w:val="00285FA2"/>
    <w:rsid w:val="002C17B6"/>
    <w:rsid w:val="002D0D01"/>
    <w:rsid w:val="0030381D"/>
    <w:rsid w:val="0030544E"/>
    <w:rsid w:val="00340A88"/>
    <w:rsid w:val="00364235"/>
    <w:rsid w:val="0037527E"/>
    <w:rsid w:val="00380034"/>
    <w:rsid w:val="00393AB7"/>
    <w:rsid w:val="003B115E"/>
    <w:rsid w:val="003F12ED"/>
    <w:rsid w:val="004057AB"/>
    <w:rsid w:val="00443797"/>
    <w:rsid w:val="00455A75"/>
    <w:rsid w:val="004604DE"/>
    <w:rsid w:val="00471CE3"/>
    <w:rsid w:val="004765A1"/>
    <w:rsid w:val="004846A0"/>
    <w:rsid w:val="004B3EC3"/>
    <w:rsid w:val="004C459E"/>
    <w:rsid w:val="004F3E4D"/>
    <w:rsid w:val="005039CD"/>
    <w:rsid w:val="0051270F"/>
    <w:rsid w:val="00546897"/>
    <w:rsid w:val="00547929"/>
    <w:rsid w:val="00554E86"/>
    <w:rsid w:val="005825CF"/>
    <w:rsid w:val="00590891"/>
    <w:rsid w:val="005A0769"/>
    <w:rsid w:val="005A71C5"/>
    <w:rsid w:val="0062550F"/>
    <w:rsid w:val="006842E4"/>
    <w:rsid w:val="006972CD"/>
    <w:rsid w:val="006A649D"/>
    <w:rsid w:val="006C60A4"/>
    <w:rsid w:val="006E27E5"/>
    <w:rsid w:val="006E46BB"/>
    <w:rsid w:val="006E6ECA"/>
    <w:rsid w:val="00722066"/>
    <w:rsid w:val="0074022E"/>
    <w:rsid w:val="007416FF"/>
    <w:rsid w:val="00761012"/>
    <w:rsid w:val="007829E5"/>
    <w:rsid w:val="0079081A"/>
    <w:rsid w:val="0079726F"/>
    <w:rsid w:val="007C24D5"/>
    <w:rsid w:val="007C4688"/>
    <w:rsid w:val="007E6C55"/>
    <w:rsid w:val="007F46CC"/>
    <w:rsid w:val="008077FE"/>
    <w:rsid w:val="00815897"/>
    <w:rsid w:val="008161C9"/>
    <w:rsid w:val="00816793"/>
    <w:rsid w:val="008479DB"/>
    <w:rsid w:val="00860D7A"/>
    <w:rsid w:val="00881F16"/>
    <w:rsid w:val="00891728"/>
    <w:rsid w:val="00894B6B"/>
    <w:rsid w:val="00895356"/>
    <w:rsid w:val="008A6C20"/>
    <w:rsid w:val="008B0A92"/>
    <w:rsid w:val="008D5141"/>
    <w:rsid w:val="008E1457"/>
    <w:rsid w:val="00911370"/>
    <w:rsid w:val="00916330"/>
    <w:rsid w:val="00933ED8"/>
    <w:rsid w:val="00942311"/>
    <w:rsid w:val="00952FD9"/>
    <w:rsid w:val="00984B53"/>
    <w:rsid w:val="00986DD9"/>
    <w:rsid w:val="009956C8"/>
    <w:rsid w:val="009972A2"/>
    <w:rsid w:val="009A021D"/>
    <w:rsid w:val="009A0E15"/>
    <w:rsid w:val="009B1D77"/>
    <w:rsid w:val="009B6A75"/>
    <w:rsid w:val="009F5E84"/>
    <w:rsid w:val="00A11FC1"/>
    <w:rsid w:val="00A15CDC"/>
    <w:rsid w:val="00A36366"/>
    <w:rsid w:val="00A70134"/>
    <w:rsid w:val="00A718C3"/>
    <w:rsid w:val="00AC3EE7"/>
    <w:rsid w:val="00AD2070"/>
    <w:rsid w:val="00AE6E5B"/>
    <w:rsid w:val="00AF225C"/>
    <w:rsid w:val="00B061AB"/>
    <w:rsid w:val="00B2029D"/>
    <w:rsid w:val="00B21F4B"/>
    <w:rsid w:val="00B33FA7"/>
    <w:rsid w:val="00B34A93"/>
    <w:rsid w:val="00B46FF3"/>
    <w:rsid w:val="00B50ED6"/>
    <w:rsid w:val="00B671E8"/>
    <w:rsid w:val="00B72EB7"/>
    <w:rsid w:val="00B73D33"/>
    <w:rsid w:val="00B879C1"/>
    <w:rsid w:val="00BA20A8"/>
    <w:rsid w:val="00BB00B2"/>
    <w:rsid w:val="00BB611F"/>
    <w:rsid w:val="00BC0672"/>
    <w:rsid w:val="00BC17E1"/>
    <w:rsid w:val="00BC40C2"/>
    <w:rsid w:val="00BE2E40"/>
    <w:rsid w:val="00BF24E8"/>
    <w:rsid w:val="00C075BF"/>
    <w:rsid w:val="00C121B2"/>
    <w:rsid w:val="00C13228"/>
    <w:rsid w:val="00C16A8A"/>
    <w:rsid w:val="00C20B09"/>
    <w:rsid w:val="00C45E04"/>
    <w:rsid w:val="00C5747F"/>
    <w:rsid w:val="00C77F79"/>
    <w:rsid w:val="00C834B4"/>
    <w:rsid w:val="00CB1F2B"/>
    <w:rsid w:val="00CB6060"/>
    <w:rsid w:val="00CB63C2"/>
    <w:rsid w:val="00CD3242"/>
    <w:rsid w:val="00CD61F9"/>
    <w:rsid w:val="00D069ED"/>
    <w:rsid w:val="00D13769"/>
    <w:rsid w:val="00D25B1B"/>
    <w:rsid w:val="00D30FA7"/>
    <w:rsid w:val="00D43103"/>
    <w:rsid w:val="00D44822"/>
    <w:rsid w:val="00D75689"/>
    <w:rsid w:val="00DC489F"/>
    <w:rsid w:val="00DC4B0C"/>
    <w:rsid w:val="00DE5859"/>
    <w:rsid w:val="00E17633"/>
    <w:rsid w:val="00E247F5"/>
    <w:rsid w:val="00E26918"/>
    <w:rsid w:val="00E315B2"/>
    <w:rsid w:val="00E31A67"/>
    <w:rsid w:val="00E44C5A"/>
    <w:rsid w:val="00E56A17"/>
    <w:rsid w:val="00E74052"/>
    <w:rsid w:val="00E75928"/>
    <w:rsid w:val="00E825CF"/>
    <w:rsid w:val="00EA1B2C"/>
    <w:rsid w:val="00EA1EBD"/>
    <w:rsid w:val="00EB438D"/>
    <w:rsid w:val="00ED0AE5"/>
    <w:rsid w:val="00ED64FB"/>
    <w:rsid w:val="00EF1BBA"/>
    <w:rsid w:val="00F03C73"/>
    <w:rsid w:val="00F13A16"/>
    <w:rsid w:val="00F17AF3"/>
    <w:rsid w:val="00F33D04"/>
    <w:rsid w:val="00F773E9"/>
    <w:rsid w:val="00F879EB"/>
    <w:rsid w:val="00FC0ABB"/>
    <w:rsid w:val="00FC236E"/>
    <w:rsid w:val="00FC2E98"/>
    <w:rsid w:val="00FD461F"/>
    <w:rsid w:val="00FD73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6763E"/>
  <w15:chartTrackingRefBased/>
  <w15:docId w15:val="{F4C94FF3-9B02-4429-9F2E-0B1EF6224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3E9"/>
    <w:pPr>
      <w:spacing w:line="276" w:lineRule="auto"/>
      <w:jc w:val="both"/>
    </w:pPr>
    <w:rPr>
      <w:rFonts w:ascii="Arial Narrow" w:hAnsi="Arial Narrow"/>
    </w:rPr>
  </w:style>
  <w:style w:type="paragraph" w:styleId="Ttulo1">
    <w:name w:val="heading 1"/>
    <w:basedOn w:val="Normal"/>
    <w:next w:val="Normal"/>
    <w:link w:val="Ttulo1Car"/>
    <w:uiPriority w:val="9"/>
    <w:qFormat/>
    <w:rsid w:val="00881F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F773E9"/>
    <w:pPr>
      <w:keepNext/>
      <w:keepLines/>
      <w:numPr>
        <w:numId w:val="13"/>
      </w:numPr>
      <w:spacing w:before="40" w:after="0"/>
      <w:outlineLvl w:val="1"/>
    </w:pPr>
    <w:rPr>
      <w:rFonts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EA1B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EA1B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D61F9"/>
    <w:pPr>
      <w:ind w:left="720"/>
      <w:contextualSpacing/>
    </w:pPr>
  </w:style>
  <w:style w:type="character" w:customStyle="1" w:styleId="Ttulo2Car">
    <w:name w:val="Título 2 Car"/>
    <w:basedOn w:val="Fuentedeprrafopredeter"/>
    <w:link w:val="Ttulo2"/>
    <w:uiPriority w:val="9"/>
    <w:rsid w:val="00F773E9"/>
    <w:rPr>
      <w:rFonts w:ascii="Arial Narrow" w:eastAsiaTheme="majorEastAsia" w:hAnsi="Arial Narrow" w:cstheme="majorBidi"/>
      <w:color w:val="2F5496" w:themeColor="accent1" w:themeShade="BF"/>
      <w:sz w:val="26"/>
      <w:szCs w:val="26"/>
    </w:rPr>
  </w:style>
  <w:style w:type="character" w:customStyle="1" w:styleId="Ttulo3Car">
    <w:name w:val="Título 3 Car"/>
    <w:basedOn w:val="Fuentedeprrafopredeter"/>
    <w:link w:val="Ttulo3"/>
    <w:uiPriority w:val="9"/>
    <w:rsid w:val="00EA1B2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rsid w:val="00EA1B2C"/>
    <w:rPr>
      <w:rFonts w:asciiTheme="majorHAnsi" w:eastAsiaTheme="majorEastAsia" w:hAnsiTheme="majorHAnsi" w:cstheme="majorBidi"/>
      <w:i/>
      <w:iCs/>
      <w:color w:val="2F5496" w:themeColor="accent1" w:themeShade="BF"/>
    </w:rPr>
  </w:style>
  <w:style w:type="character" w:customStyle="1" w:styleId="Ttulo1Car">
    <w:name w:val="Título 1 Car"/>
    <w:basedOn w:val="Fuentedeprrafopredeter"/>
    <w:link w:val="Ttulo1"/>
    <w:uiPriority w:val="9"/>
    <w:rsid w:val="00881F16"/>
    <w:rPr>
      <w:rFonts w:asciiTheme="majorHAnsi" w:eastAsiaTheme="majorEastAsia" w:hAnsiTheme="majorHAnsi" w:cstheme="majorBidi"/>
      <w:color w:val="2F5496" w:themeColor="accent1" w:themeShade="BF"/>
      <w:sz w:val="32"/>
      <w:szCs w:val="32"/>
    </w:rPr>
  </w:style>
  <w:style w:type="character" w:styleId="Hipervnculo">
    <w:name w:val="Hyperlink"/>
    <w:basedOn w:val="Fuentedeprrafopredeter"/>
    <w:uiPriority w:val="99"/>
    <w:unhideWhenUsed/>
    <w:rsid w:val="004765A1"/>
    <w:rPr>
      <w:color w:val="0563C1" w:themeColor="hyperlink"/>
      <w:u w:val="single"/>
    </w:rPr>
  </w:style>
  <w:style w:type="character" w:styleId="Mencinsinresolver">
    <w:name w:val="Unresolved Mention"/>
    <w:basedOn w:val="Fuentedeprrafopredeter"/>
    <w:uiPriority w:val="99"/>
    <w:semiHidden/>
    <w:unhideWhenUsed/>
    <w:rsid w:val="004765A1"/>
    <w:rPr>
      <w:color w:val="605E5C"/>
      <w:shd w:val="clear" w:color="auto" w:fill="E1DFDD"/>
    </w:rPr>
  </w:style>
  <w:style w:type="paragraph" w:styleId="Encabezado">
    <w:name w:val="header"/>
    <w:basedOn w:val="Normal"/>
    <w:link w:val="EncabezadoCar"/>
    <w:uiPriority w:val="99"/>
    <w:unhideWhenUsed/>
    <w:rsid w:val="00952FD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52FD9"/>
    <w:rPr>
      <w:rFonts w:ascii="Arial Narrow" w:hAnsi="Arial Narrow"/>
    </w:rPr>
  </w:style>
  <w:style w:type="paragraph" w:styleId="Piedepgina">
    <w:name w:val="footer"/>
    <w:basedOn w:val="Normal"/>
    <w:link w:val="PiedepginaCar"/>
    <w:uiPriority w:val="99"/>
    <w:unhideWhenUsed/>
    <w:rsid w:val="00952FD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2FD9"/>
    <w:rPr>
      <w:rFonts w:ascii="Arial Narrow" w:hAnsi="Arial Narrow"/>
    </w:rPr>
  </w:style>
  <w:style w:type="paragraph" w:styleId="NormalWeb">
    <w:name w:val="Normal (Web)"/>
    <w:basedOn w:val="Normal"/>
    <w:uiPriority w:val="99"/>
    <w:semiHidden/>
    <w:unhideWhenUsed/>
    <w:rsid w:val="00B72EB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065970">
      <w:bodyDiv w:val="1"/>
      <w:marLeft w:val="0"/>
      <w:marRight w:val="0"/>
      <w:marTop w:val="0"/>
      <w:marBottom w:val="0"/>
      <w:divBdr>
        <w:top w:val="none" w:sz="0" w:space="0" w:color="auto"/>
        <w:left w:val="none" w:sz="0" w:space="0" w:color="auto"/>
        <w:bottom w:val="none" w:sz="0" w:space="0" w:color="auto"/>
        <w:right w:val="none" w:sz="0" w:space="0" w:color="auto"/>
      </w:divBdr>
    </w:div>
    <w:div w:id="534347652">
      <w:bodyDiv w:val="1"/>
      <w:marLeft w:val="0"/>
      <w:marRight w:val="0"/>
      <w:marTop w:val="0"/>
      <w:marBottom w:val="0"/>
      <w:divBdr>
        <w:top w:val="none" w:sz="0" w:space="0" w:color="auto"/>
        <w:left w:val="none" w:sz="0" w:space="0" w:color="auto"/>
        <w:bottom w:val="none" w:sz="0" w:space="0" w:color="auto"/>
        <w:right w:val="none" w:sz="0" w:space="0" w:color="auto"/>
      </w:divBdr>
    </w:div>
    <w:div w:id="688916342">
      <w:bodyDiv w:val="1"/>
      <w:marLeft w:val="0"/>
      <w:marRight w:val="0"/>
      <w:marTop w:val="0"/>
      <w:marBottom w:val="0"/>
      <w:divBdr>
        <w:top w:val="none" w:sz="0" w:space="0" w:color="auto"/>
        <w:left w:val="none" w:sz="0" w:space="0" w:color="auto"/>
        <w:bottom w:val="none" w:sz="0" w:space="0" w:color="auto"/>
        <w:right w:val="none" w:sz="0" w:space="0" w:color="auto"/>
      </w:divBdr>
    </w:div>
    <w:div w:id="740757110">
      <w:bodyDiv w:val="1"/>
      <w:marLeft w:val="0"/>
      <w:marRight w:val="0"/>
      <w:marTop w:val="0"/>
      <w:marBottom w:val="0"/>
      <w:divBdr>
        <w:top w:val="none" w:sz="0" w:space="0" w:color="auto"/>
        <w:left w:val="none" w:sz="0" w:space="0" w:color="auto"/>
        <w:bottom w:val="none" w:sz="0" w:space="0" w:color="auto"/>
        <w:right w:val="none" w:sz="0" w:space="0" w:color="auto"/>
      </w:divBdr>
    </w:div>
    <w:div w:id="834876228">
      <w:bodyDiv w:val="1"/>
      <w:marLeft w:val="0"/>
      <w:marRight w:val="0"/>
      <w:marTop w:val="0"/>
      <w:marBottom w:val="0"/>
      <w:divBdr>
        <w:top w:val="none" w:sz="0" w:space="0" w:color="auto"/>
        <w:left w:val="none" w:sz="0" w:space="0" w:color="auto"/>
        <w:bottom w:val="none" w:sz="0" w:space="0" w:color="auto"/>
        <w:right w:val="none" w:sz="0" w:space="0" w:color="auto"/>
      </w:divBdr>
    </w:div>
    <w:div w:id="1188837895">
      <w:bodyDiv w:val="1"/>
      <w:marLeft w:val="0"/>
      <w:marRight w:val="0"/>
      <w:marTop w:val="0"/>
      <w:marBottom w:val="0"/>
      <w:divBdr>
        <w:top w:val="none" w:sz="0" w:space="0" w:color="auto"/>
        <w:left w:val="none" w:sz="0" w:space="0" w:color="auto"/>
        <w:bottom w:val="none" w:sz="0" w:space="0" w:color="auto"/>
        <w:right w:val="none" w:sz="0" w:space="0" w:color="auto"/>
      </w:divBdr>
    </w:div>
    <w:div w:id="1240485193">
      <w:bodyDiv w:val="1"/>
      <w:marLeft w:val="0"/>
      <w:marRight w:val="0"/>
      <w:marTop w:val="0"/>
      <w:marBottom w:val="0"/>
      <w:divBdr>
        <w:top w:val="none" w:sz="0" w:space="0" w:color="auto"/>
        <w:left w:val="none" w:sz="0" w:space="0" w:color="auto"/>
        <w:bottom w:val="none" w:sz="0" w:space="0" w:color="auto"/>
        <w:right w:val="none" w:sz="0" w:space="0" w:color="auto"/>
      </w:divBdr>
    </w:div>
    <w:div w:id="1242639408">
      <w:bodyDiv w:val="1"/>
      <w:marLeft w:val="0"/>
      <w:marRight w:val="0"/>
      <w:marTop w:val="0"/>
      <w:marBottom w:val="0"/>
      <w:divBdr>
        <w:top w:val="none" w:sz="0" w:space="0" w:color="auto"/>
        <w:left w:val="none" w:sz="0" w:space="0" w:color="auto"/>
        <w:bottom w:val="none" w:sz="0" w:space="0" w:color="auto"/>
        <w:right w:val="none" w:sz="0" w:space="0" w:color="auto"/>
      </w:divBdr>
    </w:div>
    <w:div w:id="1249537628">
      <w:bodyDiv w:val="1"/>
      <w:marLeft w:val="0"/>
      <w:marRight w:val="0"/>
      <w:marTop w:val="0"/>
      <w:marBottom w:val="0"/>
      <w:divBdr>
        <w:top w:val="none" w:sz="0" w:space="0" w:color="auto"/>
        <w:left w:val="none" w:sz="0" w:space="0" w:color="auto"/>
        <w:bottom w:val="none" w:sz="0" w:space="0" w:color="auto"/>
        <w:right w:val="none" w:sz="0" w:space="0" w:color="auto"/>
      </w:divBdr>
    </w:div>
    <w:div w:id="1405488077">
      <w:bodyDiv w:val="1"/>
      <w:marLeft w:val="0"/>
      <w:marRight w:val="0"/>
      <w:marTop w:val="0"/>
      <w:marBottom w:val="0"/>
      <w:divBdr>
        <w:top w:val="none" w:sz="0" w:space="0" w:color="auto"/>
        <w:left w:val="none" w:sz="0" w:space="0" w:color="auto"/>
        <w:bottom w:val="none" w:sz="0" w:space="0" w:color="auto"/>
        <w:right w:val="none" w:sz="0" w:space="0" w:color="auto"/>
      </w:divBdr>
    </w:div>
    <w:div w:id="1411073348">
      <w:bodyDiv w:val="1"/>
      <w:marLeft w:val="0"/>
      <w:marRight w:val="0"/>
      <w:marTop w:val="0"/>
      <w:marBottom w:val="0"/>
      <w:divBdr>
        <w:top w:val="none" w:sz="0" w:space="0" w:color="auto"/>
        <w:left w:val="none" w:sz="0" w:space="0" w:color="auto"/>
        <w:bottom w:val="none" w:sz="0" w:space="0" w:color="auto"/>
        <w:right w:val="none" w:sz="0" w:space="0" w:color="auto"/>
      </w:divBdr>
    </w:div>
    <w:div w:id="1413694150">
      <w:bodyDiv w:val="1"/>
      <w:marLeft w:val="0"/>
      <w:marRight w:val="0"/>
      <w:marTop w:val="0"/>
      <w:marBottom w:val="0"/>
      <w:divBdr>
        <w:top w:val="none" w:sz="0" w:space="0" w:color="auto"/>
        <w:left w:val="none" w:sz="0" w:space="0" w:color="auto"/>
        <w:bottom w:val="none" w:sz="0" w:space="0" w:color="auto"/>
        <w:right w:val="none" w:sz="0" w:space="0" w:color="auto"/>
      </w:divBdr>
    </w:div>
    <w:div w:id="1634944950">
      <w:bodyDiv w:val="1"/>
      <w:marLeft w:val="0"/>
      <w:marRight w:val="0"/>
      <w:marTop w:val="0"/>
      <w:marBottom w:val="0"/>
      <w:divBdr>
        <w:top w:val="none" w:sz="0" w:space="0" w:color="auto"/>
        <w:left w:val="none" w:sz="0" w:space="0" w:color="auto"/>
        <w:bottom w:val="none" w:sz="0" w:space="0" w:color="auto"/>
        <w:right w:val="none" w:sz="0" w:space="0" w:color="auto"/>
      </w:divBdr>
    </w:div>
    <w:div w:id="1756436738">
      <w:bodyDiv w:val="1"/>
      <w:marLeft w:val="0"/>
      <w:marRight w:val="0"/>
      <w:marTop w:val="0"/>
      <w:marBottom w:val="0"/>
      <w:divBdr>
        <w:top w:val="none" w:sz="0" w:space="0" w:color="auto"/>
        <w:left w:val="none" w:sz="0" w:space="0" w:color="auto"/>
        <w:bottom w:val="none" w:sz="0" w:space="0" w:color="auto"/>
        <w:right w:val="none" w:sz="0" w:space="0" w:color="auto"/>
      </w:divBdr>
    </w:div>
    <w:div w:id="2066758410">
      <w:bodyDiv w:val="1"/>
      <w:marLeft w:val="0"/>
      <w:marRight w:val="0"/>
      <w:marTop w:val="0"/>
      <w:marBottom w:val="0"/>
      <w:divBdr>
        <w:top w:val="none" w:sz="0" w:space="0" w:color="auto"/>
        <w:left w:val="none" w:sz="0" w:space="0" w:color="auto"/>
        <w:bottom w:val="none" w:sz="0" w:space="0" w:color="auto"/>
        <w:right w:val="none" w:sz="0" w:space="0" w:color="auto"/>
      </w:divBdr>
    </w:div>
    <w:div w:id="214264944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0048-7333(99)00055-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andingrock.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5B327-5E53-A049-8BE9-63344AD76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7</Pages>
  <Words>2909</Words>
  <Characters>16002</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Hernán  Cortés</dc:creator>
  <cp:keywords/>
  <dc:description/>
  <cp:lastModifiedBy>Hernán  Cortés</cp:lastModifiedBy>
  <cp:revision>52</cp:revision>
  <cp:lastPrinted>2024-09-12T19:49:00Z</cp:lastPrinted>
  <dcterms:created xsi:type="dcterms:W3CDTF">2024-09-14T16:47:00Z</dcterms:created>
  <dcterms:modified xsi:type="dcterms:W3CDTF">2024-09-16T00:45:00Z</dcterms:modified>
</cp:coreProperties>
</file>