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C8F477" w14:textId="13A414BC" w:rsidR="000D6D77" w:rsidRPr="008D308A" w:rsidRDefault="000D6D77" w:rsidP="009B3B1E">
      <w:pPr>
        <w:spacing w:line="276" w:lineRule="auto"/>
        <w:jc w:val="center"/>
        <w:rPr>
          <w:rFonts w:ascii="Arial Narrow" w:hAnsi="Arial Narrow"/>
          <w:b/>
          <w:bCs/>
          <w:sz w:val="22"/>
          <w:szCs w:val="22"/>
        </w:rPr>
      </w:pPr>
      <w:r w:rsidRPr="008D308A">
        <w:rPr>
          <w:rFonts w:ascii="Arial Narrow" w:hAnsi="Arial Narrow"/>
          <w:b/>
          <w:bCs/>
          <w:sz w:val="22"/>
          <w:szCs w:val="22"/>
        </w:rPr>
        <w:t>Manejo y valorización de subproductos de origen agropecuario desde un enfoque agroindustrial y de biorrefinería</w:t>
      </w:r>
      <w:r w:rsidR="008D308A" w:rsidRPr="008D308A">
        <w:rPr>
          <w:rFonts w:ascii="Arial Narrow" w:hAnsi="Arial Narrow"/>
          <w:b/>
          <w:bCs/>
          <w:sz w:val="22"/>
          <w:szCs w:val="22"/>
        </w:rPr>
        <w:t>: propuesta académica</w:t>
      </w:r>
    </w:p>
    <w:p w14:paraId="6D94DE54" w14:textId="04CBF6D5" w:rsidR="00D30CC3" w:rsidRDefault="00D30CC3" w:rsidP="009B3B1E">
      <w:pPr>
        <w:spacing w:line="276" w:lineRule="auto"/>
        <w:jc w:val="center"/>
        <w:rPr>
          <w:rFonts w:ascii="Arial Narrow" w:hAnsi="Arial Narrow"/>
          <w:sz w:val="22"/>
          <w:szCs w:val="22"/>
        </w:rPr>
      </w:pPr>
      <w:r>
        <w:rPr>
          <w:rFonts w:ascii="Arial Narrow" w:hAnsi="Arial Narrow"/>
          <w:sz w:val="22"/>
          <w:szCs w:val="22"/>
        </w:rPr>
        <w:t>Tema</w:t>
      </w:r>
      <w:r w:rsidR="00E83678">
        <w:rPr>
          <w:rFonts w:ascii="Arial Narrow" w:hAnsi="Arial Narrow"/>
          <w:sz w:val="22"/>
          <w:szCs w:val="22"/>
        </w:rPr>
        <w:t xml:space="preserve"> 2</w:t>
      </w:r>
      <w:r>
        <w:rPr>
          <w:rFonts w:ascii="Arial Narrow" w:hAnsi="Arial Narrow"/>
          <w:sz w:val="22"/>
          <w:szCs w:val="22"/>
        </w:rPr>
        <w:t xml:space="preserve">: Manejo y aprovechamiento de </w:t>
      </w:r>
      <w:r w:rsidR="00E83678">
        <w:rPr>
          <w:rFonts w:ascii="Arial Narrow" w:hAnsi="Arial Narrow"/>
          <w:sz w:val="22"/>
          <w:szCs w:val="22"/>
        </w:rPr>
        <w:t>subproductos</w:t>
      </w:r>
      <w:r>
        <w:rPr>
          <w:rFonts w:ascii="Arial Narrow" w:hAnsi="Arial Narrow"/>
          <w:sz w:val="22"/>
          <w:szCs w:val="22"/>
        </w:rPr>
        <w:t xml:space="preserve"> de origen agropecuario</w:t>
      </w:r>
    </w:p>
    <w:p w14:paraId="1A940693" w14:textId="45186590" w:rsidR="00011F35" w:rsidRDefault="00011F35" w:rsidP="009B3B1E">
      <w:pPr>
        <w:spacing w:line="276" w:lineRule="auto"/>
        <w:jc w:val="right"/>
        <w:rPr>
          <w:rFonts w:ascii="Arial Narrow" w:hAnsi="Arial Narrow"/>
          <w:sz w:val="22"/>
          <w:szCs w:val="22"/>
        </w:rPr>
      </w:pPr>
      <w:r>
        <w:rPr>
          <w:rFonts w:ascii="Arial Narrow" w:hAnsi="Arial Narrow"/>
          <w:sz w:val="22"/>
          <w:szCs w:val="22"/>
        </w:rPr>
        <w:t>Autor</w:t>
      </w:r>
      <w:r w:rsidR="00E83678">
        <w:rPr>
          <w:rFonts w:ascii="Arial Narrow" w:hAnsi="Arial Narrow"/>
          <w:sz w:val="22"/>
          <w:szCs w:val="22"/>
        </w:rPr>
        <w:t>: Juan Carlos Clavijo Salinas</w:t>
      </w:r>
    </w:p>
    <w:p w14:paraId="5E312C90" w14:textId="77777777" w:rsidR="005E6007" w:rsidRDefault="005E6007" w:rsidP="009B3B1E">
      <w:pPr>
        <w:spacing w:line="276" w:lineRule="auto"/>
        <w:rPr>
          <w:rFonts w:ascii="Arial Narrow" w:hAnsi="Arial Narrow"/>
          <w:sz w:val="22"/>
          <w:szCs w:val="22"/>
        </w:rPr>
      </w:pPr>
    </w:p>
    <w:p w14:paraId="41F4F5E2" w14:textId="2C51EE56" w:rsidR="00011F35" w:rsidRPr="00BC6017" w:rsidRDefault="00011F35" w:rsidP="009B3B1E">
      <w:pPr>
        <w:spacing w:line="276" w:lineRule="auto"/>
        <w:jc w:val="both"/>
        <w:rPr>
          <w:rFonts w:ascii="Arial Narrow" w:hAnsi="Arial Narrow"/>
          <w:b/>
          <w:bCs/>
          <w:sz w:val="22"/>
          <w:szCs w:val="22"/>
        </w:rPr>
      </w:pPr>
      <w:r w:rsidRPr="00BC6017">
        <w:rPr>
          <w:rFonts w:ascii="Arial Narrow" w:hAnsi="Arial Narrow"/>
          <w:b/>
          <w:bCs/>
          <w:sz w:val="22"/>
          <w:szCs w:val="22"/>
        </w:rPr>
        <w:t>Justificación</w:t>
      </w:r>
    </w:p>
    <w:p w14:paraId="02D35E27" w14:textId="019D7CA5" w:rsidR="00E07317" w:rsidRDefault="00B90DAF" w:rsidP="009B3B1E">
      <w:pPr>
        <w:spacing w:line="276" w:lineRule="auto"/>
        <w:jc w:val="both"/>
        <w:rPr>
          <w:rFonts w:ascii="Arial Narrow" w:hAnsi="Arial Narrow"/>
          <w:sz w:val="22"/>
          <w:szCs w:val="22"/>
        </w:rPr>
      </w:pPr>
      <w:r>
        <w:rPr>
          <w:rFonts w:ascii="Arial Narrow" w:hAnsi="Arial Narrow"/>
          <w:sz w:val="22"/>
          <w:szCs w:val="22"/>
        </w:rPr>
        <w:t>Colombia es un país con vocación agropecuaria</w:t>
      </w:r>
      <w:r w:rsidR="00955FA3">
        <w:rPr>
          <w:rFonts w:ascii="Arial Narrow" w:hAnsi="Arial Narrow"/>
          <w:sz w:val="22"/>
          <w:szCs w:val="22"/>
        </w:rPr>
        <w:t>, actividad que aporta el 9.2% del PIB nacional (</w:t>
      </w:r>
      <w:r w:rsidR="006C7066" w:rsidRPr="00061401">
        <w:rPr>
          <w:rFonts w:ascii="Arial Narrow" w:hAnsi="Arial Narrow"/>
          <w:sz w:val="22"/>
          <w:szCs w:val="22"/>
        </w:rPr>
        <w:t>MADR,</w:t>
      </w:r>
      <w:r w:rsidR="006C7066">
        <w:rPr>
          <w:rFonts w:ascii="Arial Narrow" w:hAnsi="Arial Narrow"/>
          <w:sz w:val="22"/>
          <w:szCs w:val="22"/>
        </w:rPr>
        <w:t xml:space="preserve"> 2024</w:t>
      </w:r>
      <w:r w:rsidR="00955FA3">
        <w:rPr>
          <w:rFonts w:ascii="Arial Narrow" w:hAnsi="Arial Narrow"/>
          <w:sz w:val="22"/>
          <w:szCs w:val="22"/>
        </w:rPr>
        <w:t>)</w:t>
      </w:r>
      <w:r w:rsidR="00820BE3">
        <w:rPr>
          <w:rFonts w:ascii="Arial Narrow" w:hAnsi="Arial Narrow"/>
          <w:sz w:val="22"/>
          <w:szCs w:val="22"/>
        </w:rPr>
        <w:t xml:space="preserve">, </w:t>
      </w:r>
      <w:r w:rsidR="00244222">
        <w:rPr>
          <w:rFonts w:ascii="Arial Narrow" w:hAnsi="Arial Narrow"/>
          <w:sz w:val="22"/>
          <w:szCs w:val="22"/>
        </w:rPr>
        <w:t xml:space="preserve">posicionándose como el segundo </w:t>
      </w:r>
      <w:r w:rsidR="00820BE3">
        <w:rPr>
          <w:rFonts w:ascii="Arial Narrow" w:hAnsi="Arial Narrow"/>
          <w:sz w:val="22"/>
          <w:szCs w:val="22"/>
        </w:rPr>
        <w:t xml:space="preserve">sector </w:t>
      </w:r>
      <w:r w:rsidR="00244222">
        <w:rPr>
          <w:rFonts w:ascii="Arial Narrow" w:hAnsi="Arial Narrow"/>
          <w:sz w:val="22"/>
          <w:szCs w:val="22"/>
        </w:rPr>
        <w:t>de mayor</w:t>
      </w:r>
      <w:r w:rsidR="00F313AD">
        <w:rPr>
          <w:rFonts w:ascii="Arial Narrow" w:hAnsi="Arial Narrow"/>
          <w:sz w:val="22"/>
          <w:szCs w:val="22"/>
        </w:rPr>
        <w:t xml:space="preserve"> importancia</w:t>
      </w:r>
      <w:r w:rsidR="00820BE3">
        <w:rPr>
          <w:rFonts w:ascii="Arial Narrow" w:hAnsi="Arial Narrow"/>
          <w:sz w:val="22"/>
          <w:szCs w:val="22"/>
        </w:rPr>
        <w:t xml:space="preserve"> para el desarrollo del país.</w:t>
      </w:r>
      <w:r w:rsidR="0023740B">
        <w:rPr>
          <w:rFonts w:ascii="Arial Narrow" w:hAnsi="Arial Narrow"/>
          <w:sz w:val="22"/>
          <w:szCs w:val="22"/>
        </w:rPr>
        <w:t xml:space="preserve"> </w:t>
      </w:r>
      <w:r w:rsidR="00E07317" w:rsidRPr="00E07317">
        <w:rPr>
          <w:rFonts w:ascii="Arial Narrow" w:hAnsi="Arial Narrow"/>
          <w:sz w:val="22"/>
          <w:szCs w:val="22"/>
        </w:rPr>
        <w:t>El crecimiento del sector agropecuario se ha visto reflejado en la producción de diversos cultivos y en el abastecimiento de alimentos en centrales mayoristas, así como en las exportaciones de productos agropecuarios y agroindustriales. Entre los principales productos agrícolas que contribuyen al crecimiento económico del país se encuentran el café, el banano, el cacao, la caña de azúcar, el maíz, el arroz, entre otros</w:t>
      </w:r>
      <w:r w:rsidR="00E07317">
        <w:rPr>
          <w:rFonts w:ascii="Arial Narrow" w:hAnsi="Arial Narrow"/>
          <w:sz w:val="22"/>
          <w:szCs w:val="22"/>
        </w:rPr>
        <w:t xml:space="preserve"> (</w:t>
      </w:r>
      <w:r w:rsidR="00E579C6" w:rsidRPr="00E579C6">
        <w:rPr>
          <w:rFonts w:ascii="Arial Narrow" w:hAnsi="Arial Narrow"/>
          <w:sz w:val="22"/>
          <w:szCs w:val="22"/>
        </w:rPr>
        <w:t>Colom</w:t>
      </w:r>
      <w:r w:rsidR="00E579C6">
        <w:rPr>
          <w:rFonts w:ascii="Arial Narrow" w:hAnsi="Arial Narrow"/>
          <w:sz w:val="22"/>
          <w:szCs w:val="22"/>
        </w:rPr>
        <w:t>bia Verde, s.f.</w:t>
      </w:r>
      <w:r w:rsidR="00E07317">
        <w:rPr>
          <w:rFonts w:ascii="Arial Narrow" w:hAnsi="Arial Narrow"/>
          <w:sz w:val="22"/>
          <w:szCs w:val="22"/>
        </w:rPr>
        <w:t>)</w:t>
      </w:r>
      <w:r w:rsidR="00E07317" w:rsidRPr="00E07317">
        <w:rPr>
          <w:rFonts w:ascii="Arial Narrow" w:hAnsi="Arial Narrow"/>
          <w:sz w:val="22"/>
          <w:szCs w:val="22"/>
        </w:rPr>
        <w:t>.</w:t>
      </w:r>
      <w:r w:rsidR="00E07317" w:rsidRPr="00E07317">
        <w:rPr>
          <w:rFonts w:ascii="Arial Narrow" w:hAnsi="Arial Narrow"/>
          <w:sz w:val="22"/>
          <w:szCs w:val="22"/>
        </w:rPr>
        <w:t xml:space="preserve"> </w:t>
      </w:r>
      <w:r w:rsidR="007C3B47">
        <w:rPr>
          <w:rFonts w:ascii="Arial Narrow" w:hAnsi="Arial Narrow"/>
          <w:sz w:val="22"/>
          <w:szCs w:val="22"/>
        </w:rPr>
        <w:t>En cuanto a la producción pecuaria, se destacan especies</w:t>
      </w:r>
      <w:r w:rsidR="009A21A1">
        <w:rPr>
          <w:rFonts w:ascii="Arial Narrow" w:hAnsi="Arial Narrow"/>
          <w:sz w:val="22"/>
          <w:szCs w:val="22"/>
        </w:rPr>
        <w:t xml:space="preserve"> </w:t>
      </w:r>
      <w:r w:rsidR="009407F3">
        <w:rPr>
          <w:rFonts w:ascii="Arial Narrow" w:hAnsi="Arial Narrow"/>
          <w:sz w:val="22"/>
          <w:szCs w:val="22"/>
        </w:rPr>
        <w:t>de ganad</w:t>
      </w:r>
      <w:r w:rsidR="00D24FEF">
        <w:rPr>
          <w:rFonts w:ascii="Arial Narrow" w:hAnsi="Arial Narrow"/>
          <w:sz w:val="22"/>
          <w:szCs w:val="22"/>
        </w:rPr>
        <w:t xml:space="preserve">o </w:t>
      </w:r>
      <w:r w:rsidR="00943392">
        <w:rPr>
          <w:rFonts w:ascii="Arial Narrow" w:hAnsi="Arial Narrow"/>
          <w:sz w:val="22"/>
          <w:szCs w:val="22"/>
        </w:rPr>
        <w:t xml:space="preserve">para producción de carne y leche, tales como el </w:t>
      </w:r>
      <w:r w:rsidR="009A21A1">
        <w:rPr>
          <w:rFonts w:ascii="Arial Narrow" w:hAnsi="Arial Narrow"/>
          <w:sz w:val="22"/>
          <w:szCs w:val="22"/>
        </w:rPr>
        <w:t>bovino, porcino, ovino y caprino</w:t>
      </w:r>
      <w:r w:rsidR="00943392">
        <w:rPr>
          <w:rFonts w:ascii="Arial Narrow" w:hAnsi="Arial Narrow"/>
          <w:sz w:val="22"/>
          <w:szCs w:val="22"/>
        </w:rPr>
        <w:t>;</w:t>
      </w:r>
      <w:r w:rsidR="009A21A1">
        <w:rPr>
          <w:rFonts w:ascii="Arial Narrow" w:hAnsi="Arial Narrow"/>
          <w:sz w:val="22"/>
          <w:szCs w:val="22"/>
        </w:rPr>
        <w:t xml:space="preserve"> </w:t>
      </w:r>
      <w:r w:rsidR="00AE7D3D">
        <w:rPr>
          <w:rFonts w:ascii="Arial Narrow" w:hAnsi="Arial Narrow"/>
          <w:sz w:val="22"/>
          <w:szCs w:val="22"/>
        </w:rPr>
        <w:t xml:space="preserve">así como </w:t>
      </w:r>
      <w:r w:rsidR="00BD6A90">
        <w:rPr>
          <w:rFonts w:ascii="Arial Narrow" w:hAnsi="Arial Narrow"/>
          <w:sz w:val="22"/>
          <w:szCs w:val="22"/>
        </w:rPr>
        <w:t xml:space="preserve">la cría de </w:t>
      </w:r>
      <w:r w:rsidR="002D3DC6">
        <w:rPr>
          <w:rFonts w:ascii="Arial Narrow" w:hAnsi="Arial Narrow"/>
          <w:sz w:val="22"/>
          <w:szCs w:val="22"/>
        </w:rPr>
        <w:t>aves</w:t>
      </w:r>
      <w:r w:rsidR="00BD6A90">
        <w:rPr>
          <w:rFonts w:ascii="Arial Narrow" w:hAnsi="Arial Narrow"/>
          <w:sz w:val="22"/>
          <w:szCs w:val="22"/>
        </w:rPr>
        <w:t xml:space="preserve"> para la producción de huevos y carne</w:t>
      </w:r>
      <w:r w:rsidR="00943392">
        <w:rPr>
          <w:rFonts w:ascii="Arial Narrow" w:hAnsi="Arial Narrow"/>
          <w:sz w:val="22"/>
          <w:szCs w:val="22"/>
        </w:rPr>
        <w:t>, entre otros (</w:t>
      </w:r>
      <w:r w:rsidR="00A9150F" w:rsidRPr="00061401">
        <w:rPr>
          <w:rFonts w:ascii="Arial Narrow" w:hAnsi="Arial Narrow"/>
          <w:sz w:val="22"/>
          <w:szCs w:val="22"/>
        </w:rPr>
        <w:t>ICA,</w:t>
      </w:r>
      <w:r w:rsidR="00A9150F">
        <w:rPr>
          <w:rFonts w:ascii="Arial Narrow" w:hAnsi="Arial Narrow"/>
          <w:sz w:val="22"/>
          <w:szCs w:val="22"/>
        </w:rPr>
        <w:t xml:space="preserve"> 2018</w:t>
      </w:r>
      <w:r w:rsidR="00943392">
        <w:rPr>
          <w:rFonts w:ascii="Arial Narrow" w:hAnsi="Arial Narrow"/>
          <w:sz w:val="22"/>
          <w:szCs w:val="22"/>
        </w:rPr>
        <w:t>)</w:t>
      </w:r>
      <w:r w:rsidR="0023740B">
        <w:rPr>
          <w:rFonts w:ascii="Arial Narrow" w:hAnsi="Arial Narrow"/>
          <w:sz w:val="22"/>
          <w:szCs w:val="22"/>
        </w:rPr>
        <w:t>.</w:t>
      </w:r>
    </w:p>
    <w:p w14:paraId="1983F63F" w14:textId="626BF836" w:rsidR="0023740B" w:rsidRDefault="00AF12CC" w:rsidP="009B3B1E">
      <w:pPr>
        <w:spacing w:line="276" w:lineRule="auto"/>
        <w:jc w:val="both"/>
        <w:rPr>
          <w:rFonts w:ascii="Arial Narrow" w:hAnsi="Arial Narrow"/>
          <w:sz w:val="22"/>
          <w:szCs w:val="22"/>
        </w:rPr>
      </w:pPr>
      <w:r>
        <w:rPr>
          <w:rFonts w:ascii="Arial Narrow" w:hAnsi="Arial Narrow"/>
          <w:sz w:val="22"/>
          <w:szCs w:val="22"/>
        </w:rPr>
        <w:t xml:space="preserve">De la mano de la producción agropecuaria, también se generan diferentes subproductos, cuya cantidad y composición varían según </w:t>
      </w:r>
      <w:r w:rsidR="00EF3D03">
        <w:rPr>
          <w:rFonts w:ascii="Arial Narrow" w:hAnsi="Arial Narrow"/>
          <w:sz w:val="22"/>
          <w:szCs w:val="22"/>
        </w:rPr>
        <w:t>su origen. Por ejemplo, se destacan los residuos agrícolas de cosecha (RAC) de diferentes cultivos</w:t>
      </w:r>
      <w:r w:rsidR="00A84CAC">
        <w:rPr>
          <w:rFonts w:ascii="Arial Narrow" w:hAnsi="Arial Narrow"/>
          <w:sz w:val="22"/>
          <w:szCs w:val="22"/>
        </w:rPr>
        <w:t xml:space="preserve">, </w:t>
      </w:r>
      <w:r w:rsidR="00F33A1F">
        <w:rPr>
          <w:rFonts w:ascii="Arial Narrow" w:hAnsi="Arial Narrow"/>
          <w:sz w:val="22"/>
          <w:szCs w:val="22"/>
        </w:rPr>
        <w:t xml:space="preserve">así como </w:t>
      </w:r>
      <w:r w:rsidR="005838A7">
        <w:rPr>
          <w:rFonts w:ascii="Arial Narrow" w:hAnsi="Arial Narrow"/>
          <w:sz w:val="22"/>
          <w:szCs w:val="22"/>
        </w:rPr>
        <w:t>aquellos</w:t>
      </w:r>
      <w:r w:rsidR="00F33A1F">
        <w:rPr>
          <w:rFonts w:ascii="Arial Narrow" w:hAnsi="Arial Narrow"/>
          <w:sz w:val="22"/>
          <w:szCs w:val="22"/>
        </w:rPr>
        <w:t xml:space="preserve"> que se generan durante su procesamiento</w:t>
      </w:r>
      <w:r w:rsidR="00A84CAC">
        <w:rPr>
          <w:rFonts w:ascii="Arial Narrow" w:hAnsi="Arial Narrow"/>
          <w:sz w:val="22"/>
          <w:szCs w:val="22"/>
        </w:rPr>
        <w:t xml:space="preserve">. </w:t>
      </w:r>
      <w:r w:rsidR="000C4366">
        <w:rPr>
          <w:rFonts w:ascii="Arial Narrow" w:hAnsi="Arial Narrow"/>
          <w:sz w:val="22"/>
          <w:szCs w:val="22"/>
        </w:rPr>
        <w:t xml:space="preserve">En cuanto a la producción </w:t>
      </w:r>
      <w:r w:rsidR="00F33A1F">
        <w:rPr>
          <w:rFonts w:ascii="Arial Narrow" w:hAnsi="Arial Narrow"/>
          <w:sz w:val="22"/>
          <w:szCs w:val="22"/>
        </w:rPr>
        <w:t xml:space="preserve">de residuos de origen animal, </w:t>
      </w:r>
      <w:r w:rsidR="00ED1CC5">
        <w:rPr>
          <w:rFonts w:ascii="Arial Narrow" w:hAnsi="Arial Narrow"/>
          <w:sz w:val="22"/>
          <w:szCs w:val="22"/>
        </w:rPr>
        <w:t xml:space="preserve">se incluye el estiércol y también algunos </w:t>
      </w:r>
      <w:r w:rsidR="005838A7">
        <w:rPr>
          <w:rFonts w:ascii="Arial Narrow" w:hAnsi="Arial Narrow"/>
          <w:sz w:val="22"/>
          <w:szCs w:val="22"/>
        </w:rPr>
        <w:t xml:space="preserve">subproductos generados en el beneficio y procesamiento. </w:t>
      </w:r>
      <w:r w:rsidR="00986B90">
        <w:rPr>
          <w:rFonts w:ascii="Arial Narrow" w:hAnsi="Arial Narrow"/>
          <w:sz w:val="22"/>
          <w:szCs w:val="22"/>
        </w:rPr>
        <w:t xml:space="preserve">La cantidad de subproductos que se generan en todas estas actividades se puede estimar a través de indicadores </w:t>
      </w:r>
      <w:r w:rsidR="008E46D5">
        <w:rPr>
          <w:rFonts w:ascii="Arial Narrow" w:hAnsi="Arial Narrow"/>
          <w:sz w:val="22"/>
          <w:szCs w:val="22"/>
        </w:rPr>
        <w:t xml:space="preserve">que establecen una relación entre el área </w:t>
      </w:r>
      <w:r w:rsidR="00E8678B">
        <w:rPr>
          <w:rFonts w:ascii="Arial Narrow" w:hAnsi="Arial Narrow"/>
          <w:sz w:val="22"/>
          <w:szCs w:val="22"/>
        </w:rPr>
        <w:t>cultivada, un número de animales o la cantidad de producto obtenido</w:t>
      </w:r>
      <w:r w:rsidR="00A32CF3">
        <w:rPr>
          <w:rFonts w:ascii="Arial Narrow" w:hAnsi="Arial Narrow"/>
          <w:sz w:val="22"/>
          <w:szCs w:val="22"/>
        </w:rPr>
        <w:t>, y la cantidad de residuo que se genera</w:t>
      </w:r>
      <w:r w:rsidR="00E8678B">
        <w:rPr>
          <w:rFonts w:ascii="Arial Narrow" w:hAnsi="Arial Narrow"/>
          <w:sz w:val="22"/>
          <w:szCs w:val="22"/>
        </w:rPr>
        <w:t xml:space="preserve">. </w:t>
      </w:r>
      <w:r w:rsidR="005838A7">
        <w:rPr>
          <w:rFonts w:ascii="Arial Narrow" w:hAnsi="Arial Narrow"/>
          <w:sz w:val="22"/>
          <w:szCs w:val="22"/>
        </w:rPr>
        <w:t xml:space="preserve">En la tabla 1 se </w:t>
      </w:r>
      <w:r w:rsidR="00991169">
        <w:rPr>
          <w:rFonts w:ascii="Arial Narrow" w:hAnsi="Arial Narrow"/>
          <w:sz w:val="22"/>
          <w:szCs w:val="22"/>
        </w:rPr>
        <w:t>muestran</w:t>
      </w:r>
      <w:r w:rsidR="005838A7">
        <w:rPr>
          <w:rFonts w:ascii="Arial Narrow" w:hAnsi="Arial Narrow"/>
          <w:sz w:val="22"/>
          <w:szCs w:val="22"/>
        </w:rPr>
        <w:t xml:space="preserve"> indicadores de </w:t>
      </w:r>
      <w:r w:rsidR="009937A3">
        <w:rPr>
          <w:rFonts w:ascii="Arial Narrow" w:hAnsi="Arial Narrow"/>
          <w:sz w:val="22"/>
          <w:szCs w:val="22"/>
        </w:rPr>
        <w:t>producción</w:t>
      </w:r>
      <w:r w:rsidR="005838A7">
        <w:rPr>
          <w:rFonts w:ascii="Arial Narrow" w:hAnsi="Arial Narrow"/>
          <w:sz w:val="22"/>
          <w:szCs w:val="22"/>
        </w:rPr>
        <w:t xml:space="preserve"> de subproductos para </w:t>
      </w:r>
      <w:r w:rsidR="00EE7DEF">
        <w:rPr>
          <w:rFonts w:ascii="Arial Narrow" w:hAnsi="Arial Narrow"/>
          <w:sz w:val="22"/>
          <w:szCs w:val="22"/>
        </w:rPr>
        <w:t>algunas</w:t>
      </w:r>
      <w:r w:rsidR="005838A7">
        <w:rPr>
          <w:rFonts w:ascii="Arial Narrow" w:hAnsi="Arial Narrow"/>
          <w:sz w:val="22"/>
          <w:szCs w:val="22"/>
        </w:rPr>
        <w:t xml:space="preserve"> </w:t>
      </w:r>
      <w:r w:rsidR="005F4219">
        <w:rPr>
          <w:rFonts w:ascii="Arial Narrow" w:hAnsi="Arial Narrow"/>
          <w:sz w:val="22"/>
          <w:szCs w:val="22"/>
        </w:rPr>
        <w:t>especies agrícolas y pecuarias en Colombia.</w:t>
      </w:r>
    </w:p>
    <w:p w14:paraId="282C9FFC" w14:textId="7BF4D504" w:rsidR="00367019" w:rsidRDefault="00367019" w:rsidP="009B3B1E">
      <w:pPr>
        <w:spacing w:line="276" w:lineRule="auto"/>
        <w:jc w:val="both"/>
        <w:rPr>
          <w:rFonts w:ascii="Arial Narrow" w:hAnsi="Arial Narrow"/>
          <w:sz w:val="22"/>
          <w:szCs w:val="22"/>
        </w:rPr>
      </w:pPr>
      <w:r>
        <w:rPr>
          <w:rFonts w:ascii="Arial Narrow" w:hAnsi="Arial Narrow"/>
          <w:sz w:val="22"/>
          <w:szCs w:val="22"/>
        </w:rPr>
        <w:t>Si bien es ampliamente conocida la utilidad de estos subproductos como fuente de nutrientes para el suelo, o como fuente de energía, entre otros usos, se estima que el 5.4% de las Unidades de Producción Agropecuaria (UPA) en Colombia aprovechan los residuos agrícolas y forestales, y solo el 4.1% aprovecha los residuos pecuarios (</w:t>
      </w:r>
      <w:r w:rsidR="009D055D">
        <w:rPr>
          <w:rFonts w:ascii="Arial Narrow" w:hAnsi="Arial Narrow"/>
          <w:sz w:val="22"/>
          <w:szCs w:val="22"/>
        </w:rPr>
        <w:t>Contexto</w:t>
      </w:r>
      <w:r>
        <w:rPr>
          <w:rFonts w:ascii="Arial Narrow" w:hAnsi="Arial Narrow"/>
          <w:sz w:val="22"/>
          <w:szCs w:val="22"/>
        </w:rPr>
        <w:t xml:space="preserve"> Ganadero, 2023). Esta situación plantea dos desafíos: primero, el inadecuado manejo de estos subproductos genera riesgos de contaminación ambiental; segundo: es un recurso con potencial de valorización que no se está aprovechando.</w:t>
      </w:r>
    </w:p>
    <w:p w14:paraId="2EA4DDFF" w14:textId="77777777" w:rsidR="00506256" w:rsidRPr="00EC67E0" w:rsidRDefault="00506256" w:rsidP="00506256">
      <w:pPr>
        <w:spacing w:line="276" w:lineRule="auto"/>
        <w:jc w:val="both"/>
        <w:rPr>
          <w:rFonts w:ascii="Arial Narrow" w:hAnsi="Arial Narrow"/>
          <w:sz w:val="22"/>
          <w:szCs w:val="22"/>
        </w:rPr>
      </w:pPr>
      <w:r>
        <w:rPr>
          <w:rFonts w:ascii="Arial Narrow" w:hAnsi="Arial Narrow"/>
          <w:sz w:val="22"/>
          <w:szCs w:val="22"/>
        </w:rPr>
        <w:t xml:space="preserve">Un aprovechamiento sostenible de los subproductos agropecuarios puede contribuir al desarrollo del agro colombiano, con beneficios ambientales, sociales y económicos. Sin embargo, para avanzar en esta tarea, son necesarios esfuerzos de diferentes sectores, entre ellos la academia. La formación de profesionales, la generación de conocimiento y la innovación, son motores de desarrollo en alternativas de valorización de estos recursos, y el Departamento de Ingeniería Civil y Agrícola de la Universidad Nacional de Colombia está llamado a liderar esta transición, en temas como la economía circular, bioenergía, producción de bioproductos y diseño de sistemas integrados rural-industriales. </w:t>
      </w:r>
    </w:p>
    <w:p w14:paraId="070D66C7" w14:textId="77777777" w:rsidR="00367019" w:rsidRDefault="00367019" w:rsidP="009B3B1E">
      <w:pPr>
        <w:spacing w:line="276" w:lineRule="auto"/>
        <w:jc w:val="both"/>
        <w:rPr>
          <w:rFonts w:ascii="Arial Narrow" w:hAnsi="Arial Narrow"/>
          <w:sz w:val="22"/>
          <w:szCs w:val="22"/>
        </w:rPr>
      </w:pPr>
    </w:p>
    <w:p w14:paraId="744D750A" w14:textId="77777777" w:rsidR="00506256" w:rsidRDefault="00506256" w:rsidP="009B3B1E">
      <w:pPr>
        <w:spacing w:line="276" w:lineRule="auto"/>
        <w:jc w:val="both"/>
        <w:rPr>
          <w:rFonts w:ascii="Arial Narrow" w:hAnsi="Arial Narrow"/>
          <w:sz w:val="22"/>
          <w:szCs w:val="22"/>
        </w:rPr>
      </w:pPr>
    </w:p>
    <w:p w14:paraId="35124A1C" w14:textId="7FA8D63F" w:rsidR="00FD45FF" w:rsidRDefault="004F4187" w:rsidP="009B3B1E">
      <w:pPr>
        <w:spacing w:line="276" w:lineRule="auto"/>
        <w:jc w:val="both"/>
        <w:rPr>
          <w:rFonts w:ascii="Arial Narrow" w:hAnsi="Arial Narrow"/>
          <w:sz w:val="22"/>
          <w:szCs w:val="22"/>
        </w:rPr>
      </w:pPr>
      <w:r w:rsidRPr="004F4187">
        <w:rPr>
          <w:rFonts w:ascii="Arial Narrow" w:hAnsi="Arial Narrow"/>
          <w:b/>
          <w:bCs/>
          <w:sz w:val="22"/>
          <w:szCs w:val="22"/>
        </w:rPr>
        <w:lastRenderedPageBreak/>
        <w:t>Tabla 1.</w:t>
      </w:r>
      <w:r>
        <w:rPr>
          <w:rFonts w:ascii="Arial Narrow" w:hAnsi="Arial Narrow"/>
          <w:sz w:val="22"/>
          <w:szCs w:val="22"/>
        </w:rPr>
        <w:t xml:space="preserve"> Indicadores de producción de algunos subproductos agropecuarios</w:t>
      </w:r>
    </w:p>
    <w:tbl>
      <w:tblPr>
        <w:tblStyle w:val="Tablaconcuadrcula"/>
        <w:tblW w:w="0" w:type="auto"/>
        <w:tblLook w:val="04A0" w:firstRow="1" w:lastRow="0" w:firstColumn="1" w:lastColumn="0" w:noHBand="0" w:noVBand="1"/>
      </w:tblPr>
      <w:tblGrid>
        <w:gridCol w:w="2322"/>
        <w:gridCol w:w="2311"/>
        <w:gridCol w:w="2262"/>
        <w:gridCol w:w="1933"/>
      </w:tblGrid>
      <w:tr w:rsidR="003E47AC" w14:paraId="161E8EAB" w14:textId="0DAF9751" w:rsidTr="003E47AC">
        <w:tc>
          <w:tcPr>
            <w:tcW w:w="2322" w:type="dxa"/>
            <w:vAlign w:val="center"/>
          </w:tcPr>
          <w:p w14:paraId="2F87A7E9" w14:textId="1AEF256B" w:rsidR="003E47AC" w:rsidRPr="003E47AC" w:rsidRDefault="003E47AC" w:rsidP="009B3B1E">
            <w:pPr>
              <w:spacing w:line="276" w:lineRule="auto"/>
              <w:jc w:val="both"/>
              <w:rPr>
                <w:rFonts w:ascii="Arial Narrow" w:hAnsi="Arial Narrow"/>
                <w:b/>
                <w:bCs/>
                <w:sz w:val="22"/>
                <w:szCs w:val="22"/>
              </w:rPr>
            </w:pPr>
            <w:r w:rsidRPr="003E47AC">
              <w:rPr>
                <w:rFonts w:ascii="Arial Narrow" w:hAnsi="Arial Narrow"/>
                <w:b/>
                <w:bCs/>
                <w:sz w:val="22"/>
                <w:szCs w:val="22"/>
              </w:rPr>
              <w:t>Especie agropecuaria</w:t>
            </w:r>
          </w:p>
        </w:tc>
        <w:tc>
          <w:tcPr>
            <w:tcW w:w="2311" w:type="dxa"/>
            <w:vAlign w:val="center"/>
          </w:tcPr>
          <w:p w14:paraId="024160CD" w14:textId="0906E7D1" w:rsidR="003E47AC" w:rsidRPr="003E47AC" w:rsidRDefault="003E47AC" w:rsidP="009B3B1E">
            <w:pPr>
              <w:spacing w:line="276" w:lineRule="auto"/>
              <w:jc w:val="both"/>
              <w:rPr>
                <w:rFonts w:ascii="Arial Narrow" w:hAnsi="Arial Narrow"/>
                <w:b/>
                <w:bCs/>
                <w:sz w:val="22"/>
                <w:szCs w:val="22"/>
              </w:rPr>
            </w:pPr>
            <w:r w:rsidRPr="003E47AC">
              <w:rPr>
                <w:rFonts w:ascii="Arial Narrow" w:hAnsi="Arial Narrow"/>
                <w:b/>
                <w:bCs/>
                <w:sz w:val="22"/>
                <w:szCs w:val="22"/>
              </w:rPr>
              <w:t>Subproducto generado</w:t>
            </w:r>
          </w:p>
        </w:tc>
        <w:tc>
          <w:tcPr>
            <w:tcW w:w="2262" w:type="dxa"/>
            <w:vAlign w:val="center"/>
          </w:tcPr>
          <w:p w14:paraId="212B5312" w14:textId="37A9E6BB" w:rsidR="003E47AC" w:rsidRPr="003E47AC" w:rsidRDefault="003E47AC" w:rsidP="009B3B1E">
            <w:pPr>
              <w:spacing w:line="276" w:lineRule="auto"/>
              <w:jc w:val="both"/>
              <w:rPr>
                <w:rFonts w:ascii="Arial Narrow" w:hAnsi="Arial Narrow"/>
                <w:b/>
                <w:bCs/>
                <w:sz w:val="22"/>
                <w:szCs w:val="22"/>
              </w:rPr>
            </w:pPr>
            <w:r w:rsidRPr="003E47AC">
              <w:rPr>
                <w:rFonts w:ascii="Arial Narrow" w:hAnsi="Arial Narrow"/>
                <w:b/>
                <w:bCs/>
                <w:sz w:val="22"/>
                <w:szCs w:val="22"/>
              </w:rPr>
              <w:t xml:space="preserve">Indicador de </w:t>
            </w:r>
            <w:r w:rsidR="009937A3">
              <w:rPr>
                <w:rFonts w:ascii="Arial Narrow" w:hAnsi="Arial Narrow"/>
                <w:b/>
                <w:bCs/>
                <w:sz w:val="22"/>
                <w:szCs w:val="22"/>
              </w:rPr>
              <w:t>producción</w:t>
            </w:r>
            <w:r w:rsidRPr="003E47AC">
              <w:rPr>
                <w:rFonts w:ascii="Arial Narrow" w:hAnsi="Arial Narrow"/>
                <w:b/>
                <w:bCs/>
                <w:sz w:val="22"/>
                <w:szCs w:val="22"/>
              </w:rPr>
              <w:t xml:space="preserve"> de suproducto (unidad)</w:t>
            </w:r>
          </w:p>
        </w:tc>
        <w:tc>
          <w:tcPr>
            <w:tcW w:w="1933" w:type="dxa"/>
            <w:vAlign w:val="center"/>
          </w:tcPr>
          <w:p w14:paraId="244CC383" w14:textId="540BCF5D" w:rsidR="003E47AC" w:rsidRPr="003E47AC" w:rsidRDefault="003E47AC" w:rsidP="009B3B1E">
            <w:pPr>
              <w:spacing w:line="276" w:lineRule="auto"/>
              <w:jc w:val="both"/>
              <w:rPr>
                <w:rFonts w:ascii="Arial Narrow" w:hAnsi="Arial Narrow"/>
                <w:b/>
                <w:bCs/>
                <w:sz w:val="22"/>
                <w:szCs w:val="22"/>
              </w:rPr>
            </w:pPr>
            <w:r w:rsidRPr="003E47AC">
              <w:rPr>
                <w:rFonts w:ascii="Arial Narrow" w:hAnsi="Arial Narrow"/>
                <w:b/>
                <w:bCs/>
                <w:sz w:val="22"/>
                <w:szCs w:val="22"/>
              </w:rPr>
              <w:t>Fuente</w:t>
            </w:r>
          </w:p>
        </w:tc>
      </w:tr>
      <w:tr w:rsidR="003E47AC" w14:paraId="02D8BB56" w14:textId="731BCCC2" w:rsidTr="003E47AC">
        <w:tc>
          <w:tcPr>
            <w:tcW w:w="2322" w:type="dxa"/>
            <w:vAlign w:val="center"/>
          </w:tcPr>
          <w:p w14:paraId="2D53F849" w14:textId="1817265D" w:rsidR="003E47AC" w:rsidRDefault="003E47AC" w:rsidP="009B3B1E">
            <w:pPr>
              <w:spacing w:line="276" w:lineRule="auto"/>
              <w:jc w:val="both"/>
              <w:rPr>
                <w:rFonts w:ascii="Arial Narrow" w:hAnsi="Arial Narrow"/>
                <w:sz w:val="22"/>
                <w:szCs w:val="22"/>
              </w:rPr>
            </w:pPr>
            <w:r>
              <w:rPr>
                <w:rFonts w:ascii="Arial Narrow" w:hAnsi="Arial Narrow"/>
                <w:sz w:val="22"/>
                <w:szCs w:val="22"/>
              </w:rPr>
              <w:t>Caña de azúcar</w:t>
            </w:r>
          </w:p>
        </w:tc>
        <w:tc>
          <w:tcPr>
            <w:tcW w:w="2311" w:type="dxa"/>
            <w:vAlign w:val="center"/>
          </w:tcPr>
          <w:p w14:paraId="0968CAE9" w14:textId="70C079F3" w:rsidR="003E47AC" w:rsidRDefault="003E47AC" w:rsidP="009B3B1E">
            <w:pPr>
              <w:spacing w:line="276" w:lineRule="auto"/>
              <w:jc w:val="both"/>
              <w:rPr>
                <w:rFonts w:ascii="Arial Narrow" w:hAnsi="Arial Narrow"/>
                <w:sz w:val="22"/>
                <w:szCs w:val="22"/>
              </w:rPr>
            </w:pPr>
            <w:r>
              <w:rPr>
                <w:rFonts w:ascii="Arial Narrow" w:hAnsi="Arial Narrow"/>
                <w:sz w:val="22"/>
                <w:szCs w:val="22"/>
              </w:rPr>
              <w:t>RAC (cogollos, hojas, chulquines, cepas, trozos de caña cortada)</w:t>
            </w:r>
          </w:p>
        </w:tc>
        <w:tc>
          <w:tcPr>
            <w:tcW w:w="2262" w:type="dxa"/>
            <w:vAlign w:val="center"/>
          </w:tcPr>
          <w:p w14:paraId="143CFD93" w14:textId="2C5815E2" w:rsidR="003E47AC" w:rsidRDefault="003E47AC" w:rsidP="009B3B1E">
            <w:pPr>
              <w:spacing w:line="276" w:lineRule="auto"/>
              <w:jc w:val="both"/>
              <w:rPr>
                <w:rFonts w:ascii="Arial Narrow" w:hAnsi="Arial Narrow"/>
                <w:sz w:val="22"/>
                <w:szCs w:val="22"/>
              </w:rPr>
            </w:pPr>
            <w:r>
              <w:rPr>
                <w:rFonts w:ascii="Arial Narrow" w:hAnsi="Arial Narrow"/>
                <w:sz w:val="22"/>
                <w:szCs w:val="22"/>
              </w:rPr>
              <w:t>36-55 (t/ha)</w:t>
            </w:r>
          </w:p>
        </w:tc>
        <w:tc>
          <w:tcPr>
            <w:tcW w:w="1933" w:type="dxa"/>
            <w:vAlign w:val="center"/>
          </w:tcPr>
          <w:p w14:paraId="0C8B3114" w14:textId="379209EA" w:rsidR="003E47AC" w:rsidRDefault="00B179E7" w:rsidP="009B3B1E">
            <w:pPr>
              <w:spacing w:line="276" w:lineRule="auto"/>
              <w:jc w:val="both"/>
              <w:rPr>
                <w:rFonts w:ascii="Arial Narrow" w:hAnsi="Arial Narrow"/>
                <w:sz w:val="22"/>
                <w:szCs w:val="22"/>
              </w:rPr>
            </w:pPr>
            <w:r w:rsidRPr="00D7680C">
              <w:rPr>
                <w:rFonts w:ascii="Arial Narrow" w:hAnsi="Arial Narrow"/>
                <w:sz w:val="22"/>
                <w:szCs w:val="22"/>
              </w:rPr>
              <w:t>Amu, 2011</w:t>
            </w:r>
          </w:p>
        </w:tc>
      </w:tr>
      <w:tr w:rsidR="003E47AC" w14:paraId="3FDB6B2F" w14:textId="4A978561" w:rsidTr="003E47AC">
        <w:tc>
          <w:tcPr>
            <w:tcW w:w="2322" w:type="dxa"/>
            <w:vAlign w:val="center"/>
          </w:tcPr>
          <w:p w14:paraId="4F9777EE" w14:textId="2DCD244E" w:rsidR="003E47AC" w:rsidRDefault="003E47AC" w:rsidP="009B3B1E">
            <w:pPr>
              <w:spacing w:line="276" w:lineRule="auto"/>
              <w:jc w:val="both"/>
              <w:rPr>
                <w:rFonts w:ascii="Arial Narrow" w:hAnsi="Arial Narrow"/>
                <w:sz w:val="22"/>
                <w:szCs w:val="22"/>
              </w:rPr>
            </w:pPr>
            <w:r>
              <w:rPr>
                <w:rFonts w:ascii="Arial Narrow" w:hAnsi="Arial Narrow"/>
                <w:sz w:val="22"/>
                <w:szCs w:val="22"/>
              </w:rPr>
              <w:t>Café</w:t>
            </w:r>
          </w:p>
        </w:tc>
        <w:tc>
          <w:tcPr>
            <w:tcW w:w="2311" w:type="dxa"/>
            <w:vAlign w:val="center"/>
          </w:tcPr>
          <w:p w14:paraId="00E0CD51" w14:textId="38949B42" w:rsidR="003E47AC" w:rsidRDefault="003E47AC" w:rsidP="009B3B1E">
            <w:pPr>
              <w:spacing w:line="276" w:lineRule="auto"/>
              <w:jc w:val="both"/>
              <w:rPr>
                <w:rFonts w:ascii="Arial Narrow" w:hAnsi="Arial Narrow"/>
                <w:sz w:val="22"/>
                <w:szCs w:val="22"/>
              </w:rPr>
            </w:pPr>
            <w:r>
              <w:rPr>
                <w:rFonts w:ascii="Arial Narrow" w:hAnsi="Arial Narrow"/>
                <w:sz w:val="22"/>
                <w:szCs w:val="22"/>
              </w:rPr>
              <w:t>Pulpa y mucílago</w:t>
            </w:r>
          </w:p>
        </w:tc>
        <w:tc>
          <w:tcPr>
            <w:tcW w:w="2262" w:type="dxa"/>
            <w:vAlign w:val="center"/>
          </w:tcPr>
          <w:p w14:paraId="4B315D77" w14:textId="7ACFB53A" w:rsidR="003E47AC" w:rsidRDefault="003E47AC" w:rsidP="009B3B1E">
            <w:pPr>
              <w:spacing w:line="276" w:lineRule="auto"/>
              <w:jc w:val="both"/>
              <w:rPr>
                <w:rFonts w:ascii="Arial Narrow" w:hAnsi="Arial Narrow"/>
                <w:sz w:val="22"/>
                <w:szCs w:val="22"/>
              </w:rPr>
            </w:pPr>
            <w:r>
              <w:rPr>
                <w:rFonts w:ascii="Arial Narrow" w:hAnsi="Arial Narrow"/>
                <w:sz w:val="22"/>
                <w:szCs w:val="22"/>
              </w:rPr>
              <w:t>58 (% p/p de cereza)</w:t>
            </w:r>
          </w:p>
        </w:tc>
        <w:tc>
          <w:tcPr>
            <w:tcW w:w="1933" w:type="dxa"/>
            <w:vAlign w:val="center"/>
          </w:tcPr>
          <w:p w14:paraId="31E4A8D7" w14:textId="2AA6B299" w:rsidR="003E47AC" w:rsidRDefault="00492507" w:rsidP="009B3B1E">
            <w:pPr>
              <w:spacing w:line="276" w:lineRule="auto"/>
              <w:jc w:val="both"/>
              <w:rPr>
                <w:rFonts w:ascii="Arial Narrow" w:hAnsi="Arial Narrow"/>
                <w:sz w:val="22"/>
                <w:szCs w:val="22"/>
              </w:rPr>
            </w:pPr>
            <w:r w:rsidRPr="00D7680C">
              <w:rPr>
                <w:rFonts w:ascii="Arial Narrow" w:hAnsi="Arial Narrow"/>
                <w:sz w:val="22"/>
                <w:szCs w:val="22"/>
              </w:rPr>
              <w:t>Rodríguez &amp; Zambrano, 2010; SMASAP, 2013</w:t>
            </w:r>
          </w:p>
        </w:tc>
      </w:tr>
      <w:tr w:rsidR="003E47AC" w14:paraId="4F9BCEF3" w14:textId="6A196193" w:rsidTr="003E47AC">
        <w:tc>
          <w:tcPr>
            <w:tcW w:w="2322" w:type="dxa"/>
            <w:vAlign w:val="center"/>
          </w:tcPr>
          <w:p w14:paraId="5FABBDEB" w14:textId="38290071" w:rsidR="003E47AC" w:rsidRDefault="002B2C16" w:rsidP="009B3B1E">
            <w:pPr>
              <w:spacing w:line="276" w:lineRule="auto"/>
              <w:jc w:val="both"/>
              <w:rPr>
                <w:rFonts w:ascii="Arial Narrow" w:hAnsi="Arial Narrow"/>
                <w:sz w:val="22"/>
                <w:szCs w:val="22"/>
              </w:rPr>
            </w:pPr>
            <w:r>
              <w:rPr>
                <w:rFonts w:ascii="Arial Narrow" w:hAnsi="Arial Narrow"/>
                <w:sz w:val="22"/>
                <w:szCs w:val="22"/>
              </w:rPr>
              <w:t>Plátano</w:t>
            </w:r>
          </w:p>
        </w:tc>
        <w:tc>
          <w:tcPr>
            <w:tcW w:w="2311" w:type="dxa"/>
            <w:vAlign w:val="center"/>
          </w:tcPr>
          <w:p w14:paraId="5AA1C406" w14:textId="2D3B6A1D" w:rsidR="003E47AC" w:rsidRDefault="00865BC8" w:rsidP="009B3B1E">
            <w:pPr>
              <w:spacing w:line="276" w:lineRule="auto"/>
              <w:jc w:val="both"/>
              <w:rPr>
                <w:rFonts w:ascii="Arial Narrow" w:hAnsi="Arial Narrow"/>
                <w:sz w:val="22"/>
                <w:szCs w:val="22"/>
              </w:rPr>
            </w:pPr>
            <w:r>
              <w:rPr>
                <w:rFonts w:ascii="Arial Narrow" w:hAnsi="Arial Narrow"/>
                <w:sz w:val="22"/>
                <w:szCs w:val="22"/>
              </w:rPr>
              <w:t>Pseudotallo, c</w:t>
            </w:r>
            <w:r w:rsidR="00EF49BA">
              <w:rPr>
                <w:rFonts w:ascii="Arial Narrow" w:hAnsi="Arial Narrow"/>
                <w:sz w:val="22"/>
                <w:szCs w:val="22"/>
              </w:rPr>
              <w:t>áscara y v</w:t>
            </w:r>
            <w:r w:rsidR="002B2C16">
              <w:rPr>
                <w:rFonts w:ascii="Arial Narrow" w:hAnsi="Arial Narrow"/>
                <w:sz w:val="22"/>
                <w:szCs w:val="22"/>
              </w:rPr>
              <w:t>ástago</w:t>
            </w:r>
          </w:p>
        </w:tc>
        <w:tc>
          <w:tcPr>
            <w:tcW w:w="2262" w:type="dxa"/>
            <w:vAlign w:val="center"/>
          </w:tcPr>
          <w:p w14:paraId="0AEA0A5A" w14:textId="2BE2DB61" w:rsidR="003E47AC" w:rsidRDefault="00562358" w:rsidP="009B3B1E">
            <w:pPr>
              <w:spacing w:line="276" w:lineRule="auto"/>
              <w:jc w:val="both"/>
              <w:rPr>
                <w:rFonts w:ascii="Arial Narrow" w:hAnsi="Arial Narrow"/>
                <w:sz w:val="22"/>
                <w:szCs w:val="22"/>
              </w:rPr>
            </w:pPr>
            <w:r>
              <w:rPr>
                <w:rFonts w:ascii="Arial Narrow" w:hAnsi="Arial Narrow"/>
                <w:sz w:val="22"/>
                <w:szCs w:val="22"/>
              </w:rPr>
              <w:t>4 (t/t de plátano)</w:t>
            </w:r>
          </w:p>
        </w:tc>
        <w:tc>
          <w:tcPr>
            <w:tcW w:w="1933" w:type="dxa"/>
            <w:vAlign w:val="center"/>
          </w:tcPr>
          <w:p w14:paraId="6AC12DD3" w14:textId="30B2FBA1" w:rsidR="003E47AC" w:rsidRDefault="00EA40A5" w:rsidP="009B3B1E">
            <w:pPr>
              <w:spacing w:line="276" w:lineRule="auto"/>
              <w:jc w:val="both"/>
              <w:rPr>
                <w:rFonts w:ascii="Arial Narrow" w:hAnsi="Arial Narrow"/>
                <w:sz w:val="22"/>
                <w:szCs w:val="22"/>
              </w:rPr>
            </w:pPr>
            <w:r w:rsidRPr="00EA40A5">
              <w:rPr>
                <w:rFonts w:ascii="Arial Narrow" w:hAnsi="Arial Narrow"/>
                <w:sz w:val="22"/>
                <w:szCs w:val="22"/>
              </w:rPr>
              <w:t>Fernandes, Marangoni, Souza, &amp; Sellin (2013)</w:t>
            </w:r>
          </w:p>
        </w:tc>
      </w:tr>
      <w:tr w:rsidR="00AD2D83" w14:paraId="3D782E88" w14:textId="77777777" w:rsidTr="003E47AC">
        <w:tc>
          <w:tcPr>
            <w:tcW w:w="2322" w:type="dxa"/>
            <w:vAlign w:val="center"/>
          </w:tcPr>
          <w:p w14:paraId="5683F6D1" w14:textId="7F4A3F71" w:rsidR="00AD2D83" w:rsidRDefault="00AD2D83" w:rsidP="009B3B1E">
            <w:pPr>
              <w:spacing w:line="276" w:lineRule="auto"/>
              <w:jc w:val="both"/>
              <w:rPr>
                <w:rFonts w:ascii="Arial Narrow" w:hAnsi="Arial Narrow"/>
                <w:sz w:val="22"/>
                <w:szCs w:val="22"/>
              </w:rPr>
            </w:pPr>
            <w:r>
              <w:rPr>
                <w:rFonts w:ascii="Arial Narrow" w:hAnsi="Arial Narrow"/>
                <w:sz w:val="22"/>
                <w:szCs w:val="22"/>
              </w:rPr>
              <w:t>Maíz</w:t>
            </w:r>
          </w:p>
        </w:tc>
        <w:tc>
          <w:tcPr>
            <w:tcW w:w="2311" w:type="dxa"/>
            <w:vAlign w:val="center"/>
          </w:tcPr>
          <w:p w14:paraId="1FA08A84" w14:textId="56855942" w:rsidR="00AD2D83" w:rsidRDefault="00E37A6D" w:rsidP="009B3B1E">
            <w:pPr>
              <w:spacing w:line="276" w:lineRule="auto"/>
              <w:jc w:val="both"/>
              <w:rPr>
                <w:rFonts w:ascii="Arial Narrow" w:hAnsi="Arial Narrow"/>
                <w:sz w:val="22"/>
                <w:szCs w:val="22"/>
              </w:rPr>
            </w:pPr>
            <w:r>
              <w:rPr>
                <w:rFonts w:ascii="Arial Narrow" w:hAnsi="Arial Narrow"/>
                <w:sz w:val="22"/>
                <w:szCs w:val="22"/>
              </w:rPr>
              <w:t>Tallo, hojas, panoja</w:t>
            </w:r>
          </w:p>
        </w:tc>
        <w:tc>
          <w:tcPr>
            <w:tcW w:w="2262" w:type="dxa"/>
            <w:vAlign w:val="center"/>
          </w:tcPr>
          <w:p w14:paraId="6CEEB494" w14:textId="1C75772A" w:rsidR="00AD2D83" w:rsidRDefault="002616D9" w:rsidP="009B3B1E">
            <w:pPr>
              <w:spacing w:line="276" w:lineRule="auto"/>
              <w:jc w:val="both"/>
              <w:rPr>
                <w:rFonts w:ascii="Arial Narrow" w:hAnsi="Arial Narrow"/>
                <w:sz w:val="22"/>
                <w:szCs w:val="22"/>
              </w:rPr>
            </w:pPr>
            <w:r>
              <w:rPr>
                <w:rFonts w:ascii="Arial Narrow" w:hAnsi="Arial Narrow"/>
                <w:sz w:val="22"/>
                <w:szCs w:val="22"/>
              </w:rPr>
              <w:t>7.01 (t/ha)</w:t>
            </w:r>
          </w:p>
        </w:tc>
        <w:tc>
          <w:tcPr>
            <w:tcW w:w="1933" w:type="dxa"/>
            <w:vAlign w:val="center"/>
          </w:tcPr>
          <w:p w14:paraId="1C928EAC" w14:textId="0D6C4D9A" w:rsidR="00AD2D83" w:rsidRPr="00EA40A5" w:rsidRDefault="000B500F" w:rsidP="009B3B1E">
            <w:pPr>
              <w:spacing w:line="276" w:lineRule="auto"/>
              <w:jc w:val="both"/>
              <w:rPr>
                <w:rFonts w:ascii="Arial Narrow" w:hAnsi="Arial Narrow"/>
                <w:sz w:val="22"/>
                <w:szCs w:val="22"/>
              </w:rPr>
            </w:pPr>
            <w:r w:rsidRPr="000B500F">
              <w:rPr>
                <w:rFonts w:ascii="Arial Narrow" w:hAnsi="Arial Narrow"/>
                <w:sz w:val="22"/>
                <w:szCs w:val="22"/>
              </w:rPr>
              <w:t>Escalante et al., 2011</w:t>
            </w:r>
          </w:p>
        </w:tc>
      </w:tr>
      <w:tr w:rsidR="00AD2D83" w14:paraId="0F9811D7" w14:textId="77777777" w:rsidTr="003E47AC">
        <w:tc>
          <w:tcPr>
            <w:tcW w:w="2322" w:type="dxa"/>
            <w:vAlign w:val="center"/>
          </w:tcPr>
          <w:p w14:paraId="236A0594" w14:textId="7B829CCF" w:rsidR="00AD2D83" w:rsidRDefault="00A307FC" w:rsidP="009B3B1E">
            <w:pPr>
              <w:spacing w:line="276" w:lineRule="auto"/>
              <w:jc w:val="both"/>
              <w:rPr>
                <w:rFonts w:ascii="Arial Narrow" w:hAnsi="Arial Narrow"/>
                <w:sz w:val="22"/>
                <w:szCs w:val="22"/>
              </w:rPr>
            </w:pPr>
            <w:r>
              <w:rPr>
                <w:rFonts w:ascii="Arial Narrow" w:hAnsi="Arial Narrow"/>
                <w:sz w:val="22"/>
                <w:szCs w:val="22"/>
              </w:rPr>
              <w:t>Ganadería bovina</w:t>
            </w:r>
          </w:p>
        </w:tc>
        <w:tc>
          <w:tcPr>
            <w:tcW w:w="2311" w:type="dxa"/>
            <w:vAlign w:val="center"/>
          </w:tcPr>
          <w:p w14:paraId="3564B64A" w14:textId="42CE1ABB" w:rsidR="00AD2D83" w:rsidRDefault="008A48FD" w:rsidP="009B3B1E">
            <w:pPr>
              <w:spacing w:line="276" w:lineRule="auto"/>
              <w:jc w:val="both"/>
              <w:rPr>
                <w:rFonts w:ascii="Arial Narrow" w:hAnsi="Arial Narrow"/>
                <w:sz w:val="22"/>
                <w:szCs w:val="22"/>
              </w:rPr>
            </w:pPr>
            <w:r>
              <w:rPr>
                <w:rFonts w:ascii="Arial Narrow" w:hAnsi="Arial Narrow"/>
                <w:sz w:val="22"/>
                <w:szCs w:val="22"/>
              </w:rPr>
              <w:t>Estiércol</w:t>
            </w:r>
          </w:p>
        </w:tc>
        <w:tc>
          <w:tcPr>
            <w:tcW w:w="2262" w:type="dxa"/>
            <w:vAlign w:val="center"/>
          </w:tcPr>
          <w:p w14:paraId="73B1FF35" w14:textId="1E3BDBA5" w:rsidR="00AD2D83" w:rsidRDefault="00953915" w:rsidP="009B3B1E">
            <w:pPr>
              <w:spacing w:line="276" w:lineRule="auto"/>
              <w:jc w:val="both"/>
              <w:rPr>
                <w:rFonts w:ascii="Arial Narrow" w:hAnsi="Arial Narrow"/>
                <w:sz w:val="22"/>
                <w:szCs w:val="22"/>
              </w:rPr>
            </w:pPr>
            <w:r>
              <w:rPr>
                <w:rFonts w:ascii="Arial Narrow" w:hAnsi="Arial Narrow"/>
                <w:sz w:val="22"/>
                <w:szCs w:val="22"/>
              </w:rPr>
              <w:t>10 (kg/animal/día)</w:t>
            </w:r>
          </w:p>
        </w:tc>
        <w:tc>
          <w:tcPr>
            <w:tcW w:w="1933" w:type="dxa"/>
            <w:vAlign w:val="center"/>
          </w:tcPr>
          <w:p w14:paraId="0E989BA7" w14:textId="7DFDE405" w:rsidR="00AD2D83" w:rsidRPr="00EA40A5" w:rsidRDefault="00220C0C" w:rsidP="009B3B1E">
            <w:pPr>
              <w:spacing w:line="276" w:lineRule="auto"/>
              <w:jc w:val="both"/>
              <w:rPr>
                <w:rFonts w:ascii="Arial Narrow" w:hAnsi="Arial Narrow"/>
                <w:sz w:val="22"/>
                <w:szCs w:val="22"/>
              </w:rPr>
            </w:pPr>
            <w:r w:rsidRPr="00220C0C">
              <w:rPr>
                <w:rFonts w:ascii="Arial Narrow" w:hAnsi="Arial Narrow"/>
                <w:sz w:val="22"/>
                <w:szCs w:val="22"/>
              </w:rPr>
              <w:t>Martínez-Collado, 2007</w:t>
            </w:r>
          </w:p>
        </w:tc>
      </w:tr>
      <w:tr w:rsidR="00AD2D83" w14:paraId="4DB86AE4" w14:textId="77777777" w:rsidTr="003E47AC">
        <w:tc>
          <w:tcPr>
            <w:tcW w:w="2322" w:type="dxa"/>
            <w:vAlign w:val="center"/>
          </w:tcPr>
          <w:p w14:paraId="5E4FE967" w14:textId="3A49C3A7" w:rsidR="00AD2D83" w:rsidRDefault="002E1C9D" w:rsidP="009B3B1E">
            <w:pPr>
              <w:spacing w:line="276" w:lineRule="auto"/>
              <w:jc w:val="both"/>
              <w:rPr>
                <w:rFonts w:ascii="Arial Narrow" w:hAnsi="Arial Narrow"/>
                <w:sz w:val="22"/>
                <w:szCs w:val="22"/>
              </w:rPr>
            </w:pPr>
            <w:r>
              <w:rPr>
                <w:rFonts w:ascii="Arial Narrow" w:hAnsi="Arial Narrow"/>
                <w:sz w:val="22"/>
                <w:szCs w:val="22"/>
              </w:rPr>
              <w:t>Ganadería porcina</w:t>
            </w:r>
          </w:p>
        </w:tc>
        <w:tc>
          <w:tcPr>
            <w:tcW w:w="2311" w:type="dxa"/>
            <w:vAlign w:val="center"/>
          </w:tcPr>
          <w:p w14:paraId="3ABA0EC7" w14:textId="219F9A4F" w:rsidR="00AD2D83" w:rsidRDefault="006F45BB" w:rsidP="009B3B1E">
            <w:pPr>
              <w:spacing w:line="276" w:lineRule="auto"/>
              <w:jc w:val="both"/>
              <w:rPr>
                <w:rFonts w:ascii="Arial Narrow" w:hAnsi="Arial Narrow"/>
                <w:sz w:val="22"/>
                <w:szCs w:val="22"/>
              </w:rPr>
            </w:pPr>
            <w:r>
              <w:rPr>
                <w:rFonts w:ascii="Arial Narrow" w:hAnsi="Arial Narrow"/>
                <w:sz w:val="22"/>
                <w:szCs w:val="22"/>
              </w:rPr>
              <w:t>Estiércol</w:t>
            </w:r>
          </w:p>
        </w:tc>
        <w:tc>
          <w:tcPr>
            <w:tcW w:w="2262" w:type="dxa"/>
            <w:vAlign w:val="center"/>
          </w:tcPr>
          <w:p w14:paraId="0ED5B386" w14:textId="5DEB244B" w:rsidR="00AD2D83" w:rsidRDefault="005F1297" w:rsidP="009B3B1E">
            <w:pPr>
              <w:spacing w:line="276" w:lineRule="auto"/>
              <w:jc w:val="both"/>
              <w:rPr>
                <w:rFonts w:ascii="Arial Narrow" w:hAnsi="Arial Narrow"/>
                <w:sz w:val="22"/>
                <w:szCs w:val="22"/>
              </w:rPr>
            </w:pPr>
            <w:r>
              <w:rPr>
                <w:rFonts w:ascii="Arial Narrow" w:hAnsi="Arial Narrow"/>
                <w:sz w:val="22"/>
                <w:szCs w:val="22"/>
              </w:rPr>
              <w:t xml:space="preserve">2.19 </w:t>
            </w:r>
            <w:r>
              <w:rPr>
                <w:rFonts w:ascii="Arial Narrow" w:hAnsi="Arial Narrow"/>
                <w:sz w:val="22"/>
                <w:szCs w:val="22"/>
              </w:rPr>
              <w:t>(kg/animal/día)</w:t>
            </w:r>
          </w:p>
        </w:tc>
        <w:tc>
          <w:tcPr>
            <w:tcW w:w="1933" w:type="dxa"/>
            <w:vAlign w:val="center"/>
          </w:tcPr>
          <w:p w14:paraId="3754DD3E" w14:textId="3E0EDA3C" w:rsidR="00AD2D83" w:rsidRPr="00EA40A5" w:rsidRDefault="000E188A" w:rsidP="009B3B1E">
            <w:pPr>
              <w:spacing w:line="276" w:lineRule="auto"/>
              <w:jc w:val="both"/>
              <w:rPr>
                <w:rFonts w:ascii="Arial Narrow" w:hAnsi="Arial Narrow"/>
                <w:sz w:val="22"/>
                <w:szCs w:val="22"/>
              </w:rPr>
            </w:pPr>
            <w:r w:rsidRPr="000E188A">
              <w:rPr>
                <w:rFonts w:ascii="Arial Narrow" w:hAnsi="Arial Narrow"/>
                <w:sz w:val="22"/>
                <w:szCs w:val="22"/>
              </w:rPr>
              <w:t>ACP, 2013</w:t>
            </w:r>
          </w:p>
        </w:tc>
      </w:tr>
    </w:tbl>
    <w:p w14:paraId="263F2D50" w14:textId="77777777" w:rsidR="005F4219" w:rsidRDefault="005F4219" w:rsidP="009B3B1E">
      <w:pPr>
        <w:spacing w:line="276" w:lineRule="auto"/>
        <w:jc w:val="both"/>
        <w:rPr>
          <w:rFonts w:ascii="Arial Narrow" w:hAnsi="Arial Narrow"/>
          <w:sz w:val="22"/>
          <w:szCs w:val="22"/>
        </w:rPr>
      </w:pPr>
    </w:p>
    <w:p w14:paraId="304F025A" w14:textId="77777777" w:rsidR="00B83DF3" w:rsidRDefault="00B83DF3" w:rsidP="009B3B1E">
      <w:pPr>
        <w:spacing w:line="276" w:lineRule="auto"/>
        <w:jc w:val="both"/>
        <w:rPr>
          <w:rFonts w:ascii="Arial Narrow" w:hAnsi="Arial Narrow"/>
          <w:sz w:val="22"/>
          <w:szCs w:val="22"/>
        </w:rPr>
      </w:pPr>
    </w:p>
    <w:p w14:paraId="1468DF59" w14:textId="01B2B122" w:rsidR="00011F35" w:rsidRPr="00234B3F" w:rsidRDefault="00011F35" w:rsidP="009B3B1E">
      <w:pPr>
        <w:spacing w:line="276" w:lineRule="auto"/>
        <w:jc w:val="both"/>
        <w:rPr>
          <w:rFonts w:ascii="Arial Narrow" w:hAnsi="Arial Narrow"/>
          <w:b/>
          <w:bCs/>
          <w:sz w:val="22"/>
          <w:szCs w:val="22"/>
        </w:rPr>
      </w:pPr>
      <w:r w:rsidRPr="00234B3F">
        <w:rPr>
          <w:rFonts w:ascii="Arial Narrow" w:hAnsi="Arial Narrow"/>
          <w:b/>
          <w:bCs/>
          <w:sz w:val="22"/>
          <w:szCs w:val="22"/>
        </w:rPr>
        <w:t>Objetivos</w:t>
      </w:r>
    </w:p>
    <w:p w14:paraId="515D11E9" w14:textId="1BA7F716" w:rsidR="00E07472" w:rsidRDefault="00E07472" w:rsidP="009B3B1E">
      <w:pPr>
        <w:spacing w:line="276" w:lineRule="auto"/>
        <w:jc w:val="both"/>
        <w:rPr>
          <w:rFonts w:ascii="Arial Narrow" w:hAnsi="Arial Narrow"/>
          <w:sz w:val="22"/>
          <w:szCs w:val="22"/>
        </w:rPr>
      </w:pPr>
      <w:r>
        <w:rPr>
          <w:rFonts w:ascii="Arial Narrow" w:hAnsi="Arial Narrow"/>
          <w:sz w:val="22"/>
          <w:szCs w:val="22"/>
        </w:rPr>
        <w:t xml:space="preserve">General: </w:t>
      </w:r>
      <w:r w:rsidR="00A03306" w:rsidRPr="00A03306">
        <w:rPr>
          <w:rFonts w:ascii="Arial Narrow" w:hAnsi="Arial Narrow"/>
          <w:sz w:val="22"/>
          <w:szCs w:val="22"/>
        </w:rPr>
        <w:t>Consolidar una línea académica en valorización integral de subproductos agropecuarios desde un enfoque agroindustrial y de biorrefinería, que articule docencia, investigación y extensión para contribuir al desarrollo sostenible del sector rural colombiano.</w:t>
      </w:r>
    </w:p>
    <w:p w14:paraId="34674450" w14:textId="63C15EBF" w:rsidR="00A03306" w:rsidRDefault="00A03306" w:rsidP="009B3B1E">
      <w:pPr>
        <w:spacing w:line="276" w:lineRule="auto"/>
        <w:jc w:val="both"/>
        <w:rPr>
          <w:rFonts w:ascii="Arial Narrow" w:hAnsi="Arial Narrow"/>
          <w:sz w:val="22"/>
          <w:szCs w:val="22"/>
        </w:rPr>
      </w:pPr>
      <w:r>
        <w:rPr>
          <w:rFonts w:ascii="Arial Narrow" w:hAnsi="Arial Narrow"/>
          <w:sz w:val="22"/>
          <w:szCs w:val="22"/>
        </w:rPr>
        <w:t>Específicos:</w:t>
      </w:r>
    </w:p>
    <w:p w14:paraId="08AC89BF" w14:textId="77777777" w:rsidR="00A03306" w:rsidRPr="00DB6DA1" w:rsidRDefault="00A03306" w:rsidP="009B3B1E">
      <w:pPr>
        <w:pStyle w:val="Prrafodelista"/>
        <w:numPr>
          <w:ilvl w:val="0"/>
          <w:numId w:val="1"/>
        </w:numPr>
        <w:spacing w:line="276" w:lineRule="auto"/>
        <w:jc w:val="both"/>
        <w:rPr>
          <w:rFonts w:ascii="Arial Narrow" w:hAnsi="Arial Narrow"/>
          <w:sz w:val="22"/>
          <w:szCs w:val="22"/>
        </w:rPr>
      </w:pPr>
      <w:r w:rsidRPr="00DB6DA1">
        <w:rPr>
          <w:rFonts w:ascii="Arial Narrow" w:hAnsi="Arial Narrow"/>
          <w:sz w:val="22"/>
          <w:szCs w:val="22"/>
        </w:rPr>
        <w:t>Diseñar e implementar estrategias formativas en bioenergía, biocombustibles y biorrefinerías agropecuarias que integren modelación de procesos, sostenibilidad y evaluación técnico-económica, formando ingenieros con capacidad de diseñar sistemas agroindustriales circulares y sostenibles.</w:t>
      </w:r>
    </w:p>
    <w:p w14:paraId="2DF94E04" w14:textId="77777777" w:rsidR="00A03306" w:rsidRPr="00DB6DA1" w:rsidRDefault="00A03306" w:rsidP="009B3B1E">
      <w:pPr>
        <w:pStyle w:val="Prrafodelista"/>
        <w:numPr>
          <w:ilvl w:val="0"/>
          <w:numId w:val="1"/>
        </w:numPr>
        <w:spacing w:line="276" w:lineRule="auto"/>
        <w:jc w:val="both"/>
        <w:rPr>
          <w:rFonts w:ascii="Arial Narrow" w:hAnsi="Arial Narrow"/>
          <w:sz w:val="22"/>
          <w:szCs w:val="22"/>
        </w:rPr>
      </w:pPr>
      <w:r w:rsidRPr="00DB6DA1">
        <w:rPr>
          <w:rFonts w:ascii="Arial Narrow" w:hAnsi="Arial Narrow"/>
          <w:sz w:val="22"/>
          <w:szCs w:val="22"/>
        </w:rPr>
        <w:t>Desarrollar investigación aplicada orientada a la transformación y valorización de subproductos agrícolas y pecuarios mediante tecnologías bioquímicas y termoquímicas, promoviendo la generación de conocimiento científico, publicaciones de alto impacto y transferencia tecnológica.</w:t>
      </w:r>
    </w:p>
    <w:p w14:paraId="58D97FCB" w14:textId="34EE8E28" w:rsidR="00A03306" w:rsidRPr="00DB6DA1" w:rsidRDefault="00A03306" w:rsidP="009B3B1E">
      <w:pPr>
        <w:pStyle w:val="Prrafodelista"/>
        <w:numPr>
          <w:ilvl w:val="0"/>
          <w:numId w:val="1"/>
        </w:numPr>
        <w:spacing w:line="276" w:lineRule="auto"/>
        <w:jc w:val="both"/>
        <w:rPr>
          <w:rFonts w:ascii="Arial Narrow" w:hAnsi="Arial Narrow"/>
          <w:sz w:val="22"/>
          <w:szCs w:val="22"/>
        </w:rPr>
      </w:pPr>
      <w:r w:rsidRPr="00DB6DA1">
        <w:rPr>
          <w:rFonts w:ascii="Arial Narrow" w:hAnsi="Arial Narrow"/>
          <w:sz w:val="22"/>
          <w:szCs w:val="22"/>
        </w:rPr>
        <w:t>Articular procesos de extensión y transferencia tecnológica hacia el sector agropecuario, mediante el diseño de soluciones modulares de aprovechamiento energético y productivo que fortalezcan la economía circular rural y reduzcan impactos ambientales.</w:t>
      </w:r>
    </w:p>
    <w:p w14:paraId="6F7F5510" w14:textId="77777777" w:rsidR="00384BB9" w:rsidRDefault="00384BB9" w:rsidP="009B3B1E">
      <w:pPr>
        <w:spacing w:line="276" w:lineRule="auto"/>
        <w:jc w:val="both"/>
        <w:rPr>
          <w:rFonts w:ascii="Arial Narrow" w:hAnsi="Arial Narrow"/>
          <w:sz w:val="22"/>
          <w:szCs w:val="22"/>
        </w:rPr>
      </w:pPr>
    </w:p>
    <w:p w14:paraId="63B9E5F7" w14:textId="1F87698E" w:rsidR="00011F35" w:rsidRPr="00564D60" w:rsidRDefault="00011F35" w:rsidP="009B3B1E">
      <w:pPr>
        <w:spacing w:line="276" w:lineRule="auto"/>
        <w:jc w:val="both"/>
        <w:rPr>
          <w:rFonts w:ascii="Arial Narrow" w:hAnsi="Arial Narrow"/>
          <w:b/>
          <w:bCs/>
          <w:sz w:val="22"/>
          <w:szCs w:val="22"/>
        </w:rPr>
      </w:pPr>
      <w:r w:rsidRPr="00564D60">
        <w:rPr>
          <w:rFonts w:ascii="Arial Narrow" w:hAnsi="Arial Narrow"/>
          <w:b/>
          <w:bCs/>
          <w:sz w:val="22"/>
          <w:szCs w:val="22"/>
        </w:rPr>
        <w:t>Propuesta para el componente de docencia</w:t>
      </w:r>
    </w:p>
    <w:p w14:paraId="08F3FF1C" w14:textId="0B1B5C28" w:rsidR="00617555" w:rsidRPr="00617555" w:rsidRDefault="00617555" w:rsidP="009B3B1E">
      <w:pPr>
        <w:spacing w:line="276" w:lineRule="auto"/>
        <w:jc w:val="both"/>
        <w:rPr>
          <w:rFonts w:ascii="Arial Narrow" w:hAnsi="Arial Narrow"/>
          <w:sz w:val="22"/>
          <w:szCs w:val="22"/>
        </w:rPr>
      </w:pPr>
      <w:r w:rsidRPr="00617555">
        <w:rPr>
          <w:rFonts w:ascii="Arial Narrow" w:hAnsi="Arial Narrow"/>
          <w:sz w:val="22"/>
          <w:szCs w:val="22"/>
        </w:rPr>
        <w:t xml:space="preserve">La propuesta de docencia se fundamenta en la necesidad de formar </w:t>
      </w:r>
      <w:r w:rsidR="009D055D">
        <w:rPr>
          <w:rFonts w:ascii="Arial Narrow" w:hAnsi="Arial Narrow"/>
          <w:sz w:val="22"/>
          <w:szCs w:val="22"/>
        </w:rPr>
        <w:t>profesionales</w:t>
      </w:r>
      <w:r w:rsidRPr="00617555">
        <w:rPr>
          <w:rFonts w:ascii="Arial Narrow" w:hAnsi="Arial Narrow"/>
          <w:sz w:val="22"/>
          <w:szCs w:val="22"/>
        </w:rPr>
        <w:t xml:space="preserve"> con una visión sistémica de los procesos agroindustriales, capaces de transformar los subproductos agropecuarios en oportunidades tecnológicas, energéticas y económicas bajo principios de sostenibilidad y bioeconomía. En Colombia, el nivel de aprovechamiento de residuos agrícolas y pecuarios es aún limitado; según datos divulgados por </w:t>
      </w:r>
      <w:r w:rsidR="009D055D">
        <w:rPr>
          <w:rFonts w:ascii="Arial Narrow" w:hAnsi="Arial Narrow"/>
          <w:sz w:val="22"/>
          <w:szCs w:val="22"/>
        </w:rPr>
        <w:t>Contexto</w:t>
      </w:r>
      <w:r w:rsidRPr="00617555">
        <w:rPr>
          <w:rFonts w:ascii="Arial Narrow" w:hAnsi="Arial Narrow"/>
          <w:sz w:val="22"/>
          <w:szCs w:val="22"/>
        </w:rPr>
        <w:t xml:space="preserve"> </w:t>
      </w:r>
      <w:r w:rsidRPr="00617555">
        <w:rPr>
          <w:rFonts w:ascii="Arial Narrow" w:hAnsi="Arial Narrow"/>
          <w:sz w:val="22"/>
          <w:szCs w:val="22"/>
        </w:rPr>
        <w:lastRenderedPageBreak/>
        <w:t>Ganadero con base en la Encuesta Nacional Agropecuaria, solo alrededor del 5 % de estos residuos son efectivamente utilizados en actividades productivas como compostaje, alimentación animal o generación de energía (</w:t>
      </w:r>
      <w:r w:rsidR="009D055D">
        <w:rPr>
          <w:rFonts w:ascii="Arial Narrow" w:hAnsi="Arial Narrow"/>
          <w:sz w:val="22"/>
          <w:szCs w:val="22"/>
        </w:rPr>
        <w:t>Contexto</w:t>
      </w:r>
      <w:r w:rsidRPr="00617555">
        <w:rPr>
          <w:rFonts w:ascii="Arial Narrow" w:hAnsi="Arial Narrow"/>
          <w:sz w:val="22"/>
          <w:szCs w:val="22"/>
        </w:rPr>
        <w:t xml:space="preserve"> Ganadero, 2023). </w:t>
      </w:r>
      <w:r w:rsidR="00C458D8">
        <w:rPr>
          <w:rFonts w:ascii="Arial Narrow" w:hAnsi="Arial Narrow"/>
          <w:sz w:val="22"/>
          <w:szCs w:val="22"/>
        </w:rPr>
        <w:t>Esto</w:t>
      </w:r>
      <w:r w:rsidRPr="00617555">
        <w:rPr>
          <w:rFonts w:ascii="Arial Narrow" w:hAnsi="Arial Narrow"/>
          <w:sz w:val="22"/>
          <w:szCs w:val="22"/>
        </w:rPr>
        <w:t xml:space="preserve"> evidencia una brecha tecnológica significativa y la necesidad de fortalecer la formación en valorización de biomasa residual.</w:t>
      </w:r>
    </w:p>
    <w:p w14:paraId="5C28F07A" w14:textId="7E671A5B" w:rsidR="00617555" w:rsidRPr="00617555" w:rsidRDefault="00617555" w:rsidP="009B3B1E">
      <w:pPr>
        <w:spacing w:line="276" w:lineRule="auto"/>
        <w:jc w:val="both"/>
        <w:rPr>
          <w:rFonts w:ascii="Arial Narrow" w:hAnsi="Arial Narrow"/>
          <w:sz w:val="22"/>
          <w:szCs w:val="22"/>
        </w:rPr>
      </w:pPr>
      <w:r w:rsidRPr="00617555">
        <w:rPr>
          <w:rFonts w:ascii="Arial Narrow" w:hAnsi="Arial Narrow"/>
          <w:sz w:val="22"/>
          <w:szCs w:val="22"/>
        </w:rPr>
        <w:t xml:space="preserve">Desde el ámbito conceptual, la transición desde un enfoque de “tratamiento de residuos” hacia un modelo de “valorización integral” se enmarca en los principios de la economía circular y la bioeconomía. La economía circular propone mantener el valor de los recursos dentro del sistema productivo el mayor tiempo posible, reduciendo pérdidas y emisiones (Geissdoerfer et al., 2017), mientras que la bioeconomía impulsa el uso sostenible de recursos biológicos renovables para la producción de energía, alimentos y bioproductos (FAO, 2019). En este </w:t>
      </w:r>
      <w:r w:rsidR="009D055D">
        <w:rPr>
          <w:rFonts w:ascii="Arial Narrow" w:hAnsi="Arial Narrow"/>
          <w:sz w:val="22"/>
          <w:szCs w:val="22"/>
        </w:rPr>
        <w:t>Contexto</w:t>
      </w:r>
      <w:r w:rsidRPr="00617555">
        <w:rPr>
          <w:rFonts w:ascii="Arial Narrow" w:hAnsi="Arial Narrow"/>
          <w:sz w:val="22"/>
          <w:szCs w:val="22"/>
        </w:rPr>
        <w:t>, las biorrefinerías emergen como plataformas tecnológicas capaces de integrar múltiples rutas de conversión de biomasa para generar productos de mayor valor agregado (Cherubini, 2010</w:t>
      </w:r>
      <w:r w:rsidR="001B11B5">
        <w:rPr>
          <w:rFonts w:ascii="Arial Narrow" w:hAnsi="Arial Narrow"/>
          <w:sz w:val="22"/>
          <w:szCs w:val="22"/>
        </w:rPr>
        <w:t xml:space="preserve">, </w:t>
      </w:r>
      <w:r w:rsidR="001B11B5">
        <w:rPr>
          <w:rFonts w:ascii="Arial Narrow" w:hAnsi="Arial Narrow"/>
          <w:sz w:val="22"/>
          <w:szCs w:val="22"/>
        </w:rPr>
        <w:t>Clavijo-Salinas et al., 2026</w:t>
      </w:r>
      <w:r w:rsidRPr="00617555">
        <w:rPr>
          <w:rFonts w:ascii="Arial Narrow" w:hAnsi="Arial Narrow"/>
          <w:sz w:val="22"/>
          <w:szCs w:val="22"/>
        </w:rPr>
        <w:t>).</w:t>
      </w:r>
    </w:p>
    <w:p w14:paraId="3DAB1390" w14:textId="77777777" w:rsidR="00617555" w:rsidRPr="00617555" w:rsidRDefault="00617555" w:rsidP="009B3B1E">
      <w:pPr>
        <w:spacing w:line="276" w:lineRule="auto"/>
        <w:jc w:val="both"/>
        <w:rPr>
          <w:rFonts w:ascii="Arial Narrow" w:hAnsi="Arial Narrow"/>
          <w:sz w:val="22"/>
          <w:szCs w:val="22"/>
        </w:rPr>
      </w:pPr>
      <w:r w:rsidRPr="00617555">
        <w:rPr>
          <w:rFonts w:ascii="Arial Narrow" w:hAnsi="Arial Narrow"/>
          <w:sz w:val="22"/>
          <w:szCs w:val="22"/>
        </w:rPr>
        <w:t>La docencia propuesta integra estos marcos conceptuales con fundamentos clásicos de la ingeniería de procesos —balances de masa y energía, operaciones unitarias y fenómenos de transporte— articulándolos con herramientas contemporáneas como modelación de procesos, análisis de ciclo de vida y evaluación técnico-económica. Esta aproximación permite que el estudiante comprenda no solo los principios fisicoquímicos de transformación de la biomasa, sino también las implicaciones ambientales y económicas asociadas a su implementación.</w:t>
      </w:r>
    </w:p>
    <w:p w14:paraId="75FCE4F6" w14:textId="77777777" w:rsidR="00617555" w:rsidRPr="00617555" w:rsidRDefault="00617555" w:rsidP="009B3B1E">
      <w:pPr>
        <w:spacing w:line="276" w:lineRule="auto"/>
        <w:jc w:val="both"/>
        <w:rPr>
          <w:rFonts w:ascii="Arial Narrow" w:hAnsi="Arial Narrow"/>
          <w:sz w:val="22"/>
          <w:szCs w:val="22"/>
        </w:rPr>
      </w:pPr>
      <w:r w:rsidRPr="00617555">
        <w:rPr>
          <w:rFonts w:ascii="Arial Narrow" w:hAnsi="Arial Narrow"/>
          <w:sz w:val="22"/>
          <w:szCs w:val="22"/>
        </w:rPr>
        <w:t>En el plano curricular, se plantea fortalecer asignaturas relacionadas con bioenergía y biocombustibles, incorporando el estudio de la digestión anaerobia, la producción y purificación de biogás, la conversión termoquímica de residuos lignocelulósicos y la integración energética de sistemas agroindustriales. La experiencia nacional e internacional demuestra que estas tecnologías constituyen alternativas viables para reducir emisiones y mejorar la eficiencia de sistemas pecuarios y agrícolas (IEA Bioenergy, 2021). En el caso colombiano, la valorización de residuos porcícolas mediante biodigestión ha mostrado potencial tanto en generación de energía como en producción de biofertilizantes, contribuyendo a la mitigación de impactos ambientales y a la sostenibilidad productiva.</w:t>
      </w:r>
    </w:p>
    <w:p w14:paraId="5525147A" w14:textId="77777777" w:rsidR="00617555" w:rsidRPr="00617555" w:rsidRDefault="00617555" w:rsidP="009B3B1E">
      <w:pPr>
        <w:spacing w:line="276" w:lineRule="auto"/>
        <w:jc w:val="both"/>
        <w:rPr>
          <w:rFonts w:ascii="Arial Narrow" w:hAnsi="Arial Narrow"/>
          <w:sz w:val="22"/>
          <w:szCs w:val="22"/>
        </w:rPr>
      </w:pPr>
      <w:r w:rsidRPr="00617555">
        <w:rPr>
          <w:rFonts w:ascii="Arial Narrow" w:hAnsi="Arial Narrow"/>
          <w:sz w:val="22"/>
          <w:szCs w:val="22"/>
        </w:rPr>
        <w:t>Adicionalmente, se propone la consolidación de una asignatura en Biorrefinerías Agropecuarias, orientada al diseño conceptual de sistemas integrados de aprovechamiento de biomasa residual. Esta asignatura abordaría plataformas bioquímicas y termoquímicas, integración energética, evaluación ambiental y análisis de viabilidad económica. De esta manera, se fortalecería el perfil agroindustrial del programa y se alinearía la formación con tendencias globales de transición hacia sistemas productivos bajos en carbono (IPCC, 2022).</w:t>
      </w:r>
    </w:p>
    <w:p w14:paraId="3C5D23E7" w14:textId="77777777" w:rsidR="00617555" w:rsidRPr="00617555" w:rsidRDefault="00617555" w:rsidP="009B3B1E">
      <w:pPr>
        <w:spacing w:line="276" w:lineRule="auto"/>
        <w:jc w:val="both"/>
        <w:rPr>
          <w:rFonts w:ascii="Arial Narrow" w:hAnsi="Arial Narrow"/>
          <w:sz w:val="22"/>
          <w:szCs w:val="22"/>
        </w:rPr>
      </w:pPr>
      <w:r w:rsidRPr="00617555">
        <w:rPr>
          <w:rFonts w:ascii="Arial Narrow" w:hAnsi="Arial Narrow"/>
          <w:sz w:val="22"/>
          <w:szCs w:val="22"/>
        </w:rPr>
        <w:t>La estrategia pedagógica se apoyará en el aprendizaje basado en proyectos, donde los estudiantes desarrollen propuestas aplicadas a problemáticas reales del sector agropecuario colombiano. Este enfoque promueve la integración entre docencia e investigación, permitiendo que los trabajos de grado y proyectos de curso se articulen con líneas de investigación en valorización y biorrefinería. Así, la formación trasciende el aula y se conecta con procesos de transferencia tecnológica y extensión rural.</w:t>
      </w:r>
    </w:p>
    <w:p w14:paraId="4C9393F1" w14:textId="55FE9889" w:rsidR="00617555" w:rsidRPr="00617555" w:rsidRDefault="00617555" w:rsidP="009B3B1E">
      <w:pPr>
        <w:spacing w:line="276" w:lineRule="auto"/>
        <w:jc w:val="both"/>
        <w:rPr>
          <w:rFonts w:ascii="Arial Narrow" w:hAnsi="Arial Narrow"/>
          <w:sz w:val="22"/>
          <w:szCs w:val="22"/>
        </w:rPr>
      </w:pPr>
      <w:r w:rsidRPr="00617555">
        <w:rPr>
          <w:rFonts w:ascii="Arial Narrow" w:hAnsi="Arial Narrow"/>
          <w:sz w:val="22"/>
          <w:szCs w:val="22"/>
        </w:rPr>
        <w:t xml:space="preserve">En síntesis, la propuesta docente busca consolidar un enfoque formativo que articule fundamentos de ingeniería con principios de sostenibilidad, economía circular y bioeconomía, posicionando al Departamento como referente en la formación de </w:t>
      </w:r>
      <w:r w:rsidR="00EF707A">
        <w:rPr>
          <w:rFonts w:ascii="Arial Narrow" w:hAnsi="Arial Narrow"/>
          <w:sz w:val="22"/>
          <w:szCs w:val="22"/>
        </w:rPr>
        <w:t>profesionales</w:t>
      </w:r>
      <w:r w:rsidRPr="00617555">
        <w:rPr>
          <w:rFonts w:ascii="Arial Narrow" w:hAnsi="Arial Narrow"/>
          <w:sz w:val="22"/>
          <w:szCs w:val="22"/>
        </w:rPr>
        <w:t xml:space="preserve"> capaces de liderar procesos de valorización integral de subproductos agropecuarios y contribuir al desarrollo sostenible del territorio colombiano.</w:t>
      </w:r>
    </w:p>
    <w:p w14:paraId="0D7B776B" w14:textId="77777777" w:rsidR="000634BB" w:rsidRDefault="000634BB" w:rsidP="009B3B1E">
      <w:pPr>
        <w:spacing w:line="276" w:lineRule="auto"/>
        <w:jc w:val="both"/>
        <w:rPr>
          <w:rFonts w:ascii="Arial Narrow" w:hAnsi="Arial Narrow"/>
          <w:sz w:val="22"/>
          <w:szCs w:val="22"/>
        </w:rPr>
      </w:pPr>
    </w:p>
    <w:p w14:paraId="233C9A92" w14:textId="31510D64" w:rsidR="00011F35" w:rsidRPr="00D41993" w:rsidRDefault="00011F35" w:rsidP="009B3B1E">
      <w:pPr>
        <w:spacing w:line="276" w:lineRule="auto"/>
        <w:jc w:val="both"/>
        <w:rPr>
          <w:rFonts w:ascii="Arial Narrow" w:hAnsi="Arial Narrow"/>
          <w:b/>
          <w:bCs/>
          <w:sz w:val="22"/>
          <w:szCs w:val="22"/>
        </w:rPr>
      </w:pPr>
      <w:r w:rsidRPr="00D41993">
        <w:rPr>
          <w:rFonts w:ascii="Arial Narrow" w:hAnsi="Arial Narrow"/>
          <w:b/>
          <w:bCs/>
          <w:sz w:val="22"/>
          <w:szCs w:val="22"/>
        </w:rPr>
        <w:lastRenderedPageBreak/>
        <w:t>Propuesta para el componente de</w:t>
      </w:r>
      <w:r w:rsidR="004A530D" w:rsidRPr="00D41993">
        <w:rPr>
          <w:rFonts w:ascii="Arial Narrow" w:hAnsi="Arial Narrow"/>
          <w:b/>
          <w:bCs/>
          <w:sz w:val="22"/>
          <w:szCs w:val="22"/>
        </w:rPr>
        <w:t xml:space="preserve"> investigación</w:t>
      </w:r>
    </w:p>
    <w:p w14:paraId="4299AABC" w14:textId="45067A77" w:rsidR="00A45403" w:rsidRPr="00A45403" w:rsidRDefault="00A45403" w:rsidP="009B3B1E">
      <w:pPr>
        <w:spacing w:line="276" w:lineRule="auto"/>
        <w:jc w:val="both"/>
        <w:rPr>
          <w:rFonts w:ascii="Arial Narrow" w:hAnsi="Arial Narrow"/>
          <w:sz w:val="22"/>
          <w:szCs w:val="22"/>
        </w:rPr>
      </w:pPr>
      <w:r w:rsidRPr="00A45403">
        <w:rPr>
          <w:rFonts w:ascii="Arial Narrow" w:hAnsi="Arial Narrow"/>
          <w:sz w:val="22"/>
          <w:szCs w:val="22"/>
        </w:rPr>
        <w:t>Título</w:t>
      </w:r>
      <w:r w:rsidR="00D41993">
        <w:rPr>
          <w:rFonts w:ascii="Arial Narrow" w:hAnsi="Arial Narrow"/>
          <w:sz w:val="22"/>
          <w:szCs w:val="22"/>
        </w:rPr>
        <w:t xml:space="preserve">: </w:t>
      </w:r>
      <w:r w:rsidRPr="00A45403">
        <w:rPr>
          <w:rFonts w:ascii="Arial Narrow" w:hAnsi="Arial Narrow"/>
          <w:sz w:val="22"/>
          <w:szCs w:val="22"/>
        </w:rPr>
        <w:t>Biorrefinamiento integral de estiércol porcino para la producción de bioenergía, recuperación de nutrientes y generación de bioproductos de valor agregado en sistemas agroindustriales</w:t>
      </w:r>
    </w:p>
    <w:p w14:paraId="22E339F1" w14:textId="77777777" w:rsidR="00A45403" w:rsidRPr="00A45403" w:rsidRDefault="00A45403" w:rsidP="009B3B1E">
      <w:pPr>
        <w:spacing w:line="276" w:lineRule="auto"/>
        <w:jc w:val="both"/>
        <w:rPr>
          <w:rFonts w:ascii="Arial Narrow" w:hAnsi="Arial Narrow"/>
          <w:sz w:val="22"/>
          <w:szCs w:val="22"/>
        </w:rPr>
      </w:pPr>
      <w:r w:rsidRPr="00A45403">
        <w:rPr>
          <w:rFonts w:ascii="Arial Narrow" w:hAnsi="Arial Narrow"/>
          <w:sz w:val="22"/>
          <w:szCs w:val="22"/>
        </w:rPr>
        <w:t>1. Planteamiento del problema</w:t>
      </w:r>
    </w:p>
    <w:p w14:paraId="68E4B9D9" w14:textId="1638D8CD" w:rsidR="00A45403" w:rsidRPr="00A45403" w:rsidRDefault="00A45403" w:rsidP="009B3B1E">
      <w:pPr>
        <w:spacing w:line="276" w:lineRule="auto"/>
        <w:jc w:val="both"/>
        <w:rPr>
          <w:rFonts w:ascii="Arial Narrow" w:hAnsi="Arial Narrow"/>
          <w:sz w:val="22"/>
          <w:szCs w:val="22"/>
        </w:rPr>
      </w:pPr>
      <w:r w:rsidRPr="00A45403">
        <w:rPr>
          <w:rFonts w:ascii="Arial Narrow" w:hAnsi="Arial Narrow"/>
          <w:sz w:val="22"/>
          <w:szCs w:val="22"/>
        </w:rPr>
        <w:t xml:space="preserve">El crecimiento sostenido del sector porcícola en Colombia ha incrementado la generación de estiércol y efluentes pecuarios, planteando desafíos ambientales y tecnológicos. El manejo convencional del estiércol </w:t>
      </w:r>
      <w:r w:rsidR="00C954A3">
        <w:rPr>
          <w:rFonts w:ascii="Arial Narrow" w:hAnsi="Arial Narrow"/>
          <w:sz w:val="22"/>
          <w:szCs w:val="22"/>
        </w:rPr>
        <w:t>(</w:t>
      </w:r>
      <w:r w:rsidRPr="00A45403">
        <w:rPr>
          <w:rFonts w:ascii="Arial Narrow" w:hAnsi="Arial Narrow"/>
          <w:sz w:val="22"/>
          <w:szCs w:val="22"/>
        </w:rPr>
        <w:t>basado en aplicación directa al suelo, lagunas anaerobias o biodigestores de baja eficiencia</w:t>
      </w:r>
      <w:r w:rsidR="00C954A3">
        <w:rPr>
          <w:rFonts w:ascii="Arial Narrow" w:hAnsi="Arial Narrow"/>
          <w:sz w:val="22"/>
          <w:szCs w:val="22"/>
        </w:rPr>
        <w:t>)</w:t>
      </w:r>
      <w:r w:rsidRPr="00A45403">
        <w:rPr>
          <w:rFonts w:ascii="Arial Narrow" w:hAnsi="Arial Narrow"/>
          <w:sz w:val="22"/>
          <w:szCs w:val="22"/>
        </w:rPr>
        <w:t xml:space="preserve"> permite reducir parcialmente la carga orgánica, pero no maximiza el potencial energético y productivo del sustrato. Esta situación contribuye a emisiones de gases de efecto invernadero, principalmente metano y óxido nitroso, así como a riesgos de contaminación hídrica y del suelo (IPCC, 2022).</w:t>
      </w:r>
    </w:p>
    <w:p w14:paraId="79F8E588" w14:textId="6C49DE4D" w:rsidR="00A45403" w:rsidRPr="00A45403" w:rsidRDefault="00A45403" w:rsidP="009B3B1E">
      <w:pPr>
        <w:spacing w:line="276" w:lineRule="auto"/>
        <w:jc w:val="both"/>
        <w:rPr>
          <w:rFonts w:ascii="Arial Narrow" w:hAnsi="Arial Narrow"/>
          <w:sz w:val="22"/>
          <w:szCs w:val="22"/>
        </w:rPr>
      </w:pPr>
      <w:r w:rsidRPr="00A45403">
        <w:rPr>
          <w:rFonts w:ascii="Arial Narrow" w:hAnsi="Arial Narrow"/>
          <w:sz w:val="22"/>
          <w:szCs w:val="22"/>
        </w:rPr>
        <w:t>Desde la perspectiva de la bioeconomía, el estiércol porcino debe concebirse como un recurso renovable susceptible de transformación en múltiples productos, más que como un residuo a tratar (FAO, 2019). El concepto de biorrefinería propone precisamente la integración de procesos bioquímicos y fisicoquímicos para obtener energía, fertilizantes y compuestos de valor agregado a partir de biomasa residual (Cherubini, 2010</w:t>
      </w:r>
      <w:r w:rsidR="001B11B5">
        <w:rPr>
          <w:rFonts w:ascii="Arial Narrow" w:hAnsi="Arial Narrow"/>
          <w:sz w:val="22"/>
          <w:szCs w:val="22"/>
        </w:rPr>
        <w:t>, Clavijo-Salinas et al., 2026</w:t>
      </w:r>
      <w:r w:rsidRPr="00A45403">
        <w:rPr>
          <w:rFonts w:ascii="Arial Narrow" w:hAnsi="Arial Narrow"/>
          <w:sz w:val="22"/>
          <w:szCs w:val="22"/>
        </w:rPr>
        <w:t xml:space="preserve">). En el </w:t>
      </w:r>
      <w:r w:rsidR="009D055D">
        <w:rPr>
          <w:rFonts w:ascii="Arial Narrow" w:hAnsi="Arial Narrow"/>
          <w:sz w:val="22"/>
          <w:szCs w:val="22"/>
        </w:rPr>
        <w:t>Contexto</w:t>
      </w:r>
      <w:r w:rsidRPr="00A45403">
        <w:rPr>
          <w:rFonts w:ascii="Arial Narrow" w:hAnsi="Arial Narrow"/>
          <w:sz w:val="22"/>
          <w:szCs w:val="22"/>
        </w:rPr>
        <w:t xml:space="preserve"> colombiano, donde el aprovechamiento de residuos agropecuarios es aún limitado, resulta prioritario desarrollar modelos tecnológicos que permitan pasar del tratamiento pasivo a la valorización integral.</w:t>
      </w:r>
    </w:p>
    <w:p w14:paraId="477B46A2" w14:textId="6186C025" w:rsidR="00A45403" w:rsidRPr="00A45403" w:rsidRDefault="00A45403" w:rsidP="009B3B1E">
      <w:pPr>
        <w:spacing w:line="276" w:lineRule="auto"/>
        <w:jc w:val="both"/>
        <w:rPr>
          <w:rFonts w:ascii="Arial Narrow" w:hAnsi="Arial Narrow"/>
          <w:sz w:val="22"/>
          <w:szCs w:val="22"/>
        </w:rPr>
      </w:pPr>
      <w:r w:rsidRPr="00A45403">
        <w:rPr>
          <w:rFonts w:ascii="Arial Narrow" w:hAnsi="Arial Narrow"/>
          <w:sz w:val="22"/>
          <w:szCs w:val="22"/>
        </w:rPr>
        <w:t xml:space="preserve">Aunque la digestión anaerobia es una tecnología conocida para la producción de biogás, su implementación en sistemas pecuarios nacionales presenta limitaciones asociadas a baja eficiencia, escasa integración energética y ausencia de recuperación avanzada de nutrientes. Por tanto, se requiere investigar esquemas de biorrefinamiento que integren: i) producción optimizada de biogás y biometano; ii) recuperación de </w:t>
      </w:r>
      <w:r w:rsidR="003A3B6C">
        <w:rPr>
          <w:rFonts w:ascii="Arial Narrow" w:hAnsi="Arial Narrow"/>
          <w:sz w:val="22"/>
          <w:szCs w:val="22"/>
        </w:rPr>
        <w:t>nutrientes</w:t>
      </w:r>
      <w:r w:rsidRPr="00A45403">
        <w:rPr>
          <w:rFonts w:ascii="Arial Narrow" w:hAnsi="Arial Narrow"/>
          <w:sz w:val="22"/>
          <w:szCs w:val="22"/>
        </w:rPr>
        <w:t>; iii) estabilización y mejoramiento del digestato; y iv) evaluación ambiental y técnico-económica del sistema completo.</w:t>
      </w:r>
    </w:p>
    <w:p w14:paraId="57858657" w14:textId="77777777" w:rsidR="00A45403" w:rsidRPr="00A45403" w:rsidRDefault="00A45403" w:rsidP="009B3B1E">
      <w:pPr>
        <w:spacing w:line="276" w:lineRule="auto"/>
        <w:jc w:val="both"/>
        <w:rPr>
          <w:rFonts w:ascii="Arial Narrow" w:hAnsi="Arial Narrow"/>
          <w:sz w:val="22"/>
          <w:szCs w:val="22"/>
        </w:rPr>
      </w:pPr>
      <w:r w:rsidRPr="00A45403">
        <w:rPr>
          <w:rFonts w:ascii="Arial Narrow" w:hAnsi="Arial Narrow"/>
          <w:sz w:val="22"/>
          <w:szCs w:val="22"/>
        </w:rPr>
        <w:t>Esta propuesta se articula con la línea de investigación previamente planteada sobre “Biorrefinerías y valorización integral de subproductos agropecuarios”, orientada a desarrollar soluciones tecnológicas sostenibles para el sector rural colombiano.</w:t>
      </w:r>
    </w:p>
    <w:p w14:paraId="14B8C906" w14:textId="77777777" w:rsidR="00A45403" w:rsidRPr="00A45403" w:rsidRDefault="00A45403" w:rsidP="009B3B1E">
      <w:pPr>
        <w:spacing w:line="276" w:lineRule="auto"/>
        <w:jc w:val="both"/>
        <w:rPr>
          <w:rFonts w:ascii="Arial Narrow" w:hAnsi="Arial Narrow"/>
          <w:sz w:val="22"/>
          <w:szCs w:val="22"/>
        </w:rPr>
      </w:pPr>
      <w:r w:rsidRPr="00A45403">
        <w:rPr>
          <w:rFonts w:ascii="Arial Narrow" w:hAnsi="Arial Narrow"/>
          <w:sz w:val="22"/>
          <w:szCs w:val="22"/>
        </w:rPr>
        <w:t>2. Objetivo</w:t>
      </w:r>
    </w:p>
    <w:p w14:paraId="1D86765A" w14:textId="77777777" w:rsidR="00A45403" w:rsidRPr="00A45403" w:rsidRDefault="00A45403" w:rsidP="009B3B1E">
      <w:pPr>
        <w:spacing w:line="276" w:lineRule="auto"/>
        <w:jc w:val="both"/>
        <w:rPr>
          <w:rFonts w:ascii="Arial Narrow" w:hAnsi="Arial Narrow"/>
          <w:sz w:val="22"/>
          <w:szCs w:val="22"/>
        </w:rPr>
      </w:pPr>
      <w:r w:rsidRPr="00A45403">
        <w:rPr>
          <w:rFonts w:ascii="Arial Narrow" w:hAnsi="Arial Narrow"/>
          <w:sz w:val="22"/>
          <w:szCs w:val="22"/>
        </w:rPr>
        <w:t>Desarrollar y evaluar un modelo de biorrefinamiento integral de estiércol porcino que permita la producción optimizada de bioenergía, la recuperación eficiente de nutrientes y la generación de bioproductos de valor agregado, contribuyendo al fortalecimiento de sistemas agroindustriales sostenibles en Colombia.</w:t>
      </w:r>
    </w:p>
    <w:p w14:paraId="54C65B63" w14:textId="77777777" w:rsidR="00A45403" w:rsidRPr="00A45403" w:rsidRDefault="00A45403" w:rsidP="009B3B1E">
      <w:pPr>
        <w:spacing w:line="276" w:lineRule="auto"/>
        <w:jc w:val="both"/>
        <w:rPr>
          <w:rFonts w:ascii="Arial Narrow" w:hAnsi="Arial Narrow"/>
          <w:sz w:val="22"/>
          <w:szCs w:val="22"/>
        </w:rPr>
      </w:pPr>
      <w:r w:rsidRPr="00A45403">
        <w:rPr>
          <w:rFonts w:ascii="Arial Narrow" w:hAnsi="Arial Narrow"/>
          <w:sz w:val="22"/>
          <w:szCs w:val="22"/>
        </w:rPr>
        <w:t>3. Metodología</w:t>
      </w:r>
    </w:p>
    <w:p w14:paraId="78AD3926" w14:textId="77777777" w:rsidR="00A45403" w:rsidRPr="00A45403" w:rsidRDefault="00A45403" w:rsidP="009B3B1E">
      <w:pPr>
        <w:spacing w:line="276" w:lineRule="auto"/>
        <w:jc w:val="both"/>
        <w:rPr>
          <w:rFonts w:ascii="Arial Narrow" w:hAnsi="Arial Narrow"/>
          <w:sz w:val="22"/>
          <w:szCs w:val="22"/>
        </w:rPr>
      </w:pPr>
      <w:r w:rsidRPr="00A45403">
        <w:rPr>
          <w:rFonts w:ascii="Arial Narrow" w:hAnsi="Arial Narrow"/>
          <w:sz w:val="22"/>
          <w:szCs w:val="22"/>
        </w:rPr>
        <w:t>La investigación se desarrollará en cuatro fases articuladas:</w:t>
      </w:r>
    </w:p>
    <w:p w14:paraId="5F1303A6" w14:textId="77777777" w:rsidR="00A45403" w:rsidRPr="00A45403" w:rsidRDefault="00A45403" w:rsidP="009B3B1E">
      <w:pPr>
        <w:spacing w:line="276" w:lineRule="auto"/>
        <w:jc w:val="both"/>
        <w:rPr>
          <w:rFonts w:ascii="Arial Narrow" w:hAnsi="Arial Narrow"/>
          <w:sz w:val="22"/>
          <w:szCs w:val="22"/>
        </w:rPr>
      </w:pPr>
      <w:r w:rsidRPr="00A45403">
        <w:rPr>
          <w:rFonts w:ascii="Arial Narrow" w:hAnsi="Arial Narrow"/>
          <w:sz w:val="22"/>
          <w:szCs w:val="22"/>
        </w:rPr>
        <w:t>Fase 1. Caracterización y modelación del sustrato</w:t>
      </w:r>
    </w:p>
    <w:p w14:paraId="0219357B" w14:textId="77777777" w:rsidR="00A45403" w:rsidRPr="00A45403" w:rsidRDefault="00A45403" w:rsidP="009B3B1E">
      <w:pPr>
        <w:spacing w:line="276" w:lineRule="auto"/>
        <w:jc w:val="both"/>
        <w:rPr>
          <w:rFonts w:ascii="Arial Narrow" w:hAnsi="Arial Narrow"/>
          <w:sz w:val="22"/>
          <w:szCs w:val="22"/>
        </w:rPr>
      </w:pPr>
      <w:r w:rsidRPr="00A45403">
        <w:rPr>
          <w:rFonts w:ascii="Arial Narrow" w:hAnsi="Arial Narrow"/>
          <w:sz w:val="22"/>
          <w:szCs w:val="22"/>
        </w:rPr>
        <w:t>Se realizará la caracterización fisicoquímica y microbiológica del estiércol porcino proveniente de diferentes sistemas productivos. Se determinarán parámetros como sólidos totales y volátiles, DQO, contenido de nutrientes y potencial bioquímico de metano. Con base en estos datos se desarrollarán modelos de balance de masa y energía que permitan estimar el potencial de valorización.</w:t>
      </w:r>
    </w:p>
    <w:p w14:paraId="62E69BB8" w14:textId="77777777" w:rsidR="00A45403" w:rsidRPr="00A45403" w:rsidRDefault="00A45403" w:rsidP="009B3B1E">
      <w:pPr>
        <w:spacing w:line="276" w:lineRule="auto"/>
        <w:jc w:val="both"/>
        <w:rPr>
          <w:rFonts w:ascii="Arial Narrow" w:hAnsi="Arial Narrow"/>
          <w:sz w:val="22"/>
          <w:szCs w:val="22"/>
        </w:rPr>
      </w:pPr>
      <w:r w:rsidRPr="00A45403">
        <w:rPr>
          <w:rFonts w:ascii="Arial Narrow" w:hAnsi="Arial Narrow"/>
          <w:sz w:val="22"/>
          <w:szCs w:val="22"/>
        </w:rPr>
        <w:lastRenderedPageBreak/>
        <w:t>Fase 2. Optimización de la digestión anaerobia</w:t>
      </w:r>
    </w:p>
    <w:p w14:paraId="09C0E7AF" w14:textId="77777777" w:rsidR="00A45403" w:rsidRPr="00A45403" w:rsidRDefault="00A45403" w:rsidP="009B3B1E">
      <w:pPr>
        <w:spacing w:line="276" w:lineRule="auto"/>
        <w:jc w:val="both"/>
        <w:rPr>
          <w:rFonts w:ascii="Arial Narrow" w:hAnsi="Arial Narrow"/>
          <w:sz w:val="22"/>
          <w:szCs w:val="22"/>
        </w:rPr>
      </w:pPr>
      <w:r w:rsidRPr="00A45403">
        <w:rPr>
          <w:rFonts w:ascii="Arial Narrow" w:hAnsi="Arial Narrow"/>
          <w:sz w:val="22"/>
          <w:szCs w:val="22"/>
        </w:rPr>
        <w:t>Se evaluarán configuraciones de digestión anaerobia en escala de laboratorio y piloto, incluyendo co-digestión con residuos agrícolas. Se analizarán variables operativas (carga orgánica, tiempo de retención, temperatura) y se estimará la producción específica de metano. Adicionalmente, se estudiarán alternativas de purificación y upgrading de biogás para la obtención de biometano (IEA Bioenergy, 2021).</w:t>
      </w:r>
    </w:p>
    <w:p w14:paraId="2B4D1D4D" w14:textId="77777777" w:rsidR="00A45403" w:rsidRPr="00A45403" w:rsidRDefault="00A45403" w:rsidP="009B3B1E">
      <w:pPr>
        <w:spacing w:line="276" w:lineRule="auto"/>
        <w:jc w:val="both"/>
        <w:rPr>
          <w:rFonts w:ascii="Arial Narrow" w:hAnsi="Arial Narrow"/>
          <w:sz w:val="22"/>
          <w:szCs w:val="22"/>
        </w:rPr>
      </w:pPr>
      <w:r w:rsidRPr="00A45403">
        <w:rPr>
          <w:rFonts w:ascii="Arial Narrow" w:hAnsi="Arial Narrow"/>
          <w:sz w:val="22"/>
          <w:szCs w:val="22"/>
        </w:rPr>
        <w:t>Fase 3. Recuperación de nutrientes y generación de bioinsumos</w:t>
      </w:r>
    </w:p>
    <w:p w14:paraId="21306A70" w14:textId="5AB09581" w:rsidR="00A45403" w:rsidRPr="00A45403" w:rsidRDefault="00A45403" w:rsidP="009B3B1E">
      <w:pPr>
        <w:spacing w:line="276" w:lineRule="auto"/>
        <w:jc w:val="both"/>
        <w:rPr>
          <w:rFonts w:ascii="Arial Narrow" w:hAnsi="Arial Narrow"/>
          <w:sz w:val="22"/>
          <w:szCs w:val="22"/>
        </w:rPr>
      </w:pPr>
      <w:r w:rsidRPr="00A45403">
        <w:rPr>
          <w:rFonts w:ascii="Arial Narrow" w:hAnsi="Arial Narrow"/>
          <w:sz w:val="22"/>
          <w:szCs w:val="22"/>
        </w:rPr>
        <w:t xml:space="preserve">Se implementarán procesos de recuperación de </w:t>
      </w:r>
      <w:r w:rsidR="00413A7A">
        <w:rPr>
          <w:rFonts w:ascii="Arial Narrow" w:hAnsi="Arial Narrow"/>
          <w:sz w:val="22"/>
          <w:szCs w:val="22"/>
        </w:rPr>
        <w:t xml:space="preserve">nutrientes como </w:t>
      </w:r>
      <w:r w:rsidRPr="00A45403">
        <w:rPr>
          <w:rFonts w:ascii="Arial Narrow" w:hAnsi="Arial Narrow"/>
          <w:sz w:val="22"/>
          <w:szCs w:val="22"/>
        </w:rPr>
        <w:t xml:space="preserve">nitrógeno y fósforo, tales como </w:t>
      </w:r>
      <w:r w:rsidR="005F7FDE">
        <w:rPr>
          <w:rFonts w:ascii="Arial Narrow" w:hAnsi="Arial Narrow"/>
          <w:sz w:val="22"/>
          <w:szCs w:val="22"/>
        </w:rPr>
        <w:t>fijación biológica</w:t>
      </w:r>
      <w:r w:rsidRPr="00A45403">
        <w:rPr>
          <w:rFonts w:ascii="Arial Narrow" w:hAnsi="Arial Narrow"/>
          <w:sz w:val="22"/>
          <w:szCs w:val="22"/>
        </w:rPr>
        <w:t xml:space="preserve"> y separación sólido-líquido del digestato. Se evaluará la calidad agronómica de los biofertilizantes obtenidos y su potencial para sustituir fertilizantes sintéticos, contribuyendo a la economía circular rural (Geissdoerfer et al., 2017).</w:t>
      </w:r>
    </w:p>
    <w:p w14:paraId="3A0BB0B2" w14:textId="77777777" w:rsidR="00A45403" w:rsidRPr="00A45403" w:rsidRDefault="00A45403" w:rsidP="009B3B1E">
      <w:pPr>
        <w:spacing w:line="276" w:lineRule="auto"/>
        <w:jc w:val="both"/>
        <w:rPr>
          <w:rFonts w:ascii="Arial Narrow" w:hAnsi="Arial Narrow"/>
          <w:sz w:val="22"/>
          <w:szCs w:val="22"/>
        </w:rPr>
      </w:pPr>
      <w:r w:rsidRPr="00A45403">
        <w:rPr>
          <w:rFonts w:ascii="Arial Narrow" w:hAnsi="Arial Narrow"/>
          <w:sz w:val="22"/>
          <w:szCs w:val="22"/>
        </w:rPr>
        <w:t>Fase 4. Evaluación integral del sistema</w:t>
      </w:r>
    </w:p>
    <w:p w14:paraId="59942F02" w14:textId="77777777" w:rsidR="00A45403" w:rsidRPr="00A45403" w:rsidRDefault="00A45403" w:rsidP="009B3B1E">
      <w:pPr>
        <w:spacing w:line="276" w:lineRule="auto"/>
        <w:jc w:val="both"/>
        <w:rPr>
          <w:rFonts w:ascii="Arial Narrow" w:hAnsi="Arial Narrow"/>
          <w:sz w:val="22"/>
          <w:szCs w:val="22"/>
        </w:rPr>
      </w:pPr>
      <w:r w:rsidRPr="00A45403">
        <w:rPr>
          <w:rFonts w:ascii="Arial Narrow" w:hAnsi="Arial Narrow"/>
          <w:sz w:val="22"/>
          <w:szCs w:val="22"/>
        </w:rPr>
        <w:t>Se realizará un análisis de ciclo de vida para cuantificar impactos ambientales y reducción de emisiones (IPCC, 2022). Paralelamente, se desarrollará una evaluación técnico-económica para determinar la viabilidad del modelo en diferentes escalas productivas. El resultado será un diseño conceptual de biorrefinería porcino-agroindustrial adaptable a condiciones rurales colombianas.</w:t>
      </w:r>
    </w:p>
    <w:p w14:paraId="24DC5418" w14:textId="77777777" w:rsidR="00A45403" w:rsidRPr="00A45403" w:rsidRDefault="00A45403" w:rsidP="009B3B1E">
      <w:pPr>
        <w:spacing w:line="276" w:lineRule="auto"/>
        <w:jc w:val="both"/>
        <w:rPr>
          <w:rFonts w:ascii="Arial Narrow" w:hAnsi="Arial Narrow"/>
          <w:sz w:val="22"/>
          <w:szCs w:val="22"/>
        </w:rPr>
      </w:pPr>
    </w:p>
    <w:p w14:paraId="3392D391" w14:textId="77777777" w:rsidR="00A45403" w:rsidRPr="00A45403" w:rsidRDefault="00A45403" w:rsidP="009B3B1E">
      <w:pPr>
        <w:spacing w:line="276" w:lineRule="auto"/>
        <w:jc w:val="both"/>
        <w:rPr>
          <w:rFonts w:ascii="Arial Narrow" w:hAnsi="Arial Narrow"/>
          <w:sz w:val="22"/>
          <w:szCs w:val="22"/>
        </w:rPr>
      </w:pPr>
      <w:r w:rsidRPr="00A45403">
        <w:rPr>
          <w:rFonts w:ascii="Arial Narrow" w:hAnsi="Arial Narrow"/>
          <w:sz w:val="22"/>
          <w:szCs w:val="22"/>
        </w:rPr>
        <w:t>4. Resultados esperados</w:t>
      </w:r>
    </w:p>
    <w:p w14:paraId="22CB3A05" w14:textId="77777777" w:rsidR="00A45403" w:rsidRPr="00A45403" w:rsidRDefault="00A45403" w:rsidP="009B3B1E">
      <w:pPr>
        <w:spacing w:line="276" w:lineRule="auto"/>
        <w:jc w:val="both"/>
        <w:rPr>
          <w:rFonts w:ascii="Arial Narrow" w:hAnsi="Arial Narrow"/>
          <w:sz w:val="22"/>
          <w:szCs w:val="22"/>
        </w:rPr>
      </w:pPr>
      <w:r w:rsidRPr="00A45403">
        <w:rPr>
          <w:rFonts w:ascii="Arial Narrow" w:hAnsi="Arial Narrow"/>
          <w:sz w:val="22"/>
          <w:szCs w:val="22"/>
        </w:rPr>
        <w:t>4.1 Generación de conocimiento</w:t>
      </w:r>
    </w:p>
    <w:p w14:paraId="105275B4" w14:textId="08AD290A" w:rsidR="00A45403" w:rsidRPr="00581A4C" w:rsidRDefault="00A45403" w:rsidP="009B3B1E">
      <w:pPr>
        <w:pStyle w:val="Prrafodelista"/>
        <w:numPr>
          <w:ilvl w:val="0"/>
          <w:numId w:val="2"/>
        </w:numPr>
        <w:spacing w:line="276" w:lineRule="auto"/>
        <w:jc w:val="both"/>
        <w:rPr>
          <w:rFonts w:ascii="Arial Narrow" w:hAnsi="Arial Narrow"/>
          <w:sz w:val="22"/>
          <w:szCs w:val="22"/>
        </w:rPr>
      </w:pPr>
      <w:r w:rsidRPr="00581A4C">
        <w:rPr>
          <w:rFonts w:ascii="Arial Narrow" w:hAnsi="Arial Narrow"/>
          <w:sz w:val="22"/>
          <w:szCs w:val="22"/>
        </w:rPr>
        <w:t>Publicación de al menos tres artículos en revistas indexadas sobre:</w:t>
      </w:r>
    </w:p>
    <w:p w14:paraId="467A411F" w14:textId="77777777" w:rsidR="00A45403" w:rsidRPr="00A45403" w:rsidRDefault="00A45403" w:rsidP="009B3B1E">
      <w:pPr>
        <w:spacing w:line="276" w:lineRule="auto"/>
        <w:ind w:left="708"/>
        <w:jc w:val="both"/>
        <w:rPr>
          <w:rFonts w:ascii="Arial Narrow" w:hAnsi="Arial Narrow"/>
          <w:sz w:val="22"/>
          <w:szCs w:val="22"/>
        </w:rPr>
      </w:pPr>
      <w:r w:rsidRPr="00A45403">
        <w:rPr>
          <w:rFonts w:ascii="Arial Narrow" w:hAnsi="Arial Narrow"/>
          <w:sz w:val="22"/>
          <w:szCs w:val="22"/>
        </w:rPr>
        <w:t>i) modelación y optimización de digestión anaerobia,</w:t>
      </w:r>
    </w:p>
    <w:p w14:paraId="5B212E15" w14:textId="77777777" w:rsidR="00A45403" w:rsidRPr="00A45403" w:rsidRDefault="00A45403" w:rsidP="009B3B1E">
      <w:pPr>
        <w:spacing w:line="276" w:lineRule="auto"/>
        <w:ind w:left="708"/>
        <w:jc w:val="both"/>
        <w:rPr>
          <w:rFonts w:ascii="Arial Narrow" w:hAnsi="Arial Narrow"/>
          <w:sz w:val="22"/>
          <w:szCs w:val="22"/>
        </w:rPr>
      </w:pPr>
      <w:r w:rsidRPr="00A45403">
        <w:rPr>
          <w:rFonts w:ascii="Arial Narrow" w:hAnsi="Arial Narrow"/>
          <w:sz w:val="22"/>
          <w:szCs w:val="22"/>
        </w:rPr>
        <w:t>ii) recuperación de nutrientes,</w:t>
      </w:r>
    </w:p>
    <w:p w14:paraId="22F1C415" w14:textId="77777777" w:rsidR="00A45403" w:rsidRPr="00A45403" w:rsidRDefault="00A45403" w:rsidP="009B3B1E">
      <w:pPr>
        <w:spacing w:line="276" w:lineRule="auto"/>
        <w:ind w:left="708"/>
        <w:jc w:val="both"/>
        <w:rPr>
          <w:rFonts w:ascii="Arial Narrow" w:hAnsi="Arial Narrow"/>
          <w:sz w:val="22"/>
          <w:szCs w:val="22"/>
        </w:rPr>
      </w:pPr>
      <w:r w:rsidRPr="00A45403">
        <w:rPr>
          <w:rFonts w:ascii="Arial Narrow" w:hAnsi="Arial Narrow"/>
          <w:sz w:val="22"/>
          <w:szCs w:val="22"/>
        </w:rPr>
        <w:t>iii) evaluación ambiental y económica del sistema integrado.</w:t>
      </w:r>
    </w:p>
    <w:p w14:paraId="1766029B" w14:textId="77777777" w:rsidR="00581A4C" w:rsidRDefault="00A45403" w:rsidP="009B3B1E">
      <w:pPr>
        <w:pStyle w:val="Prrafodelista"/>
        <w:numPr>
          <w:ilvl w:val="0"/>
          <w:numId w:val="2"/>
        </w:numPr>
        <w:spacing w:line="276" w:lineRule="auto"/>
        <w:jc w:val="both"/>
        <w:rPr>
          <w:rFonts w:ascii="Arial Narrow" w:hAnsi="Arial Narrow"/>
          <w:sz w:val="22"/>
          <w:szCs w:val="22"/>
        </w:rPr>
      </w:pPr>
      <w:r w:rsidRPr="00581A4C">
        <w:rPr>
          <w:rFonts w:ascii="Arial Narrow" w:hAnsi="Arial Narrow"/>
          <w:sz w:val="22"/>
          <w:szCs w:val="22"/>
        </w:rPr>
        <w:t xml:space="preserve">Desarrollo de un modelo conceptual de biorrefinería porcino-agroindustrial aplicable al </w:t>
      </w:r>
      <w:r w:rsidR="009D055D" w:rsidRPr="00581A4C">
        <w:rPr>
          <w:rFonts w:ascii="Arial Narrow" w:hAnsi="Arial Narrow"/>
          <w:sz w:val="22"/>
          <w:szCs w:val="22"/>
        </w:rPr>
        <w:t>Contexto</w:t>
      </w:r>
      <w:r w:rsidRPr="00581A4C">
        <w:rPr>
          <w:rFonts w:ascii="Arial Narrow" w:hAnsi="Arial Narrow"/>
          <w:sz w:val="22"/>
          <w:szCs w:val="22"/>
        </w:rPr>
        <w:t xml:space="preserve"> colombiano.</w:t>
      </w:r>
    </w:p>
    <w:p w14:paraId="1F30CAB3" w14:textId="2347DFEB" w:rsidR="00A45403" w:rsidRPr="00581A4C" w:rsidRDefault="00A45403" w:rsidP="009B3B1E">
      <w:pPr>
        <w:pStyle w:val="Prrafodelista"/>
        <w:numPr>
          <w:ilvl w:val="0"/>
          <w:numId w:val="2"/>
        </w:numPr>
        <w:spacing w:line="276" w:lineRule="auto"/>
        <w:jc w:val="both"/>
        <w:rPr>
          <w:rFonts w:ascii="Arial Narrow" w:hAnsi="Arial Narrow"/>
          <w:sz w:val="22"/>
          <w:szCs w:val="22"/>
        </w:rPr>
      </w:pPr>
      <w:r w:rsidRPr="00581A4C">
        <w:rPr>
          <w:rFonts w:ascii="Arial Narrow" w:hAnsi="Arial Narrow"/>
          <w:sz w:val="22"/>
          <w:szCs w:val="22"/>
        </w:rPr>
        <w:t>Participación en congresos nacionales e internacionales en bioenergía y bioeconomía.</w:t>
      </w:r>
    </w:p>
    <w:p w14:paraId="0F4C08FA" w14:textId="77777777" w:rsidR="00A45403" w:rsidRPr="00A45403" w:rsidRDefault="00A45403" w:rsidP="009B3B1E">
      <w:pPr>
        <w:spacing w:line="276" w:lineRule="auto"/>
        <w:jc w:val="both"/>
        <w:rPr>
          <w:rFonts w:ascii="Arial Narrow" w:hAnsi="Arial Narrow"/>
          <w:sz w:val="22"/>
          <w:szCs w:val="22"/>
        </w:rPr>
      </w:pPr>
      <w:r w:rsidRPr="00A45403">
        <w:rPr>
          <w:rFonts w:ascii="Arial Narrow" w:hAnsi="Arial Narrow"/>
          <w:sz w:val="22"/>
          <w:szCs w:val="22"/>
        </w:rPr>
        <w:t>4.2 Formación de talento humano</w:t>
      </w:r>
    </w:p>
    <w:p w14:paraId="0D4706D8" w14:textId="77777777" w:rsidR="00A45403" w:rsidRPr="00A45403" w:rsidRDefault="00A45403" w:rsidP="009B3B1E">
      <w:pPr>
        <w:spacing w:line="276" w:lineRule="auto"/>
        <w:jc w:val="both"/>
        <w:rPr>
          <w:rFonts w:ascii="Arial Narrow" w:hAnsi="Arial Narrow"/>
          <w:sz w:val="22"/>
          <w:szCs w:val="22"/>
        </w:rPr>
      </w:pPr>
      <w:r w:rsidRPr="00A45403">
        <w:rPr>
          <w:rFonts w:ascii="Arial Narrow" w:hAnsi="Arial Narrow"/>
          <w:sz w:val="22"/>
          <w:szCs w:val="22"/>
        </w:rPr>
        <w:t>Dirección de trabajos de grado de pregrado en Ingeniería Agrícola.</w:t>
      </w:r>
    </w:p>
    <w:p w14:paraId="7F7C0D46" w14:textId="77777777" w:rsidR="00A45403" w:rsidRPr="00581A4C" w:rsidRDefault="00A45403" w:rsidP="009B3B1E">
      <w:pPr>
        <w:pStyle w:val="Prrafodelista"/>
        <w:numPr>
          <w:ilvl w:val="0"/>
          <w:numId w:val="3"/>
        </w:numPr>
        <w:spacing w:line="276" w:lineRule="auto"/>
        <w:jc w:val="both"/>
        <w:rPr>
          <w:rFonts w:ascii="Arial Narrow" w:hAnsi="Arial Narrow"/>
          <w:sz w:val="22"/>
          <w:szCs w:val="22"/>
        </w:rPr>
      </w:pPr>
      <w:r w:rsidRPr="00581A4C">
        <w:rPr>
          <w:rFonts w:ascii="Arial Narrow" w:hAnsi="Arial Narrow"/>
          <w:sz w:val="22"/>
          <w:szCs w:val="22"/>
        </w:rPr>
        <w:t>Formación de estudiantes de maestría en investigación aplicada en bioenergía y valorización.</w:t>
      </w:r>
    </w:p>
    <w:p w14:paraId="51432AB3" w14:textId="77777777" w:rsidR="00A45403" w:rsidRPr="00581A4C" w:rsidRDefault="00A45403" w:rsidP="009B3B1E">
      <w:pPr>
        <w:pStyle w:val="Prrafodelista"/>
        <w:numPr>
          <w:ilvl w:val="0"/>
          <w:numId w:val="3"/>
        </w:numPr>
        <w:spacing w:line="276" w:lineRule="auto"/>
        <w:jc w:val="both"/>
        <w:rPr>
          <w:rFonts w:ascii="Arial Narrow" w:hAnsi="Arial Narrow"/>
          <w:sz w:val="22"/>
          <w:szCs w:val="22"/>
        </w:rPr>
      </w:pPr>
      <w:r w:rsidRPr="00581A4C">
        <w:rPr>
          <w:rFonts w:ascii="Arial Narrow" w:hAnsi="Arial Narrow"/>
          <w:sz w:val="22"/>
          <w:szCs w:val="22"/>
        </w:rPr>
        <w:t>Vinculación de estudiantes a semilleros y proyectos financiados.</w:t>
      </w:r>
    </w:p>
    <w:p w14:paraId="17841950" w14:textId="77777777" w:rsidR="00A45403" w:rsidRPr="00581A4C" w:rsidRDefault="00A45403" w:rsidP="009B3B1E">
      <w:pPr>
        <w:pStyle w:val="Prrafodelista"/>
        <w:numPr>
          <w:ilvl w:val="0"/>
          <w:numId w:val="3"/>
        </w:numPr>
        <w:spacing w:line="276" w:lineRule="auto"/>
        <w:jc w:val="both"/>
        <w:rPr>
          <w:rFonts w:ascii="Arial Narrow" w:hAnsi="Arial Narrow"/>
          <w:sz w:val="22"/>
          <w:szCs w:val="22"/>
        </w:rPr>
      </w:pPr>
      <w:r w:rsidRPr="00581A4C">
        <w:rPr>
          <w:rFonts w:ascii="Arial Narrow" w:hAnsi="Arial Narrow"/>
          <w:sz w:val="22"/>
          <w:szCs w:val="22"/>
        </w:rPr>
        <w:t>Desarrollo de capacidades en modelación de procesos, análisis ambiental y diseño de sistemas agroindustriales sostenibles.</w:t>
      </w:r>
    </w:p>
    <w:p w14:paraId="428863BE" w14:textId="77777777" w:rsidR="00A45403" w:rsidRPr="00A45403" w:rsidRDefault="00A45403" w:rsidP="009B3B1E">
      <w:pPr>
        <w:spacing w:line="276" w:lineRule="auto"/>
        <w:jc w:val="both"/>
        <w:rPr>
          <w:rFonts w:ascii="Arial Narrow" w:hAnsi="Arial Narrow"/>
          <w:sz w:val="22"/>
          <w:szCs w:val="22"/>
        </w:rPr>
      </w:pPr>
      <w:r w:rsidRPr="00A45403">
        <w:rPr>
          <w:rFonts w:ascii="Arial Narrow" w:hAnsi="Arial Narrow"/>
          <w:sz w:val="22"/>
          <w:szCs w:val="22"/>
        </w:rPr>
        <w:t>4.3 Innovación tecnológica</w:t>
      </w:r>
    </w:p>
    <w:p w14:paraId="67558BC6" w14:textId="77777777" w:rsidR="00A45403" w:rsidRPr="00581A4C" w:rsidRDefault="00A45403" w:rsidP="009B3B1E">
      <w:pPr>
        <w:pStyle w:val="Prrafodelista"/>
        <w:numPr>
          <w:ilvl w:val="0"/>
          <w:numId w:val="4"/>
        </w:numPr>
        <w:spacing w:line="276" w:lineRule="auto"/>
        <w:jc w:val="both"/>
        <w:rPr>
          <w:rFonts w:ascii="Arial Narrow" w:hAnsi="Arial Narrow"/>
          <w:sz w:val="22"/>
          <w:szCs w:val="22"/>
        </w:rPr>
      </w:pPr>
      <w:r w:rsidRPr="00581A4C">
        <w:rPr>
          <w:rFonts w:ascii="Arial Narrow" w:hAnsi="Arial Narrow"/>
          <w:sz w:val="22"/>
          <w:szCs w:val="22"/>
        </w:rPr>
        <w:t>Diseño conceptual de un sistema modular de biorrefinamiento adaptable a granjas porcinas medianas.</w:t>
      </w:r>
    </w:p>
    <w:p w14:paraId="4A379350" w14:textId="77777777" w:rsidR="00A45403" w:rsidRPr="00581A4C" w:rsidRDefault="00A45403" w:rsidP="009B3B1E">
      <w:pPr>
        <w:pStyle w:val="Prrafodelista"/>
        <w:numPr>
          <w:ilvl w:val="0"/>
          <w:numId w:val="4"/>
        </w:numPr>
        <w:spacing w:line="276" w:lineRule="auto"/>
        <w:jc w:val="both"/>
        <w:rPr>
          <w:rFonts w:ascii="Arial Narrow" w:hAnsi="Arial Narrow"/>
          <w:sz w:val="22"/>
          <w:szCs w:val="22"/>
        </w:rPr>
      </w:pPr>
      <w:r w:rsidRPr="00581A4C">
        <w:rPr>
          <w:rFonts w:ascii="Arial Narrow" w:hAnsi="Arial Narrow"/>
          <w:sz w:val="22"/>
          <w:szCs w:val="22"/>
        </w:rPr>
        <w:t>Desarrollo de protocolos técnicos para optimización de biodigestores y recuperación de nutrientes.</w:t>
      </w:r>
    </w:p>
    <w:p w14:paraId="1DCC30F6" w14:textId="77777777" w:rsidR="00A45403" w:rsidRPr="00581A4C" w:rsidRDefault="00A45403" w:rsidP="009B3B1E">
      <w:pPr>
        <w:pStyle w:val="Prrafodelista"/>
        <w:numPr>
          <w:ilvl w:val="0"/>
          <w:numId w:val="4"/>
        </w:numPr>
        <w:spacing w:line="276" w:lineRule="auto"/>
        <w:jc w:val="both"/>
        <w:rPr>
          <w:rFonts w:ascii="Arial Narrow" w:hAnsi="Arial Narrow"/>
          <w:sz w:val="22"/>
          <w:szCs w:val="22"/>
        </w:rPr>
      </w:pPr>
      <w:r w:rsidRPr="00581A4C">
        <w:rPr>
          <w:rFonts w:ascii="Arial Narrow" w:hAnsi="Arial Narrow"/>
          <w:sz w:val="22"/>
          <w:szCs w:val="22"/>
        </w:rPr>
        <w:lastRenderedPageBreak/>
        <w:t>Potencial solicitud de registro de propiedad intelectual asociada a configuraciones de integración tecnológica.</w:t>
      </w:r>
    </w:p>
    <w:p w14:paraId="500D6513" w14:textId="77777777" w:rsidR="00A45403" w:rsidRPr="00581A4C" w:rsidRDefault="00A45403" w:rsidP="009B3B1E">
      <w:pPr>
        <w:pStyle w:val="Prrafodelista"/>
        <w:numPr>
          <w:ilvl w:val="0"/>
          <w:numId w:val="4"/>
        </w:numPr>
        <w:spacing w:line="276" w:lineRule="auto"/>
        <w:jc w:val="both"/>
        <w:rPr>
          <w:rFonts w:ascii="Arial Narrow" w:hAnsi="Arial Narrow"/>
          <w:sz w:val="22"/>
          <w:szCs w:val="22"/>
        </w:rPr>
      </w:pPr>
      <w:r w:rsidRPr="00581A4C">
        <w:rPr>
          <w:rFonts w:ascii="Arial Narrow" w:hAnsi="Arial Narrow"/>
          <w:sz w:val="22"/>
          <w:szCs w:val="22"/>
        </w:rPr>
        <w:t>Transferencia tecnológica hacia asociaciones porcícolas y entidades territoriales.</w:t>
      </w:r>
    </w:p>
    <w:p w14:paraId="5E9D5357" w14:textId="77777777" w:rsidR="00A45403" w:rsidRPr="00A45403" w:rsidRDefault="00A45403" w:rsidP="009B3B1E">
      <w:pPr>
        <w:spacing w:line="276" w:lineRule="auto"/>
        <w:jc w:val="both"/>
        <w:rPr>
          <w:rFonts w:ascii="Arial Narrow" w:hAnsi="Arial Narrow"/>
          <w:sz w:val="22"/>
          <w:szCs w:val="22"/>
        </w:rPr>
      </w:pPr>
      <w:r w:rsidRPr="00A45403">
        <w:rPr>
          <w:rFonts w:ascii="Arial Narrow" w:hAnsi="Arial Narrow"/>
          <w:sz w:val="22"/>
          <w:szCs w:val="22"/>
        </w:rPr>
        <w:t>5. Impacto esperado</w:t>
      </w:r>
    </w:p>
    <w:p w14:paraId="4EBF1A03" w14:textId="286364D2" w:rsidR="00EF1794" w:rsidRDefault="00A45403" w:rsidP="009B3B1E">
      <w:pPr>
        <w:spacing w:line="276" w:lineRule="auto"/>
        <w:jc w:val="both"/>
        <w:rPr>
          <w:rFonts w:ascii="Arial Narrow" w:hAnsi="Arial Narrow"/>
          <w:sz w:val="22"/>
          <w:szCs w:val="22"/>
        </w:rPr>
      </w:pPr>
      <w:r w:rsidRPr="00A45403">
        <w:rPr>
          <w:rFonts w:ascii="Arial Narrow" w:hAnsi="Arial Narrow"/>
          <w:sz w:val="22"/>
          <w:szCs w:val="22"/>
        </w:rPr>
        <w:t>El proyecto contribuirá a la reducción de emisiones de gases de efecto invernadero, a la mejora en la gestión de efluentes pecuarios y a la generación de energía renovable en el sector rural. Asimismo, fortalecerá la articulación entre investigación, docencia y extensión, consolidando una línea estratégica en biorrefinerías agropecuarias y bioeconomía aplicada.</w:t>
      </w:r>
    </w:p>
    <w:p w14:paraId="589E4CB8" w14:textId="77777777" w:rsidR="000A7433" w:rsidRDefault="000A7433" w:rsidP="009B3B1E">
      <w:pPr>
        <w:spacing w:line="276" w:lineRule="auto"/>
        <w:jc w:val="both"/>
        <w:rPr>
          <w:rFonts w:ascii="Arial Narrow" w:hAnsi="Arial Narrow"/>
          <w:sz w:val="22"/>
          <w:szCs w:val="22"/>
        </w:rPr>
      </w:pPr>
    </w:p>
    <w:p w14:paraId="68AC9B70" w14:textId="3DCBCE88" w:rsidR="004A530D" w:rsidRPr="00EF1794" w:rsidRDefault="004A530D" w:rsidP="009B3B1E">
      <w:pPr>
        <w:spacing w:line="276" w:lineRule="auto"/>
        <w:jc w:val="both"/>
        <w:rPr>
          <w:rFonts w:ascii="Arial Narrow" w:hAnsi="Arial Narrow"/>
          <w:b/>
          <w:bCs/>
          <w:sz w:val="22"/>
          <w:szCs w:val="22"/>
        </w:rPr>
      </w:pPr>
      <w:r w:rsidRPr="00EF1794">
        <w:rPr>
          <w:rFonts w:ascii="Arial Narrow" w:hAnsi="Arial Narrow"/>
          <w:b/>
          <w:bCs/>
          <w:sz w:val="22"/>
          <w:szCs w:val="22"/>
        </w:rPr>
        <w:t>Propuesta para el componente de</w:t>
      </w:r>
      <w:r w:rsidRPr="00EF1794">
        <w:rPr>
          <w:rFonts w:ascii="Arial Narrow" w:hAnsi="Arial Narrow"/>
          <w:b/>
          <w:bCs/>
          <w:sz w:val="22"/>
          <w:szCs w:val="22"/>
        </w:rPr>
        <w:t xml:space="preserve"> extensión</w:t>
      </w:r>
    </w:p>
    <w:p w14:paraId="5003FE84" w14:textId="4579CA93" w:rsidR="00EF1794" w:rsidRPr="00EF1794" w:rsidRDefault="00EF1794" w:rsidP="009B3B1E">
      <w:pPr>
        <w:spacing w:line="276" w:lineRule="auto"/>
        <w:jc w:val="both"/>
        <w:rPr>
          <w:rFonts w:ascii="Arial Narrow" w:hAnsi="Arial Narrow"/>
          <w:sz w:val="22"/>
          <w:szCs w:val="22"/>
        </w:rPr>
      </w:pPr>
      <w:r w:rsidRPr="00EF1794">
        <w:rPr>
          <w:rFonts w:ascii="Arial Narrow" w:hAnsi="Arial Narrow"/>
          <w:sz w:val="22"/>
          <w:szCs w:val="22"/>
        </w:rPr>
        <w:t xml:space="preserve">La propuesta de extensión se concibe como un mecanismo estratégico para articular el conocimiento generado en la Universidad con las necesidades reales del sector agropecuario colombiano, particularmente en el ámbito del manejo y valorización de subproductos agrícolas y pecuarios. En un </w:t>
      </w:r>
      <w:r w:rsidR="009D055D">
        <w:rPr>
          <w:rFonts w:ascii="Arial Narrow" w:hAnsi="Arial Narrow"/>
          <w:sz w:val="22"/>
          <w:szCs w:val="22"/>
        </w:rPr>
        <w:t>Contexto</w:t>
      </w:r>
      <w:r w:rsidRPr="00EF1794">
        <w:rPr>
          <w:rFonts w:ascii="Arial Narrow" w:hAnsi="Arial Narrow"/>
          <w:sz w:val="22"/>
          <w:szCs w:val="22"/>
        </w:rPr>
        <w:t xml:space="preserve"> donde el aprovechamiento de residuos agropecuarios es aún limitado</w:t>
      </w:r>
      <w:r w:rsidR="00BF0593">
        <w:rPr>
          <w:rFonts w:ascii="Arial Narrow" w:hAnsi="Arial Narrow"/>
          <w:sz w:val="22"/>
          <w:szCs w:val="22"/>
        </w:rPr>
        <w:t>, como se ha mencionado anteriormente,</w:t>
      </w:r>
      <w:r w:rsidRPr="00EF1794">
        <w:rPr>
          <w:rFonts w:ascii="Arial Narrow" w:hAnsi="Arial Narrow"/>
          <w:sz w:val="22"/>
          <w:szCs w:val="22"/>
        </w:rPr>
        <w:t xml:space="preserve"> resulta fundamental fortalecer los procesos de transferencia tecnológica y apropiación social del conocimiento orientados hacia la bioeconomía rural.</w:t>
      </w:r>
    </w:p>
    <w:p w14:paraId="1591488D" w14:textId="38DA5E9D" w:rsidR="00EF1794" w:rsidRPr="00EF1794" w:rsidRDefault="00BF0593" w:rsidP="009B3B1E">
      <w:pPr>
        <w:spacing w:line="276" w:lineRule="auto"/>
        <w:jc w:val="both"/>
        <w:rPr>
          <w:rFonts w:ascii="Arial Narrow" w:hAnsi="Arial Narrow"/>
          <w:sz w:val="22"/>
          <w:szCs w:val="22"/>
        </w:rPr>
      </w:pPr>
      <w:r>
        <w:rPr>
          <w:rFonts w:ascii="Arial Narrow" w:hAnsi="Arial Narrow"/>
          <w:sz w:val="22"/>
          <w:szCs w:val="22"/>
        </w:rPr>
        <w:t>En este sentido</w:t>
      </w:r>
      <w:r w:rsidR="00EF1794" w:rsidRPr="00EF1794">
        <w:rPr>
          <w:rFonts w:ascii="Arial Narrow" w:hAnsi="Arial Narrow"/>
          <w:sz w:val="22"/>
          <w:szCs w:val="22"/>
        </w:rPr>
        <w:t>, la extensión no se entiende únicamente como prestación de servicios técnicos, sino como un proceso bidireccional de construcción de soluciones con el territorio. La valorización de subproductos agropecuarios implica no solo el diseño de tecnologías, sino también la adaptación a condiciones productivas locales, la evaluación de viabilidad económica y la formación de capacidades técnicas en productores y asociaciones rurales. Este enfoque se alinea con los principios de la economía circular, que promueve la reintegración de flujos materiales al sistema productivo, y con la bioeconomía como estrategia de desarrollo sostenible basada en recursos biológicos renovables (FAO, 2019; Geissdoerfer et al., 2017).</w:t>
      </w:r>
    </w:p>
    <w:p w14:paraId="65B00A5C" w14:textId="2C6C78DD" w:rsidR="00EF1794" w:rsidRPr="00EF1794" w:rsidRDefault="00EF1794" w:rsidP="009B3B1E">
      <w:pPr>
        <w:spacing w:line="276" w:lineRule="auto"/>
        <w:jc w:val="both"/>
        <w:rPr>
          <w:rFonts w:ascii="Arial Narrow" w:hAnsi="Arial Narrow"/>
          <w:sz w:val="22"/>
          <w:szCs w:val="22"/>
        </w:rPr>
      </w:pPr>
      <w:r w:rsidRPr="00EF1794">
        <w:rPr>
          <w:rFonts w:ascii="Arial Narrow" w:hAnsi="Arial Narrow"/>
          <w:sz w:val="22"/>
          <w:szCs w:val="22"/>
        </w:rPr>
        <w:t>La propuesta contempla tres ejes principales:</w:t>
      </w:r>
    </w:p>
    <w:p w14:paraId="30BA687F" w14:textId="77777777" w:rsidR="00EF1794" w:rsidRPr="00EF1794" w:rsidRDefault="00EF1794" w:rsidP="009B3B1E">
      <w:pPr>
        <w:spacing w:line="276" w:lineRule="auto"/>
        <w:jc w:val="both"/>
        <w:rPr>
          <w:rFonts w:ascii="Arial Narrow" w:hAnsi="Arial Narrow"/>
          <w:sz w:val="22"/>
          <w:szCs w:val="22"/>
        </w:rPr>
      </w:pPr>
      <w:r w:rsidRPr="00EF1794">
        <w:rPr>
          <w:rFonts w:ascii="Arial Narrow" w:hAnsi="Arial Narrow"/>
          <w:sz w:val="22"/>
          <w:szCs w:val="22"/>
        </w:rPr>
        <w:t>1. Transferencia tecnológica en valorización y bioenergía</w:t>
      </w:r>
    </w:p>
    <w:p w14:paraId="29E37269" w14:textId="77777777" w:rsidR="00EF1794" w:rsidRPr="00EF1794" w:rsidRDefault="00EF1794" w:rsidP="009B3B1E">
      <w:pPr>
        <w:spacing w:line="276" w:lineRule="auto"/>
        <w:jc w:val="both"/>
        <w:rPr>
          <w:rFonts w:ascii="Arial Narrow" w:hAnsi="Arial Narrow"/>
          <w:sz w:val="22"/>
          <w:szCs w:val="22"/>
        </w:rPr>
      </w:pPr>
      <w:r w:rsidRPr="00EF1794">
        <w:rPr>
          <w:rFonts w:ascii="Arial Narrow" w:hAnsi="Arial Narrow"/>
          <w:sz w:val="22"/>
          <w:szCs w:val="22"/>
        </w:rPr>
        <w:t>Se promoverá el diseño y acompañamiento en la implementación de soluciones tecnológicas modulares para el aprovechamiento de subproductos agropecuarios, particularmente en sistemas pecuarios intensivos como el sector porcícola. La digestión anaerobia para producción de biogás y biofertilizantes constituye una alternativa técnicamente viable para reducir emisiones, mejorar la gestión de efluentes y generar energía renovable (IEA Bioenergy, 2021). En este sentido, se plantea la formulación de proyectos piloto en alianza con asociaciones de productores y empresas agroindustriales, orientados al diseño conceptual y optimización de sistemas de aprovechamiento energético y productivo.</w:t>
      </w:r>
    </w:p>
    <w:p w14:paraId="0A18F5C8" w14:textId="66D0EDF3" w:rsidR="00EF1794" w:rsidRDefault="00EF1794" w:rsidP="009B3B1E">
      <w:pPr>
        <w:spacing w:line="276" w:lineRule="auto"/>
        <w:jc w:val="both"/>
        <w:rPr>
          <w:rFonts w:ascii="Arial Narrow" w:hAnsi="Arial Narrow"/>
          <w:sz w:val="22"/>
          <w:szCs w:val="22"/>
        </w:rPr>
      </w:pPr>
      <w:r w:rsidRPr="00EF1794">
        <w:rPr>
          <w:rFonts w:ascii="Arial Narrow" w:hAnsi="Arial Narrow"/>
          <w:sz w:val="22"/>
          <w:szCs w:val="22"/>
        </w:rPr>
        <w:t xml:space="preserve">Asimismo, se buscará promover esquemas de biorrefinería rural, donde la biomasa residual sea transformada en múltiples productos </w:t>
      </w:r>
      <w:r w:rsidR="0000609D">
        <w:rPr>
          <w:rFonts w:ascii="Arial Narrow" w:hAnsi="Arial Narrow"/>
          <w:sz w:val="22"/>
          <w:szCs w:val="22"/>
        </w:rPr>
        <w:t>(</w:t>
      </w:r>
      <w:r w:rsidRPr="00EF1794">
        <w:rPr>
          <w:rFonts w:ascii="Arial Narrow" w:hAnsi="Arial Narrow"/>
          <w:sz w:val="22"/>
          <w:szCs w:val="22"/>
        </w:rPr>
        <w:t>energía, fertilizantes orgánicos, bioproductos</w:t>
      </w:r>
      <w:r w:rsidR="0000609D">
        <w:rPr>
          <w:rFonts w:ascii="Arial Narrow" w:hAnsi="Arial Narrow"/>
          <w:sz w:val="22"/>
          <w:szCs w:val="22"/>
        </w:rPr>
        <w:t>)</w:t>
      </w:r>
      <w:r w:rsidRPr="00EF1794">
        <w:rPr>
          <w:rFonts w:ascii="Arial Narrow" w:hAnsi="Arial Narrow"/>
          <w:sz w:val="22"/>
          <w:szCs w:val="22"/>
        </w:rPr>
        <w:t xml:space="preserve"> mediante procesos integrados. Este enfoque permite maximizar el valor de los subproductos y reducir la dependencia de insumos externos, fortaleciendo la sostenibilidad de los sistemas productivos (Cherubini, 2010</w:t>
      </w:r>
      <w:r w:rsidR="0000609D">
        <w:rPr>
          <w:rFonts w:ascii="Arial Narrow" w:hAnsi="Arial Narrow"/>
          <w:sz w:val="22"/>
          <w:szCs w:val="22"/>
        </w:rPr>
        <w:t>, Clavijo-Salinas et al., 2026</w:t>
      </w:r>
      <w:r w:rsidRPr="00EF1794">
        <w:rPr>
          <w:rFonts w:ascii="Arial Narrow" w:hAnsi="Arial Narrow"/>
          <w:sz w:val="22"/>
          <w:szCs w:val="22"/>
        </w:rPr>
        <w:t>).</w:t>
      </w:r>
    </w:p>
    <w:p w14:paraId="5FA8587E" w14:textId="77777777" w:rsidR="00506256" w:rsidRDefault="00506256" w:rsidP="009B3B1E">
      <w:pPr>
        <w:spacing w:line="276" w:lineRule="auto"/>
        <w:jc w:val="both"/>
        <w:rPr>
          <w:rFonts w:ascii="Arial Narrow" w:hAnsi="Arial Narrow"/>
          <w:sz w:val="22"/>
          <w:szCs w:val="22"/>
        </w:rPr>
      </w:pPr>
    </w:p>
    <w:p w14:paraId="3A6F5EBB" w14:textId="77777777" w:rsidR="00506256" w:rsidRPr="00EF1794" w:rsidRDefault="00506256" w:rsidP="009B3B1E">
      <w:pPr>
        <w:spacing w:line="276" w:lineRule="auto"/>
        <w:jc w:val="both"/>
        <w:rPr>
          <w:rFonts w:ascii="Arial Narrow" w:hAnsi="Arial Narrow"/>
          <w:sz w:val="22"/>
          <w:szCs w:val="22"/>
        </w:rPr>
      </w:pPr>
    </w:p>
    <w:p w14:paraId="7545FB01" w14:textId="77777777" w:rsidR="00EF1794" w:rsidRPr="00EF1794" w:rsidRDefault="00EF1794" w:rsidP="009B3B1E">
      <w:pPr>
        <w:spacing w:line="276" w:lineRule="auto"/>
        <w:jc w:val="both"/>
        <w:rPr>
          <w:rFonts w:ascii="Arial Narrow" w:hAnsi="Arial Narrow"/>
          <w:sz w:val="22"/>
          <w:szCs w:val="22"/>
        </w:rPr>
      </w:pPr>
      <w:r w:rsidRPr="00EF1794">
        <w:rPr>
          <w:rFonts w:ascii="Arial Narrow" w:hAnsi="Arial Narrow"/>
          <w:sz w:val="22"/>
          <w:szCs w:val="22"/>
        </w:rPr>
        <w:lastRenderedPageBreak/>
        <w:t>2. Fortalecimiento de capacidades y formación continua</w:t>
      </w:r>
    </w:p>
    <w:p w14:paraId="61F199E9" w14:textId="77777777" w:rsidR="00EF1794" w:rsidRPr="00EF1794" w:rsidRDefault="00EF1794" w:rsidP="009B3B1E">
      <w:pPr>
        <w:spacing w:line="276" w:lineRule="auto"/>
        <w:jc w:val="both"/>
        <w:rPr>
          <w:rFonts w:ascii="Arial Narrow" w:hAnsi="Arial Narrow"/>
          <w:sz w:val="22"/>
          <w:szCs w:val="22"/>
        </w:rPr>
      </w:pPr>
      <w:r w:rsidRPr="00EF1794">
        <w:rPr>
          <w:rFonts w:ascii="Arial Narrow" w:hAnsi="Arial Narrow"/>
          <w:sz w:val="22"/>
          <w:szCs w:val="22"/>
        </w:rPr>
        <w:t>La extensión incluirá la oferta de diplomados, cursos de actualización y talleres técnicos dirigidos a productores, técnicos agropecuarios y profesionales del sector, enfocados en bioenergía, diseño de biodigestores, integración energética y evaluación técnico-económica de proyectos de valorización. Estos espacios formativos facilitarán la apropiación de herramientas de análisis y diseño, contribuyendo a cerrar la brecha entre conocimiento académico y aplicación productiva.</w:t>
      </w:r>
    </w:p>
    <w:p w14:paraId="7EECD391" w14:textId="5286E906" w:rsidR="00EF1794" w:rsidRPr="00EF1794" w:rsidRDefault="00EF1794" w:rsidP="009B3B1E">
      <w:pPr>
        <w:spacing w:line="276" w:lineRule="auto"/>
        <w:jc w:val="both"/>
        <w:rPr>
          <w:rFonts w:ascii="Arial Narrow" w:hAnsi="Arial Narrow"/>
          <w:sz w:val="22"/>
          <w:szCs w:val="22"/>
        </w:rPr>
      </w:pPr>
      <w:r w:rsidRPr="00EF1794">
        <w:rPr>
          <w:rFonts w:ascii="Arial Narrow" w:hAnsi="Arial Narrow"/>
          <w:sz w:val="22"/>
          <w:szCs w:val="22"/>
        </w:rPr>
        <w:t xml:space="preserve">Adicionalmente, se promoverá la vinculación de estudiantes de pregrado y posgrado en proyectos de extensión, favoreciendo procesos de aprendizaje en </w:t>
      </w:r>
      <w:r w:rsidR="009D055D">
        <w:rPr>
          <w:rFonts w:ascii="Arial Narrow" w:hAnsi="Arial Narrow"/>
          <w:sz w:val="22"/>
          <w:szCs w:val="22"/>
        </w:rPr>
        <w:t>Contexto</w:t>
      </w:r>
      <w:r w:rsidRPr="00EF1794">
        <w:rPr>
          <w:rFonts w:ascii="Arial Narrow" w:hAnsi="Arial Narrow"/>
          <w:sz w:val="22"/>
          <w:szCs w:val="22"/>
        </w:rPr>
        <w:t xml:space="preserve"> real y fortaleciendo la articulación entre docencia, investigación y proyección social.</w:t>
      </w:r>
    </w:p>
    <w:p w14:paraId="0C6597CD" w14:textId="77777777" w:rsidR="00EF1794" w:rsidRPr="00EF1794" w:rsidRDefault="00EF1794" w:rsidP="009B3B1E">
      <w:pPr>
        <w:spacing w:line="276" w:lineRule="auto"/>
        <w:jc w:val="both"/>
        <w:rPr>
          <w:rFonts w:ascii="Arial Narrow" w:hAnsi="Arial Narrow"/>
          <w:sz w:val="22"/>
          <w:szCs w:val="22"/>
        </w:rPr>
      </w:pPr>
      <w:r w:rsidRPr="00EF1794">
        <w:rPr>
          <w:rFonts w:ascii="Arial Narrow" w:hAnsi="Arial Narrow"/>
          <w:sz w:val="22"/>
          <w:szCs w:val="22"/>
        </w:rPr>
        <w:t>3. Desarrollo territorial y sostenibilidad</w:t>
      </w:r>
    </w:p>
    <w:p w14:paraId="503A53E8" w14:textId="77777777" w:rsidR="00EF1794" w:rsidRPr="00EF1794" w:rsidRDefault="00EF1794" w:rsidP="009B3B1E">
      <w:pPr>
        <w:spacing w:line="276" w:lineRule="auto"/>
        <w:jc w:val="both"/>
        <w:rPr>
          <w:rFonts w:ascii="Arial Narrow" w:hAnsi="Arial Narrow"/>
          <w:sz w:val="22"/>
          <w:szCs w:val="22"/>
        </w:rPr>
      </w:pPr>
      <w:r w:rsidRPr="00EF1794">
        <w:rPr>
          <w:rFonts w:ascii="Arial Narrow" w:hAnsi="Arial Narrow"/>
          <w:sz w:val="22"/>
          <w:szCs w:val="22"/>
        </w:rPr>
        <w:t>La valorización de subproductos agropecuarios tiene un impacto directo en la sostenibilidad ambiental y económica de los territorios rurales. La adecuada gestión de residuos pecuarios contribuye a la mitigación de emisiones de gases de efecto invernadero y a la reducción de riesgos de contaminación hídrica y de suelos (IPCC, 2022). Al mismo tiempo, la generación de energía y bioinsumos puede representar una fuente adicional de ingresos y reducción de costos para productores.</w:t>
      </w:r>
    </w:p>
    <w:p w14:paraId="086256BD" w14:textId="77777777" w:rsidR="00EF1794" w:rsidRDefault="00EF1794" w:rsidP="009B3B1E">
      <w:pPr>
        <w:spacing w:line="276" w:lineRule="auto"/>
        <w:jc w:val="both"/>
        <w:rPr>
          <w:rFonts w:ascii="Arial Narrow" w:hAnsi="Arial Narrow"/>
          <w:sz w:val="22"/>
          <w:szCs w:val="22"/>
        </w:rPr>
      </w:pPr>
      <w:r w:rsidRPr="00EF1794">
        <w:rPr>
          <w:rFonts w:ascii="Arial Narrow" w:hAnsi="Arial Narrow"/>
          <w:sz w:val="22"/>
          <w:szCs w:val="22"/>
        </w:rPr>
        <w:t>En este marco, la propuesta de extensión busca articularse con políticas públicas relacionadas con bioeconomía, transición energética y desarrollo rural sostenible, generando insumos técnicos para la formulación de proyectos regionales y fortaleciendo la relación Universidad–Estado–Sector productivo.</w:t>
      </w:r>
    </w:p>
    <w:p w14:paraId="5C763DCE" w14:textId="77777777" w:rsidR="00BF35EA" w:rsidRDefault="00BF35EA" w:rsidP="009B3B1E">
      <w:pPr>
        <w:spacing w:line="276" w:lineRule="auto"/>
        <w:jc w:val="both"/>
        <w:rPr>
          <w:rFonts w:ascii="Arial Narrow" w:hAnsi="Arial Narrow"/>
          <w:sz w:val="22"/>
          <w:szCs w:val="22"/>
        </w:rPr>
      </w:pPr>
    </w:p>
    <w:p w14:paraId="4B470744" w14:textId="32D606C3" w:rsidR="00BF35EA" w:rsidRPr="002D18BF" w:rsidRDefault="00BF35EA" w:rsidP="00BF35EA">
      <w:pPr>
        <w:spacing w:line="276" w:lineRule="auto"/>
        <w:jc w:val="both"/>
        <w:rPr>
          <w:rFonts w:ascii="Arial Narrow" w:hAnsi="Arial Narrow"/>
          <w:b/>
          <w:bCs/>
          <w:sz w:val="22"/>
          <w:szCs w:val="22"/>
        </w:rPr>
      </w:pPr>
      <w:r w:rsidRPr="002D18BF">
        <w:rPr>
          <w:rFonts w:ascii="Arial Narrow" w:hAnsi="Arial Narrow"/>
          <w:b/>
          <w:bCs/>
          <w:sz w:val="22"/>
          <w:szCs w:val="22"/>
        </w:rPr>
        <w:t>Síntesis Integradora</w:t>
      </w:r>
      <w:r w:rsidR="002D18BF">
        <w:rPr>
          <w:rFonts w:ascii="Arial Narrow" w:hAnsi="Arial Narrow"/>
          <w:b/>
          <w:bCs/>
          <w:sz w:val="22"/>
          <w:szCs w:val="22"/>
        </w:rPr>
        <w:t>: docencia – investigación - extensión</w:t>
      </w:r>
    </w:p>
    <w:p w14:paraId="2064D8C2" w14:textId="77777777" w:rsidR="00BF35EA" w:rsidRPr="00BF35EA" w:rsidRDefault="00BF35EA" w:rsidP="00BF35EA">
      <w:pPr>
        <w:spacing w:line="276" w:lineRule="auto"/>
        <w:jc w:val="both"/>
        <w:rPr>
          <w:rFonts w:ascii="Arial Narrow" w:hAnsi="Arial Narrow"/>
          <w:sz w:val="22"/>
          <w:szCs w:val="22"/>
        </w:rPr>
      </w:pPr>
      <w:r w:rsidRPr="00BF35EA">
        <w:rPr>
          <w:rFonts w:ascii="Arial Narrow" w:hAnsi="Arial Narrow"/>
          <w:sz w:val="22"/>
          <w:szCs w:val="22"/>
        </w:rPr>
        <w:t>La presente propuesta académica articula docencia, investigación y extensión en torno a un eje estratégico común: la valorización y el biorrefinamiento de subproductos agropecuarios como fundamento para la transición hacia sistemas productivos sostenibles en Colombia. Desde esta perspectiva, residuos como el estiércol porcino se conciben como recursos estratégicos capaces de generar bioenergía, recuperar nutrientes y producir bioproductos de valor agregado bajo un enfoque de bioeconomía y economía circular.</w:t>
      </w:r>
    </w:p>
    <w:p w14:paraId="3AB6E37B" w14:textId="77777777" w:rsidR="00BF35EA" w:rsidRPr="00BF35EA" w:rsidRDefault="00BF35EA" w:rsidP="00BF35EA">
      <w:pPr>
        <w:spacing w:line="276" w:lineRule="auto"/>
        <w:jc w:val="both"/>
        <w:rPr>
          <w:rFonts w:ascii="Arial Narrow" w:hAnsi="Arial Narrow"/>
          <w:sz w:val="22"/>
          <w:szCs w:val="22"/>
        </w:rPr>
      </w:pPr>
      <w:r w:rsidRPr="00BF35EA">
        <w:rPr>
          <w:rFonts w:ascii="Arial Narrow" w:hAnsi="Arial Narrow"/>
          <w:sz w:val="22"/>
          <w:szCs w:val="22"/>
        </w:rPr>
        <w:t>En el componente de docencia, se propone formar ingenieros agrícolas con competencias en diseño de procesos agroindustriales, integración energética, modelación y evaluación ambiental y económica. La incorporación del concepto de biorrefinería en el currículo fortalece la conexión entre los fundamentos de ingeniería y los desafíos contemporáneos de sostenibilidad y transición energética.</w:t>
      </w:r>
    </w:p>
    <w:p w14:paraId="15CD8FD2" w14:textId="77777777" w:rsidR="00BF35EA" w:rsidRPr="00BF35EA" w:rsidRDefault="00BF35EA" w:rsidP="00BF35EA">
      <w:pPr>
        <w:spacing w:line="276" w:lineRule="auto"/>
        <w:jc w:val="both"/>
        <w:rPr>
          <w:rFonts w:ascii="Arial Narrow" w:hAnsi="Arial Narrow"/>
          <w:sz w:val="22"/>
          <w:szCs w:val="22"/>
        </w:rPr>
      </w:pPr>
      <w:r w:rsidRPr="00BF35EA">
        <w:rPr>
          <w:rFonts w:ascii="Arial Narrow" w:hAnsi="Arial Narrow"/>
          <w:sz w:val="22"/>
          <w:szCs w:val="22"/>
        </w:rPr>
        <w:t>La investigación consolida una línea orientada al desarrollo y evaluación de modelos de biorrefinamiento aplicados a sistemas pecuarios, promoviendo la generación de conocimiento científico, publicaciones de alto impacto y formación de talento humano en pregrado y posgrado. Esta línea busca transformar el manejo convencional de residuos en esquemas integrados de aprovechamiento energético y recuperación de nutrientes.</w:t>
      </w:r>
    </w:p>
    <w:p w14:paraId="1191D59B" w14:textId="5C824F1B" w:rsidR="00B83DF3" w:rsidRDefault="00BF35EA" w:rsidP="009B3B1E">
      <w:pPr>
        <w:spacing w:line="276" w:lineRule="auto"/>
        <w:jc w:val="both"/>
        <w:rPr>
          <w:rFonts w:ascii="Arial Narrow" w:hAnsi="Arial Narrow"/>
          <w:sz w:val="22"/>
          <w:szCs w:val="22"/>
        </w:rPr>
      </w:pPr>
      <w:r w:rsidRPr="00BF35EA">
        <w:rPr>
          <w:rFonts w:ascii="Arial Narrow" w:hAnsi="Arial Narrow"/>
          <w:sz w:val="22"/>
          <w:szCs w:val="22"/>
        </w:rPr>
        <w:t>Finalmente, la extensión permite transferir tecnologías y conocimientos al sector productivo, fortaleciendo la sostenibilidad ambiental y la competitividad rural. La articulación entre estos tres componentes configura un modelo académico integral en el que la formación, la innovación y la proyección social se retroalimentan, posicionando al Departamento como referente en bioenergía y valorización agroindustrial.</w:t>
      </w:r>
      <w:r w:rsidR="00B83DF3">
        <w:rPr>
          <w:rFonts w:ascii="Arial Narrow" w:hAnsi="Arial Narrow"/>
          <w:sz w:val="22"/>
          <w:szCs w:val="22"/>
        </w:rPr>
        <w:br w:type="page"/>
      </w:r>
    </w:p>
    <w:p w14:paraId="34FA79E6" w14:textId="4BE454B1" w:rsidR="004A530D" w:rsidRDefault="004A530D" w:rsidP="009B3B1E">
      <w:pPr>
        <w:spacing w:line="276" w:lineRule="auto"/>
        <w:jc w:val="both"/>
        <w:rPr>
          <w:rFonts w:ascii="Arial Narrow" w:hAnsi="Arial Narrow"/>
          <w:b/>
          <w:bCs/>
          <w:sz w:val="22"/>
          <w:szCs w:val="22"/>
        </w:rPr>
      </w:pPr>
      <w:r w:rsidRPr="005F0F66">
        <w:rPr>
          <w:rFonts w:ascii="Arial Narrow" w:hAnsi="Arial Narrow"/>
          <w:b/>
          <w:bCs/>
          <w:sz w:val="22"/>
          <w:szCs w:val="22"/>
        </w:rPr>
        <w:lastRenderedPageBreak/>
        <w:t>Bibliografía</w:t>
      </w:r>
    </w:p>
    <w:p w14:paraId="07D38CA2" w14:textId="77777777" w:rsidR="00937305" w:rsidRPr="009B3B1E" w:rsidRDefault="00937305" w:rsidP="009B3B1E">
      <w:pPr>
        <w:pStyle w:val="Prrafodelista"/>
        <w:numPr>
          <w:ilvl w:val="0"/>
          <w:numId w:val="5"/>
        </w:numPr>
        <w:spacing w:line="276" w:lineRule="auto"/>
        <w:jc w:val="both"/>
        <w:rPr>
          <w:rFonts w:ascii="Arial Narrow" w:hAnsi="Arial Narrow"/>
          <w:sz w:val="22"/>
          <w:szCs w:val="22"/>
        </w:rPr>
      </w:pPr>
      <w:r w:rsidRPr="009B3B1E">
        <w:rPr>
          <w:rFonts w:ascii="Arial Narrow" w:hAnsi="Arial Narrow"/>
          <w:sz w:val="22"/>
          <w:szCs w:val="22"/>
        </w:rPr>
        <w:t>ACP – Asociación Colombiana de Porcicultores. (2013). Aprovechamiento de la porcinaza sólida.</w:t>
      </w:r>
    </w:p>
    <w:p w14:paraId="3EC2678A" w14:textId="77777777" w:rsidR="00937305" w:rsidRPr="009B3B1E" w:rsidRDefault="00937305" w:rsidP="009B3B1E">
      <w:pPr>
        <w:pStyle w:val="Prrafodelista"/>
        <w:numPr>
          <w:ilvl w:val="0"/>
          <w:numId w:val="5"/>
        </w:numPr>
        <w:spacing w:line="276" w:lineRule="auto"/>
        <w:jc w:val="both"/>
        <w:rPr>
          <w:rFonts w:ascii="Arial Narrow" w:hAnsi="Arial Narrow"/>
          <w:sz w:val="22"/>
          <w:szCs w:val="22"/>
          <w:lang w:val="en-US"/>
        </w:rPr>
      </w:pPr>
      <w:r w:rsidRPr="009B3B1E">
        <w:rPr>
          <w:rFonts w:ascii="Arial Narrow" w:hAnsi="Arial Narrow"/>
          <w:sz w:val="22"/>
          <w:szCs w:val="22"/>
        </w:rPr>
        <w:t xml:space="preserve">Amu, L. G. (2011). Residuos de cosecha de caña de azúcar. En Seminario internacional residuos para biocombustibles y biorefinerías: Impactos, logística y simulación. </w:t>
      </w:r>
      <w:r w:rsidRPr="009B3B1E">
        <w:rPr>
          <w:rFonts w:ascii="Arial Narrow" w:hAnsi="Arial Narrow"/>
          <w:sz w:val="22"/>
          <w:szCs w:val="22"/>
          <w:lang w:val="en-US"/>
        </w:rPr>
        <w:t>Universidad del Valle – Universidad Autónoma de Occidente.</w:t>
      </w:r>
    </w:p>
    <w:p w14:paraId="13634B4D" w14:textId="77777777" w:rsidR="00937305" w:rsidRPr="009B3B1E" w:rsidRDefault="00937305" w:rsidP="009B3B1E">
      <w:pPr>
        <w:pStyle w:val="Prrafodelista"/>
        <w:numPr>
          <w:ilvl w:val="0"/>
          <w:numId w:val="5"/>
        </w:numPr>
        <w:spacing w:line="276" w:lineRule="auto"/>
        <w:jc w:val="both"/>
        <w:rPr>
          <w:rFonts w:ascii="Arial Narrow" w:hAnsi="Arial Narrow"/>
          <w:sz w:val="22"/>
          <w:szCs w:val="22"/>
          <w:lang w:val="en-US"/>
        </w:rPr>
      </w:pPr>
      <w:r w:rsidRPr="009B3B1E">
        <w:rPr>
          <w:rFonts w:ascii="Arial Narrow" w:hAnsi="Arial Narrow"/>
          <w:sz w:val="22"/>
          <w:szCs w:val="22"/>
          <w:lang w:val="en-US"/>
        </w:rPr>
        <w:t>Cherubini, F. (2010). The biorefinery concept: Using biomass instead of oil for producing energy and chemicals. Energy Conversion and Management, 51(7), 1412–1421. https://doi.org/10.1016/j.enconman.2010.01.015</w:t>
      </w:r>
    </w:p>
    <w:p w14:paraId="1EB280A3" w14:textId="53819AA0" w:rsidR="00C51530" w:rsidRPr="009B3B1E" w:rsidRDefault="00C51530" w:rsidP="009B3B1E">
      <w:pPr>
        <w:pStyle w:val="Prrafodelista"/>
        <w:numPr>
          <w:ilvl w:val="0"/>
          <w:numId w:val="5"/>
        </w:numPr>
        <w:spacing w:line="276" w:lineRule="auto"/>
        <w:jc w:val="both"/>
        <w:rPr>
          <w:rFonts w:ascii="Arial Narrow" w:hAnsi="Arial Narrow"/>
          <w:sz w:val="22"/>
          <w:szCs w:val="22"/>
        </w:rPr>
      </w:pPr>
      <w:r w:rsidRPr="009B3B1E">
        <w:rPr>
          <w:rFonts w:ascii="Arial Narrow" w:hAnsi="Arial Narrow"/>
          <w:sz w:val="22"/>
          <w:szCs w:val="22"/>
        </w:rPr>
        <w:t xml:space="preserve">Clavijo Salinas, J. C., Rodríguez-Romero, N., Gonzáles-Payán, D., Torres Lucas, J. S. &amp; Sanabria Gómez, I. J. (2025). </w:t>
      </w:r>
      <w:r w:rsidRPr="009B3B1E">
        <w:rPr>
          <w:rFonts w:ascii="Arial Narrow" w:hAnsi="Arial Narrow"/>
          <w:sz w:val="22"/>
          <w:szCs w:val="22"/>
          <w:lang w:val="en-US"/>
        </w:rPr>
        <w:t xml:space="preserve">Integration of Key Bioprocesses in a Biorefinery Model for the Valorization of Pig Manure: A Proposal Based on Bibliometrics. </w:t>
      </w:r>
      <w:r w:rsidRPr="009B3B1E">
        <w:rPr>
          <w:rFonts w:ascii="Arial Narrow" w:hAnsi="Arial Narrow"/>
          <w:sz w:val="22"/>
          <w:szCs w:val="22"/>
        </w:rPr>
        <w:t xml:space="preserve">Ingeniería e Investigación, 45(3), e118332. </w:t>
      </w:r>
      <w:hyperlink r:id="rId5" w:history="1">
        <w:r w:rsidRPr="009B3B1E">
          <w:rPr>
            <w:rStyle w:val="Hipervnculo"/>
            <w:rFonts w:ascii="Arial Narrow" w:hAnsi="Arial Narrow"/>
            <w:sz w:val="22"/>
            <w:szCs w:val="22"/>
          </w:rPr>
          <w:t>https://doi.org/10.15446/ing.investig.118332</w:t>
        </w:r>
      </w:hyperlink>
    </w:p>
    <w:p w14:paraId="079A019A" w14:textId="6C193927" w:rsidR="00937305" w:rsidRPr="009B3B1E" w:rsidRDefault="00937305" w:rsidP="009B3B1E">
      <w:pPr>
        <w:pStyle w:val="Prrafodelista"/>
        <w:numPr>
          <w:ilvl w:val="0"/>
          <w:numId w:val="5"/>
        </w:numPr>
        <w:spacing w:line="276" w:lineRule="auto"/>
        <w:jc w:val="both"/>
        <w:rPr>
          <w:rFonts w:ascii="Arial Narrow" w:hAnsi="Arial Narrow"/>
          <w:sz w:val="22"/>
          <w:szCs w:val="22"/>
        </w:rPr>
      </w:pPr>
      <w:r w:rsidRPr="009B3B1E">
        <w:rPr>
          <w:rFonts w:ascii="Arial Narrow" w:hAnsi="Arial Narrow"/>
          <w:sz w:val="22"/>
          <w:szCs w:val="22"/>
        </w:rPr>
        <w:t>Colombia Verde. (s. f.). Aporte de la agricultura al PIB en Colombia. https://colombiaverde.com.co/geografia/agricultura/aporte-de-la-agricultura-al-pib-colombia/</w:t>
      </w:r>
    </w:p>
    <w:p w14:paraId="2EE6C513" w14:textId="295AE8DE" w:rsidR="00937305" w:rsidRPr="009B3B1E" w:rsidRDefault="009D055D" w:rsidP="009B3B1E">
      <w:pPr>
        <w:pStyle w:val="Prrafodelista"/>
        <w:numPr>
          <w:ilvl w:val="0"/>
          <w:numId w:val="5"/>
        </w:numPr>
        <w:spacing w:line="276" w:lineRule="auto"/>
        <w:jc w:val="both"/>
        <w:rPr>
          <w:rFonts w:ascii="Arial Narrow" w:hAnsi="Arial Narrow"/>
          <w:sz w:val="22"/>
          <w:szCs w:val="22"/>
        </w:rPr>
      </w:pPr>
      <w:r w:rsidRPr="009B3B1E">
        <w:rPr>
          <w:rFonts w:ascii="Arial Narrow" w:hAnsi="Arial Narrow"/>
          <w:sz w:val="22"/>
          <w:szCs w:val="22"/>
        </w:rPr>
        <w:t>Contexto</w:t>
      </w:r>
      <w:r w:rsidR="00937305" w:rsidRPr="009B3B1E">
        <w:rPr>
          <w:rFonts w:ascii="Arial Narrow" w:hAnsi="Arial Narrow"/>
          <w:sz w:val="22"/>
          <w:szCs w:val="22"/>
        </w:rPr>
        <w:t xml:space="preserve"> Ganadero. (2023, 1 de marzo). Sólo el 5 % de los residuos agrícolas y pecuarios son aprovechados. https://www.</w:t>
      </w:r>
      <w:r w:rsidRPr="009B3B1E">
        <w:rPr>
          <w:rFonts w:ascii="Arial Narrow" w:hAnsi="Arial Narrow"/>
          <w:sz w:val="22"/>
          <w:szCs w:val="22"/>
        </w:rPr>
        <w:t>Contexto</w:t>
      </w:r>
      <w:r w:rsidR="00937305" w:rsidRPr="009B3B1E">
        <w:rPr>
          <w:rFonts w:ascii="Arial Narrow" w:hAnsi="Arial Narrow"/>
          <w:sz w:val="22"/>
          <w:szCs w:val="22"/>
        </w:rPr>
        <w:t>ganadero.com/economia/solo-el-5-de-los-residuos-agricolas-y-pecuarios-son-aprovechados</w:t>
      </w:r>
    </w:p>
    <w:p w14:paraId="6E8F285C" w14:textId="77777777" w:rsidR="00937305" w:rsidRPr="009B3B1E" w:rsidRDefault="00937305" w:rsidP="009B3B1E">
      <w:pPr>
        <w:pStyle w:val="Prrafodelista"/>
        <w:numPr>
          <w:ilvl w:val="0"/>
          <w:numId w:val="5"/>
        </w:numPr>
        <w:spacing w:line="276" w:lineRule="auto"/>
        <w:jc w:val="both"/>
        <w:rPr>
          <w:rFonts w:ascii="Arial Narrow" w:hAnsi="Arial Narrow"/>
          <w:sz w:val="22"/>
          <w:szCs w:val="22"/>
        </w:rPr>
      </w:pPr>
      <w:r w:rsidRPr="009B3B1E">
        <w:rPr>
          <w:rFonts w:ascii="Arial Narrow" w:hAnsi="Arial Narrow"/>
          <w:sz w:val="22"/>
          <w:szCs w:val="22"/>
        </w:rPr>
        <w:t>Escalante, H., Orduz, J., Zapata, H., Cardona, M., &amp; Duarte, M. (2011). Atlas del potencial energético de la biomasa residual en Colombia. Ministerio de Minas y Energía.</w:t>
      </w:r>
    </w:p>
    <w:p w14:paraId="454251D5" w14:textId="77777777" w:rsidR="00937305" w:rsidRPr="009B3B1E" w:rsidRDefault="00937305" w:rsidP="009B3B1E">
      <w:pPr>
        <w:pStyle w:val="Prrafodelista"/>
        <w:numPr>
          <w:ilvl w:val="0"/>
          <w:numId w:val="5"/>
        </w:numPr>
        <w:spacing w:line="276" w:lineRule="auto"/>
        <w:jc w:val="both"/>
        <w:rPr>
          <w:rFonts w:ascii="Arial Narrow" w:hAnsi="Arial Narrow"/>
          <w:sz w:val="22"/>
          <w:szCs w:val="22"/>
          <w:lang w:val="en-US"/>
        </w:rPr>
      </w:pPr>
      <w:r w:rsidRPr="009B3B1E">
        <w:rPr>
          <w:rFonts w:ascii="Arial Narrow" w:hAnsi="Arial Narrow"/>
          <w:sz w:val="22"/>
          <w:szCs w:val="22"/>
        </w:rPr>
        <w:t xml:space="preserve">Fernandes, E. R., Marangoni, C., Souza, O., &amp; Sellin, N. (2013). </w:t>
      </w:r>
      <w:r w:rsidRPr="009B3B1E">
        <w:rPr>
          <w:rFonts w:ascii="Arial Narrow" w:hAnsi="Arial Narrow"/>
          <w:sz w:val="22"/>
          <w:szCs w:val="22"/>
          <w:lang w:val="en-US"/>
        </w:rPr>
        <w:t>Thermochemical characterization of banana leaves as a potential energy source. Energy Conversion and Management, 75, 603–608.</w:t>
      </w:r>
    </w:p>
    <w:p w14:paraId="6801E2A8" w14:textId="77777777" w:rsidR="00937305" w:rsidRPr="009B3B1E" w:rsidRDefault="00937305" w:rsidP="009B3B1E">
      <w:pPr>
        <w:pStyle w:val="Prrafodelista"/>
        <w:numPr>
          <w:ilvl w:val="0"/>
          <w:numId w:val="5"/>
        </w:numPr>
        <w:spacing w:line="276" w:lineRule="auto"/>
        <w:jc w:val="both"/>
        <w:rPr>
          <w:rFonts w:ascii="Arial Narrow" w:hAnsi="Arial Narrow"/>
          <w:sz w:val="22"/>
          <w:szCs w:val="22"/>
          <w:lang w:val="en-US"/>
        </w:rPr>
      </w:pPr>
      <w:r w:rsidRPr="009B3B1E">
        <w:rPr>
          <w:rFonts w:ascii="Arial Narrow" w:hAnsi="Arial Narrow"/>
          <w:sz w:val="22"/>
          <w:szCs w:val="22"/>
          <w:lang w:val="en-US"/>
        </w:rPr>
        <w:t>Food and Agriculture Organization of the United Nations. (2019). Towards sustainable bioeconomy guidelines. https://www.fao.org/3/ca5143en/ca5143en.pdf</w:t>
      </w:r>
    </w:p>
    <w:p w14:paraId="4BAF14B9" w14:textId="77777777" w:rsidR="00937305" w:rsidRPr="009B3B1E" w:rsidRDefault="00937305" w:rsidP="009B3B1E">
      <w:pPr>
        <w:pStyle w:val="Prrafodelista"/>
        <w:numPr>
          <w:ilvl w:val="0"/>
          <w:numId w:val="5"/>
        </w:numPr>
        <w:spacing w:line="276" w:lineRule="auto"/>
        <w:jc w:val="both"/>
        <w:rPr>
          <w:rFonts w:ascii="Arial Narrow" w:hAnsi="Arial Narrow"/>
          <w:sz w:val="22"/>
          <w:szCs w:val="22"/>
          <w:lang w:val="en-US"/>
        </w:rPr>
      </w:pPr>
      <w:r w:rsidRPr="009B3B1E">
        <w:rPr>
          <w:rFonts w:ascii="Arial Narrow" w:hAnsi="Arial Narrow"/>
          <w:sz w:val="22"/>
          <w:szCs w:val="22"/>
          <w:lang w:val="en-US"/>
        </w:rPr>
        <w:t>Geissdoerfer, M., Savaget, P., Bocken, N. M. P., &amp; Hultink, E. J. (2017). The circular economy: A new sustainability paradigm? Journal of Cleaner Production, 143, 757–768. https://doi.org/10.1016/j.jclepro.2016.12.048</w:t>
      </w:r>
    </w:p>
    <w:p w14:paraId="17AAE69D" w14:textId="77777777" w:rsidR="00937305" w:rsidRPr="009B3B1E" w:rsidRDefault="00937305" w:rsidP="009B3B1E">
      <w:pPr>
        <w:pStyle w:val="Prrafodelista"/>
        <w:numPr>
          <w:ilvl w:val="0"/>
          <w:numId w:val="5"/>
        </w:numPr>
        <w:spacing w:line="276" w:lineRule="auto"/>
        <w:jc w:val="both"/>
        <w:rPr>
          <w:rFonts w:ascii="Arial Narrow" w:hAnsi="Arial Narrow"/>
          <w:sz w:val="22"/>
          <w:szCs w:val="22"/>
        </w:rPr>
      </w:pPr>
      <w:r w:rsidRPr="009B3B1E">
        <w:rPr>
          <w:rFonts w:ascii="Arial Narrow" w:hAnsi="Arial Narrow"/>
          <w:sz w:val="22"/>
          <w:szCs w:val="22"/>
        </w:rPr>
        <w:t>Instituto Colombiano Agropecuario. (2018). Censo pecuario nacional 2018. https://www.ica.gov.co/areas/pecuaria/servicios/epidemiologia-veterinaria/censos-2016/censo-2018</w:t>
      </w:r>
    </w:p>
    <w:p w14:paraId="346BE98C" w14:textId="77777777" w:rsidR="00937305" w:rsidRPr="009B3B1E" w:rsidRDefault="00937305" w:rsidP="009B3B1E">
      <w:pPr>
        <w:pStyle w:val="Prrafodelista"/>
        <w:numPr>
          <w:ilvl w:val="0"/>
          <w:numId w:val="5"/>
        </w:numPr>
        <w:spacing w:line="276" w:lineRule="auto"/>
        <w:jc w:val="both"/>
        <w:rPr>
          <w:rFonts w:ascii="Arial Narrow" w:hAnsi="Arial Narrow"/>
          <w:sz w:val="22"/>
          <w:szCs w:val="22"/>
          <w:lang w:val="en-US"/>
        </w:rPr>
      </w:pPr>
      <w:r w:rsidRPr="009B3B1E">
        <w:rPr>
          <w:rFonts w:ascii="Arial Narrow" w:hAnsi="Arial Narrow"/>
          <w:sz w:val="22"/>
          <w:szCs w:val="22"/>
          <w:lang w:val="en-US"/>
        </w:rPr>
        <w:t>International Energy Agency Bioenergy. (2021). Biogas and biomethane in the energy transition. https://www.ieabioenergy.com/publications/biogas-and-biomethane-in-the-energy-transition/</w:t>
      </w:r>
    </w:p>
    <w:p w14:paraId="227869F1" w14:textId="77777777" w:rsidR="00937305" w:rsidRPr="009B3B1E" w:rsidRDefault="00937305" w:rsidP="009B3B1E">
      <w:pPr>
        <w:pStyle w:val="Prrafodelista"/>
        <w:numPr>
          <w:ilvl w:val="0"/>
          <w:numId w:val="5"/>
        </w:numPr>
        <w:spacing w:line="276" w:lineRule="auto"/>
        <w:jc w:val="both"/>
        <w:rPr>
          <w:rFonts w:ascii="Arial Narrow" w:hAnsi="Arial Narrow"/>
          <w:sz w:val="22"/>
          <w:szCs w:val="22"/>
        </w:rPr>
      </w:pPr>
      <w:r w:rsidRPr="009B3B1E">
        <w:rPr>
          <w:rFonts w:ascii="Arial Narrow" w:hAnsi="Arial Narrow"/>
          <w:sz w:val="22"/>
          <w:szCs w:val="22"/>
          <w:lang w:val="en-US"/>
        </w:rPr>
        <w:t xml:space="preserve">Intergovernmental Panel on Climate Change. (2022). Climate change 2022: Mitigation of climate change. </w:t>
      </w:r>
      <w:r w:rsidRPr="009B3B1E">
        <w:rPr>
          <w:rFonts w:ascii="Arial Narrow" w:hAnsi="Arial Narrow"/>
          <w:sz w:val="22"/>
          <w:szCs w:val="22"/>
        </w:rPr>
        <w:t>Cambridge University Press. https://doi.org/10.1017/9781009157926</w:t>
      </w:r>
    </w:p>
    <w:p w14:paraId="08329878" w14:textId="77777777" w:rsidR="00937305" w:rsidRPr="009B3B1E" w:rsidRDefault="00937305" w:rsidP="009B3B1E">
      <w:pPr>
        <w:pStyle w:val="Prrafodelista"/>
        <w:numPr>
          <w:ilvl w:val="0"/>
          <w:numId w:val="5"/>
        </w:numPr>
        <w:spacing w:line="276" w:lineRule="auto"/>
        <w:jc w:val="both"/>
        <w:rPr>
          <w:rFonts w:ascii="Arial Narrow" w:hAnsi="Arial Narrow"/>
          <w:sz w:val="22"/>
          <w:szCs w:val="22"/>
        </w:rPr>
      </w:pPr>
      <w:r w:rsidRPr="009B3B1E">
        <w:rPr>
          <w:rFonts w:ascii="Arial Narrow" w:hAnsi="Arial Narrow"/>
          <w:sz w:val="22"/>
          <w:szCs w:val="22"/>
        </w:rPr>
        <w:t>Martínez-Collado, C. (2007). Volumen de biodigestores. Energía y Tú, (39). http://www.cubasolar.cu/Biblioteca/Energia/revista39.htm</w:t>
      </w:r>
    </w:p>
    <w:p w14:paraId="3465A31F" w14:textId="77777777" w:rsidR="00937305" w:rsidRPr="009B3B1E" w:rsidRDefault="00937305" w:rsidP="009B3B1E">
      <w:pPr>
        <w:pStyle w:val="Prrafodelista"/>
        <w:numPr>
          <w:ilvl w:val="0"/>
          <w:numId w:val="5"/>
        </w:numPr>
        <w:spacing w:line="276" w:lineRule="auto"/>
        <w:jc w:val="both"/>
        <w:rPr>
          <w:rFonts w:ascii="Arial Narrow" w:hAnsi="Arial Narrow"/>
          <w:sz w:val="22"/>
          <w:szCs w:val="22"/>
        </w:rPr>
      </w:pPr>
      <w:r w:rsidRPr="009B3B1E">
        <w:rPr>
          <w:rFonts w:ascii="Arial Narrow" w:hAnsi="Arial Narrow"/>
          <w:sz w:val="22"/>
          <w:szCs w:val="22"/>
        </w:rPr>
        <w:t>Ministerio de Agricultura y Desarrollo Rural. (2024). El agro se consolida como el segundo motor de la economía nacional, según un nuevo reporte del Índice de Seguimiento a la Economía. https://www.minagricultura.gov.co/noticias/Paginas/El-agro-se-consolida-como-el-segundo-motor-de-la-economia-nacional-segun-un-nuevo-reporte-del-Indice-de-Seguimiento-a-la-E.aspx</w:t>
      </w:r>
    </w:p>
    <w:p w14:paraId="1CD70DA0" w14:textId="4FB0EFFD" w:rsidR="000E2D6F" w:rsidRPr="009B3B1E" w:rsidRDefault="00937305" w:rsidP="009B3B1E">
      <w:pPr>
        <w:pStyle w:val="Prrafodelista"/>
        <w:numPr>
          <w:ilvl w:val="0"/>
          <w:numId w:val="5"/>
        </w:numPr>
        <w:spacing w:line="276" w:lineRule="auto"/>
        <w:jc w:val="both"/>
        <w:rPr>
          <w:rFonts w:ascii="Arial Narrow" w:hAnsi="Arial Narrow"/>
          <w:sz w:val="22"/>
          <w:szCs w:val="22"/>
        </w:rPr>
      </w:pPr>
      <w:r w:rsidRPr="009B3B1E">
        <w:rPr>
          <w:rFonts w:ascii="Arial Narrow" w:hAnsi="Arial Narrow"/>
          <w:sz w:val="22"/>
          <w:szCs w:val="22"/>
        </w:rPr>
        <w:t>Rodríguez, N., &amp; Zambrano, D. (2010). Los subproductos del café: Fuente de energía renovable. Avances Técnicos Cenicafé, (3), 1–8.</w:t>
      </w:r>
    </w:p>
    <w:sectPr w:rsidR="000E2D6F" w:rsidRPr="009B3B1E">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Narrow">
    <w:panose1 w:val="020B0606020202030204"/>
    <w:charset w:val="00"/>
    <w:family w:val="swiss"/>
    <w:pitch w:val="variable"/>
    <w:sig w:usb0="00000287" w:usb1="000008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FD46E4"/>
    <w:multiLevelType w:val="hybridMultilevel"/>
    <w:tmpl w:val="DE9A791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2274006D"/>
    <w:multiLevelType w:val="hybridMultilevel"/>
    <w:tmpl w:val="1F60EDF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6F7C3382"/>
    <w:multiLevelType w:val="hybridMultilevel"/>
    <w:tmpl w:val="6AF4A02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76404F8B"/>
    <w:multiLevelType w:val="hybridMultilevel"/>
    <w:tmpl w:val="B8A073A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7EE72632"/>
    <w:multiLevelType w:val="hybridMultilevel"/>
    <w:tmpl w:val="2A7C221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2035956846">
    <w:abstractNumId w:val="0"/>
  </w:num>
  <w:num w:numId="2" w16cid:durableId="1096097259">
    <w:abstractNumId w:val="4"/>
  </w:num>
  <w:num w:numId="3" w16cid:durableId="2055888766">
    <w:abstractNumId w:val="1"/>
  </w:num>
  <w:num w:numId="4" w16cid:durableId="1796289568">
    <w:abstractNumId w:val="2"/>
  </w:num>
  <w:num w:numId="5" w16cid:durableId="45194015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0F04"/>
    <w:rsid w:val="0000609D"/>
    <w:rsid w:val="00011F35"/>
    <w:rsid w:val="000223F2"/>
    <w:rsid w:val="00023160"/>
    <w:rsid w:val="00042334"/>
    <w:rsid w:val="000451D8"/>
    <w:rsid w:val="00052DC9"/>
    <w:rsid w:val="00061401"/>
    <w:rsid w:val="000634BB"/>
    <w:rsid w:val="0006595C"/>
    <w:rsid w:val="000854F3"/>
    <w:rsid w:val="0009464E"/>
    <w:rsid w:val="000A7433"/>
    <w:rsid w:val="000B500F"/>
    <w:rsid w:val="000C4366"/>
    <w:rsid w:val="000D6D77"/>
    <w:rsid w:val="000E188A"/>
    <w:rsid w:val="000E2D6F"/>
    <w:rsid w:val="0011056E"/>
    <w:rsid w:val="00146B65"/>
    <w:rsid w:val="00171B31"/>
    <w:rsid w:val="00191DFC"/>
    <w:rsid w:val="001A6E05"/>
    <w:rsid w:val="001B11B5"/>
    <w:rsid w:val="001D72B9"/>
    <w:rsid w:val="001F3500"/>
    <w:rsid w:val="00220C0C"/>
    <w:rsid w:val="00234B3F"/>
    <w:rsid w:val="0023740B"/>
    <w:rsid w:val="00244222"/>
    <w:rsid w:val="002616D9"/>
    <w:rsid w:val="002B2C16"/>
    <w:rsid w:val="002D18BF"/>
    <w:rsid w:val="002D3DC6"/>
    <w:rsid w:val="002E1C9D"/>
    <w:rsid w:val="002F0EF6"/>
    <w:rsid w:val="00331A73"/>
    <w:rsid w:val="0036305E"/>
    <w:rsid w:val="00367019"/>
    <w:rsid w:val="00384BB9"/>
    <w:rsid w:val="00396E57"/>
    <w:rsid w:val="003A3B6C"/>
    <w:rsid w:val="003E2A0C"/>
    <w:rsid w:val="003E47AC"/>
    <w:rsid w:val="003E6295"/>
    <w:rsid w:val="00400D19"/>
    <w:rsid w:val="00413A7A"/>
    <w:rsid w:val="00424683"/>
    <w:rsid w:val="00492507"/>
    <w:rsid w:val="00496FFC"/>
    <w:rsid w:val="004A530D"/>
    <w:rsid w:val="004F40F5"/>
    <w:rsid w:val="004F4187"/>
    <w:rsid w:val="00506256"/>
    <w:rsid w:val="00506306"/>
    <w:rsid w:val="005319B6"/>
    <w:rsid w:val="00562358"/>
    <w:rsid w:val="00564D60"/>
    <w:rsid w:val="00581A4C"/>
    <w:rsid w:val="005838A7"/>
    <w:rsid w:val="005870FF"/>
    <w:rsid w:val="00593CF1"/>
    <w:rsid w:val="005B7E6A"/>
    <w:rsid w:val="005C51F8"/>
    <w:rsid w:val="005E1D22"/>
    <w:rsid w:val="005E6007"/>
    <w:rsid w:val="005F0F66"/>
    <w:rsid w:val="005F1297"/>
    <w:rsid w:val="005F4219"/>
    <w:rsid w:val="005F7FDE"/>
    <w:rsid w:val="006148B6"/>
    <w:rsid w:val="00617555"/>
    <w:rsid w:val="00660592"/>
    <w:rsid w:val="00676BC8"/>
    <w:rsid w:val="00681619"/>
    <w:rsid w:val="006C7066"/>
    <w:rsid w:val="006F45BB"/>
    <w:rsid w:val="00701E7B"/>
    <w:rsid w:val="007837C8"/>
    <w:rsid w:val="007B0D78"/>
    <w:rsid w:val="007C3B47"/>
    <w:rsid w:val="007E019A"/>
    <w:rsid w:val="00820BE3"/>
    <w:rsid w:val="00845414"/>
    <w:rsid w:val="00865BC8"/>
    <w:rsid w:val="00866AFA"/>
    <w:rsid w:val="008A48FD"/>
    <w:rsid w:val="008D308A"/>
    <w:rsid w:val="008E46D5"/>
    <w:rsid w:val="00937305"/>
    <w:rsid w:val="009407F3"/>
    <w:rsid w:val="00943392"/>
    <w:rsid w:val="009469DB"/>
    <w:rsid w:val="00953915"/>
    <w:rsid w:val="00955FA3"/>
    <w:rsid w:val="00956C0E"/>
    <w:rsid w:val="00986B90"/>
    <w:rsid w:val="00990377"/>
    <w:rsid w:val="00991169"/>
    <w:rsid w:val="009937A3"/>
    <w:rsid w:val="009A21A1"/>
    <w:rsid w:val="009B3B1E"/>
    <w:rsid w:val="009B4FBC"/>
    <w:rsid w:val="009C4342"/>
    <w:rsid w:val="009D055D"/>
    <w:rsid w:val="009F1FFB"/>
    <w:rsid w:val="009F41AD"/>
    <w:rsid w:val="00A03306"/>
    <w:rsid w:val="00A2726F"/>
    <w:rsid w:val="00A307FC"/>
    <w:rsid w:val="00A32CF3"/>
    <w:rsid w:val="00A45403"/>
    <w:rsid w:val="00A568AD"/>
    <w:rsid w:val="00A84CAC"/>
    <w:rsid w:val="00A9150F"/>
    <w:rsid w:val="00A956AD"/>
    <w:rsid w:val="00AD2D83"/>
    <w:rsid w:val="00AE7D3D"/>
    <w:rsid w:val="00AF12CC"/>
    <w:rsid w:val="00B179E7"/>
    <w:rsid w:val="00B763DF"/>
    <w:rsid w:val="00B83DF3"/>
    <w:rsid w:val="00B90DAF"/>
    <w:rsid w:val="00BC6017"/>
    <w:rsid w:val="00BD22C1"/>
    <w:rsid w:val="00BD6A90"/>
    <w:rsid w:val="00BF0593"/>
    <w:rsid w:val="00BF35EA"/>
    <w:rsid w:val="00C40F04"/>
    <w:rsid w:val="00C458D8"/>
    <w:rsid w:val="00C51530"/>
    <w:rsid w:val="00C732DD"/>
    <w:rsid w:val="00C86E3B"/>
    <w:rsid w:val="00C92F55"/>
    <w:rsid w:val="00C954A3"/>
    <w:rsid w:val="00CA097E"/>
    <w:rsid w:val="00CA4D9C"/>
    <w:rsid w:val="00CC7469"/>
    <w:rsid w:val="00CF1F44"/>
    <w:rsid w:val="00CF795F"/>
    <w:rsid w:val="00D14291"/>
    <w:rsid w:val="00D24FEF"/>
    <w:rsid w:val="00D30CC3"/>
    <w:rsid w:val="00D37FAE"/>
    <w:rsid w:val="00D41993"/>
    <w:rsid w:val="00D65D6C"/>
    <w:rsid w:val="00D7680C"/>
    <w:rsid w:val="00DB6DA1"/>
    <w:rsid w:val="00DD379B"/>
    <w:rsid w:val="00DE4777"/>
    <w:rsid w:val="00E07317"/>
    <w:rsid w:val="00E07472"/>
    <w:rsid w:val="00E37A6D"/>
    <w:rsid w:val="00E51460"/>
    <w:rsid w:val="00E579C6"/>
    <w:rsid w:val="00E83678"/>
    <w:rsid w:val="00E8678B"/>
    <w:rsid w:val="00EA40A5"/>
    <w:rsid w:val="00EC3D24"/>
    <w:rsid w:val="00EC67E0"/>
    <w:rsid w:val="00EC6B1C"/>
    <w:rsid w:val="00ED1CC5"/>
    <w:rsid w:val="00EE7D0D"/>
    <w:rsid w:val="00EE7D68"/>
    <w:rsid w:val="00EE7DEF"/>
    <w:rsid w:val="00EF1794"/>
    <w:rsid w:val="00EF3D03"/>
    <w:rsid w:val="00EF49BA"/>
    <w:rsid w:val="00EF707A"/>
    <w:rsid w:val="00F313AD"/>
    <w:rsid w:val="00F33A1F"/>
    <w:rsid w:val="00F35B71"/>
    <w:rsid w:val="00F5159F"/>
    <w:rsid w:val="00FA319E"/>
    <w:rsid w:val="00FD45F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BE45CC"/>
  <w15:chartTrackingRefBased/>
  <w15:docId w15:val="{E94B640E-E3E9-4239-AD0E-5AA794BEB7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C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C40F0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C40F0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C40F04"/>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C40F04"/>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C40F04"/>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C40F04"/>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C40F04"/>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C40F04"/>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C40F04"/>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C40F04"/>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C40F04"/>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C40F04"/>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C40F04"/>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C40F04"/>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C40F04"/>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C40F04"/>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C40F04"/>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C40F04"/>
    <w:rPr>
      <w:rFonts w:eastAsiaTheme="majorEastAsia" w:cstheme="majorBidi"/>
      <w:color w:val="272727" w:themeColor="text1" w:themeTint="D8"/>
    </w:rPr>
  </w:style>
  <w:style w:type="paragraph" w:styleId="Ttulo">
    <w:name w:val="Title"/>
    <w:basedOn w:val="Normal"/>
    <w:next w:val="Normal"/>
    <w:link w:val="TtuloCar"/>
    <w:uiPriority w:val="10"/>
    <w:qFormat/>
    <w:rsid w:val="00C40F0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C40F04"/>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C40F04"/>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C40F04"/>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C40F04"/>
    <w:pPr>
      <w:spacing w:before="160"/>
      <w:jc w:val="center"/>
    </w:pPr>
    <w:rPr>
      <w:i/>
      <w:iCs/>
      <w:color w:val="404040" w:themeColor="text1" w:themeTint="BF"/>
    </w:rPr>
  </w:style>
  <w:style w:type="character" w:customStyle="1" w:styleId="CitaCar">
    <w:name w:val="Cita Car"/>
    <w:basedOn w:val="Fuentedeprrafopredeter"/>
    <w:link w:val="Cita"/>
    <w:uiPriority w:val="29"/>
    <w:rsid w:val="00C40F04"/>
    <w:rPr>
      <w:i/>
      <w:iCs/>
      <w:color w:val="404040" w:themeColor="text1" w:themeTint="BF"/>
    </w:rPr>
  </w:style>
  <w:style w:type="paragraph" w:styleId="Prrafodelista">
    <w:name w:val="List Paragraph"/>
    <w:basedOn w:val="Normal"/>
    <w:uiPriority w:val="34"/>
    <w:qFormat/>
    <w:rsid w:val="00C40F04"/>
    <w:pPr>
      <w:ind w:left="720"/>
      <w:contextualSpacing/>
    </w:pPr>
  </w:style>
  <w:style w:type="character" w:styleId="nfasisintenso">
    <w:name w:val="Intense Emphasis"/>
    <w:basedOn w:val="Fuentedeprrafopredeter"/>
    <w:uiPriority w:val="21"/>
    <w:qFormat/>
    <w:rsid w:val="00C40F04"/>
    <w:rPr>
      <w:i/>
      <w:iCs/>
      <w:color w:val="0F4761" w:themeColor="accent1" w:themeShade="BF"/>
    </w:rPr>
  </w:style>
  <w:style w:type="paragraph" w:styleId="Citadestacada">
    <w:name w:val="Intense Quote"/>
    <w:basedOn w:val="Normal"/>
    <w:next w:val="Normal"/>
    <w:link w:val="CitadestacadaCar"/>
    <w:uiPriority w:val="30"/>
    <w:qFormat/>
    <w:rsid w:val="00C40F0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C40F04"/>
    <w:rPr>
      <w:i/>
      <w:iCs/>
      <w:color w:val="0F4761" w:themeColor="accent1" w:themeShade="BF"/>
    </w:rPr>
  </w:style>
  <w:style w:type="character" w:styleId="Referenciaintensa">
    <w:name w:val="Intense Reference"/>
    <w:basedOn w:val="Fuentedeprrafopredeter"/>
    <w:uiPriority w:val="32"/>
    <w:qFormat/>
    <w:rsid w:val="00C40F04"/>
    <w:rPr>
      <w:b/>
      <w:bCs/>
      <w:smallCaps/>
      <w:color w:val="0F4761" w:themeColor="accent1" w:themeShade="BF"/>
      <w:spacing w:val="5"/>
    </w:rPr>
  </w:style>
  <w:style w:type="character" w:styleId="Hipervnculo">
    <w:name w:val="Hyperlink"/>
    <w:basedOn w:val="Fuentedeprrafopredeter"/>
    <w:uiPriority w:val="99"/>
    <w:unhideWhenUsed/>
    <w:rsid w:val="00955FA3"/>
    <w:rPr>
      <w:color w:val="467886" w:themeColor="hyperlink"/>
      <w:u w:val="single"/>
    </w:rPr>
  </w:style>
  <w:style w:type="character" w:styleId="Mencinsinresolver">
    <w:name w:val="Unresolved Mention"/>
    <w:basedOn w:val="Fuentedeprrafopredeter"/>
    <w:uiPriority w:val="99"/>
    <w:semiHidden/>
    <w:unhideWhenUsed/>
    <w:rsid w:val="00955FA3"/>
    <w:rPr>
      <w:color w:val="605E5C"/>
      <w:shd w:val="clear" w:color="auto" w:fill="E1DFDD"/>
    </w:rPr>
  </w:style>
  <w:style w:type="character" w:styleId="Hipervnculovisitado">
    <w:name w:val="FollowedHyperlink"/>
    <w:basedOn w:val="Fuentedeprrafopredeter"/>
    <w:uiPriority w:val="99"/>
    <w:semiHidden/>
    <w:unhideWhenUsed/>
    <w:rsid w:val="00955FA3"/>
    <w:rPr>
      <w:color w:val="96607D" w:themeColor="followedHyperlink"/>
      <w:u w:val="single"/>
    </w:rPr>
  </w:style>
  <w:style w:type="table" w:styleId="Tablaconcuadrcula">
    <w:name w:val="Table Grid"/>
    <w:basedOn w:val="Tablanormal"/>
    <w:uiPriority w:val="39"/>
    <w:rsid w:val="009F41A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doi.org/10.15446/ing.investig.118332" TargetMode="Externa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267</TotalTime>
  <Pages>8</Pages>
  <Words>3786</Words>
  <Characters>20824</Characters>
  <Application>Microsoft Office Word</Application>
  <DocSecurity>0</DocSecurity>
  <Lines>173</Lines>
  <Paragraphs>49</Paragraphs>
  <ScaleCrop>false</ScaleCrop>
  <Company/>
  <LinksUpToDate>false</LinksUpToDate>
  <CharactersWithSpaces>24561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Juan Carlos Clavijo Salinas</dc:creator>
  <cp:keywords/>
  <dc:description/>
  <cp:lastModifiedBy>Juan Carlos Clavijo Salinas</cp:lastModifiedBy>
  <cp:revision>177</cp:revision>
  <dcterms:created xsi:type="dcterms:W3CDTF">2026-02-20T17:04:00Z</dcterms:created>
  <dcterms:modified xsi:type="dcterms:W3CDTF">2026-02-20T21:42:00Z</dcterms:modified>
</cp:coreProperties>
</file>