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60" w:before="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Modelación del nexo clima–agua–suelo para fortalecer la resiliencia climática y apoyar la planeación territorial de cuencas y sistemas productivos</w:t>
      </w:r>
      <w:r w:rsidDel="00000000" w:rsidR="00000000" w:rsidRPr="00000000">
        <w:rPr>
          <w:rtl w:val="0"/>
        </w:rPr>
      </w:r>
    </w:p>
    <w:p w:rsidR="00000000" w:rsidDel="00000000" w:rsidP="00000000" w:rsidRDefault="00000000" w:rsidRPr="00000000" w14:paraId="00000002">
      <w:pPr>
        <w:spacing w:after="120" w:before="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a) Justificación</w:t>
      </w:r>
      <w:r w:rsidDel="00000000" w:rsidR="00000000" w:rsidRPr="00000000">
        <w:rPr>
          <w:rtl w:val="0"/>
        </w:rPr>
      </w:r>
    </w:p>
    <w:p w:rsidR="00000000" w:rsidDel="00000000" w:rsidP="00000000" w:rsidRDefault="00000000" w:rsidRPr="00000000" w14:paraId="00000003">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La gestión integral del recurso hídrico en Colombia enfrenta una discontinuidad estructural: las herramientas cuantitativas disponibles para el análisis, planeación y optimización hídrica fueron diseñadas bajo el supuesto de estacionariedad hidrológica, un paradigma que ha dejado de ser válido en un número creciente de contextos hidroclimatológicos (Blöschl et al., 2019; Milly et al., 2008). Cambios en la frecuencia e intensidad de eventos extremos, modificaciones en patrones intraanuales de precipitación y presiones antrópicas sobre el uso del suelo generan alteraciones no lineales en la disponibilidad hídrica que los métodos convencionales son incapaces de capturar con suficiencia (Anzolin et al., 2024; Slater et al., 2021).</w:t>
      </w:r>
      <w:r w:rsidDel="00000000" w:rsidR="00000000" w:rsidRPr="00000000">
        <w:rPr>
          <w:rtl w:val="0"/>
        </w:rPr>
      </w:r>
    </w:p>
    <w:p w:rsidR="00000000" w:rsidDel="00000000" w:rsidP="00000000" w:rsidRDefault="00000000" w:rsidRPr="00000000" w14:paraId="00000004">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En Colombia, la variabilidad asociada a El Niño–Oscilación del Sur (ENSO) tiene efectos sistemáticos y asimétricos sobre la hidroclimatología de las cuencas andinas, con impactos simultáneos sobre el abastecimiento urbano, la generación hidroeléctrica, la estabilidad de laderas, la infraestructura hídrica y la productividad agrícola (IDEAM, 2022; Pulgarín-Morales and Krueger,</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2024; Poveda et al., 2011). La variabilidad hidroclimática no es solo un fenómeno físico: en cuencas agrícolas, se traduce directamente en variaciones estacionales en la carga de contaminantes, el estrés hídrico productivo y la calidad del recurso (Jaimes-Correa et al., 2022). Esta cadena de impactos acoplados demanda herramientas integradas, no enfoques sectoriales.</w:t>
      </w:r>
      <w:r w:rsidDel="00000000" w:rsidR="00000000" w:rsidRPr="00000000">
        <w:rPr>
          <w:rtl w:val="0"/>
        </w:rPr>
      </w:r>
    </w:p>
    <w:p w:rsidR="00000000" w:rsidDel="00000000" w:rsidP="00000000" w:rsidRDefault="00000000" w:rsidRPr="00000000" w14:paraId="00000005">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Sin embargo, los enfoques de análisis continúan fragmentados entre disciplinas, limitando la capacidad de evaluación integral del riesgo hídrico. Esta no es solo una brecha metodológica: es una brecha institucional que incide en la formulación de los POMCA, estudios de concesión y permisos de vertimiento. Colombia carece de suficiente capacidad instalada para realizar análisis de riesgo hídrico bajo no estacionariedad a escala de cuenca hidrográfica, y para incorporar contaminantes e</w:t>
      </w:r>
      <w:r w:rsidDel="00000000" w:rsidR="00000000" w:rsidRPr="00000000">
        <w:rPr>
          <w:rFonts w:ascii="Arial Narrow" w:cs="Arial Narrow" w:eastAsia="Arial Narrow" w:hAnsi="Arial Narrow"/>
          <w:color w:val="000000"/>
          <w:sz w:val="22"/>
          <w:szCs w:val="22"/>
          <w:shd w:fill="auto" w:val="clear"/>
          <w:rtl w:val="0"/>
        </w:rPr>
        <w:t xml:space="preserve">mergentes como los antibióticos veterinarios y agentes beta-agonistas—en los marcos de gestión de calidad </w:t>
      </w:r>
      <w:r w:rsidDel="00000000" w:rsidR="00000000" w:rsidRPr="00000000">
        <w:rPr>
          <w:rFonts w:ascii="Arial Narrow" w:cs="Arial Narrow" w:eastAsia="Arial Narrow" w:hAnsi="Arial Narrow"/>
          <w:color w:val="000000"/>
          <w:sz w:val="22"/>
          <w:szCs w:val="22"/>
          <w:rtl w:val="0"/>
        </w:rPr>
        <w:t xml:space="preserve">del agua (Jaimes-Correa et al., 2015; Wang et al., 2024). La ocurrencia estacional de estos contaminantes está condicionada por el régimen hidrológico y es, por esto, sensible a la variabilidad climática: ignorarlos en los marcos de gestión es una vulnerabilidad que crece con el cambio climático.</w:t>
      </w:r>
      <w:r w:rsidDel="00000000" w:rsidR="00000000" w:rsidRPr="00000000">
        <w:rPr>
          <w:rtl w:val="0"/>
        </w:rPr>
      </w:r>
    </w:p>
    <w:p w:rsidR="00000000" w:rsidDel="00000000" w:rsidP="00000000" w:rsidRDefault="00000000" w:rsidRPr="00000000" w14:paraId="00000006">
      <w:pPr>
        <w:keepNext w:val="0"/>
        <w:keepLines w:val="0"/>
        <w:pageBreakBefore w:val="0"/>
        <w:widowControl w:val="1"/>
        <w:shd w:fill="auto" w:val="clear"/>
        <w:spacing w:after="120" w:before="0" w:line="276" w:lineRule="auto"/>
        <w:ind w:left="0" w:right="0" w:firstLine="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La gobernanza del agua constituye un eje transversal de esta propuesta. El fortalecimiento de capacidades técnicas para el análisis de riesgo hídrico bajo no estacionariedad contribuye directamente a mejorar la toma de decisiones en instrumentos como POMCA, concesiones y permisos de vertimiento. Integrar evidencia cuantitativa robusta en estos procesos fortalece la gobernanza multinivel del recurso hídrico y reduce la brecha entre ciencia, política pública y gestión territorial.</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Esta propuesta se articula explícitamente con la Política Nacional para la Gestión Integral del Recurso Hídrico (PNGIRH) y con la Ley 2169 de 2021 (Ley de Acción Climática), al fortalecer los componentes de cantidad, calidad y gestión del riesgo hídrico bajo escenarios de variabilidad y cambio climático.</w:t>
      </w:r>
      <w:r w:rsidDel="00000000" w:rsidR="00000000" w:rsidRPr="00000000">
        <w:rPr>
          <w:rtl w:val="0"/>
        </w:rPr>
      </w:r>
    </w:p>
    <w:p w:rsidR="00000000" w:rsidDel="00000000" w:rsidP="00000000" w:rsidRDefault="00000000" w:rsidRPr="00000000" w14:paraId="00000007">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El Departamento de Ingeniería Civil y Agrícola de la Universidad Nacional de Colombia —a través de sus grupos de investigación destacados en Ingeniería de los Recursos Hídricos— como universidad pública líder al servicio de la Nación, tiene la responsabilidad histórica de liderar esta transición metodológica y cerrar brechas en CTeI. Mi propuesta aporta una perspectiva diferenciadora que actualmente no está consolidada como línea en el Departamento: la integración sistemática de modelación estocástica multisitio, análisis de frecuencia no estacionaria, acoplamiento hidrológico–productivo y calidad del agua en cuencas agrícolas, como fundamento cuantitativo para la toma de decisiones en gestión territorial del recurso hídrico. Esta propuesta no busca superponerse a líneas existentes en el departamento de ingeniería civil y agrícola, sino consolidar una línea complementaria en modelación hidrológica avanzada, capaz de atraer financiación externa, formar masa crítica y posicionar a la UNAL como referente técnico del Estado colombiano en la gestión integral del hídrica. Esta apuesta también representa una oportunidad real de posicionamiento académico con impacto directo en política pública.</w:t>
      </w:r>
      <w:r w:rsidDel="00000000" w:rsidR="00000000" w:rsidRPr="00000000">
        <w:rPr>
          <w:rtl w:val="0"/>
        </w:rPr>
      </w:r>
    </w:p>
    <w:p w:rsidR="00000000" w:rsidDel="00000000" w:rsidP="00000000" w:rsidRDefault="00000000" w:rsidRPr="00000000" w14:paraId="00000008">
      <w:pPr>
        <w:spacing w:after="100" w:before="22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b) Objetivos</w:t>
      </w:r>
      <w:r w:rsidDel="00000000" w:rsidR="00000000" w:rsidRPr="00000000">
        <w:rPr>
          <w:rtl w:val="0"/>
        </w:rPr>
      </w:r>
    </w:p>
    <w:p w:rsidR="00000000" w:rsidDel="00000000" w:rsidP="00000000" w:rsidRDefault="00000000" w:rsidRPr="00000000" w14:paraId="00000009">
      <w:pPr>
        <w:spacing w:after="120" w:before="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Objetivo general</w:t>
      </w:r>
      <w:r w:rsidDel="00000000" w:rsidR="00000000" w:rsidRPr="00000000">
        <w:rPr>
          <w:rtl w:val="0"/>
        </w:rPr>
      </w:r>
    </w:p>
    <w:p w:rsidR="00000000" w:rsidDel="00000000" w:rsidP="00000000" w:rsidRDefault="00000000" w:rsidRPr="00000000" w14:paraId="0000000A">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Consolidar una línea académica en modelación avanzada del nexo clima–agua–suelo que fortalezca la resiliencia climática de cuencas y sistemas productivos, y apoye la planeación territorial del recurso hídrico en Colombia, mediante investigación cuantitativa rigurosa, formación especializada y transferencia técnica a actores institucionales.</w:t>
      </w:r>
      <w:r w:rsidDel="00000000" w:rsidR="00000000" w:rsidRPr="00000000">
        <w:rPr>
          <w:rtl w:val="0"/>
        </w:rPr>
      </w:r>
    </w:p>
    <w:p w:rsidR="00000000" w:rsidDel="00000000" w:rsidP="00000000" w:rsidRDefault="00000000" w:rsidRPr="00000000" w14:paraId="0000000B">
      <w:pPr>
        <w:spacing w:after="120" w:before="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Objetivos específicos</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Desarrollar modelos probabilísticos no estacionarios para el análisis de frecuencia de extremos hidrológicos, incorporando covariables climáticas (ENSO, AMO) como fundamento para diseño y gestión de infraestructura hídrica.</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Construir marcos de evaluación de resiliencia hídrica que integren procesos hidrológicos, dinámicas de suelo, productividad agrícola y calidad del agua en cuencas mixtas colombianas.</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1"/>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Incorporar la modelación de contaminantes emergentes en los marcos de gestión integral del recurso hídrico a escala de cuenca, como aporte diferencial a la salud pública y la política ambiental.</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Aplicar simulación–optimización multiobjetivo y análisis de robustez en instrumentos de planeación y ordenamiento del recurso hídrico, formando ingenieras e ingenieros con competencias en modelación computacional avanzada y análisis reproducible.</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Contribuir al posicionamiento del Grupo de Investigación en Ingeniería de los Recursos Hídricos (GIREH) en redes internacionales de alto impacto. </w:t>
      </w:r>
      <w:r w:rsidDel="00000000" w:rsidR="00000000" w:rsidRPr="00000000">
        <w:rPr>
          <w:rtl w:val="0"/>
        </w:rPr>
      </w:r>
    </w:p>
    <w:p w:rsidR="00000000" w:rsidDel="00000000" w:rsidP="00000000" w:rsidRDefault="00000000" w:rsidRPr="00000000" w14:paraId="00000011">
      <w:pPr>
        <w:spacing w:after="100" w:before="22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c) Propuesta en el componente de docencia</w:t>
      </w:r>
      <w:r w:rsidDel="00000000" w:rsidR="00000000" w:rsidRPr="00000000">
        <w:rPr>
          <w:rtl w:val="0"/>
        </w:rPr>
      </w:r>
    </w:p>
    <w:p w:rsidR="00000000" w:rsidDel="00000000" w:rsidP="00000000" w:rsidRDefault="00000000" w:rsidRPr="00000000" w14:paraId="00000012">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La propuesta docente parte de una convicción: la gestión integral del recurso hídrico exige ingenieros capaces de razonar bajo incertidumbre, integrar cantidad y calidad del agua como sistema acoplado, y comunicar resultados a actores institucionales. Esto implica transformar la cultura formativa, incorporando análisis </w:t>
      </w:r>
      <w:r w:rsidDel="00000000" w:rsidR="00000000" w:rsidRPr="00000000">
        <w:rPr>
          <w:rFonts w:ascii="Arial Narrow" w:cs="Arial Narrow" w:eastAsia="Arial Narrow" w:hAnsi="Arial Narrow"/>
          <w:sz w:val="22"/>
          <w:szCs w:val="22"/>
          <w:rtl w:val="0"/>
        </w:rPr>
        <w:t xml:space="preserve">probabilísticos</w:t>
      </w:r>
      <w:r w:rsidDel="00000000" w:rsidR="00000000" w:rsidRPr="00000000">
        <w:rPr>
          <w:rFonts w:ascii="Arial Narrow" w:cs="Arial Narrow" w:eastAsia="Arial Narrow" w:hAnsi="Arial Narrow"/>
          <w:color w:val="000000"/>
          <w:sz w:val="22"/>
          <w:szCs w:val="22"/>
          <w:rtl w:val="0"/>
        </w:rPr>
        <w:t xml:space="preserve">, pensamiento sistémico y programación reproducible desde el pregrado.</w:t>
      </w:r>
      <w:r w:rsidDel="00000000" w:rsidR="00000000" w:rsidRPr="00000000">
        <w:rPr>
          <w:rtl w:val="0"/>
        </w:rPr>
      </w:r>
    </w:p>
    <w:p w:rsidR="00000000" w:rsidDel="00000000" w:rsidP="00000000" w:rsidRDefault="00000000" w:rsidRPr="00000000" w14:paraId="00000013">
      <w:pPr>
        <w:spacing w:after="80" w:before="160" w:line="276" w:lineRule="auto"/>
        <w:jc w:val="both"/>
        <w:rPr/>
      </w:pPr>
      <w:r w:rsidDel="00000000" w:rsidR="00000000" w:rsidRPr="00000000">
        <w:rPr>
          <w:rFonts w:ascii="Arial Narrow" w:cs="Arial Narrow" w:eastAsia="Arial Narrow" w:hAnsi="Arial Narrow"/>
          <w:b w:val="1"/>
          <w:bCs w:val="1"/>
          <w:i w:val="1"/>
          <w:iCs w:val="1"/>
          <w:color w:val="000000"/>
          <w:sz w:val="22"/>
          <w:szCs w:val="22"/>
          <w:rtl w:val="0"/>
        </w:rPr>
        <w:t xml:space="preserve">Pregrado</w:t>
      </w:r>
      <w:r w:rsidDel="00000000" w:rsidR="00000000" w:rsidRPr="00000000">
        <w:rPr>
          <w:rtl w:val="0"/>
        </w:rPr>
      </w:r>
    </w:p>
    <w:p w:rsidR="00000000" w:rsidDel="00000000" w:rsidP="00000000" w:rsidRDefault="00000000" w:rsidRPr="00000000" w14:paraId="00000014">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En los cursos de </w:t>
      </w:r>
      <w:r w:rsidDel="00000000" w:rsidR="00000000" w:rsidRPr="00000000">
        <w:rPr>
          <w:rFonts w:ascii="Arial Narrow" w:cs="Arial Narrow" w:eastAsia="Arial Narrow" w:hAnsi="Arial Narrow"/>
          <w:sz w:val="22"/>
          <w:szCs w:val="22"/>
          <w:rtl w:val="0"/>
        </w:rPr>
        <w:t xml:space="preserve">Hidrología</w:t>
      </w:r>
      <w:r w:rsidDel="00000000" w:rsidR="00000000" w:rsidRPr="00000000">
        <w:rPr>
          <w:rFonts w:ascii="Arial Narrow" w:cs="Arial Narrow" w:eastAsia="Arial Narrow" w:hAnsi="Arial Narrow"/>
          <w:color w:val="000000"/>
          <w:sz w:val="22"/>
          <w:szCs w:val="22"/>
          <w:rtl w:val="0"/>
        </w:rPr>
        <w:t xml:space="preserve">, Aprovechamiento de Recursos Hídricos y Mecánica de Fluidos se incorporarán:</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2"/>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Análisis de tendencias mediante pruebas no paramétricas (ej. Mann–Kendall, Pettitt) aplicadas a series históricas del IDEAM y datos satelitales (ej. CHIRPS, GPM, TRMM), con interpretación en el contexto de variabilidad ENSO en Colombia.</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2"/>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Ajuste de distribuciones GEV y POT para eventos extremos, con evaluación de bondad de ajuste y análisis de sensibilidad bajo distintos escenarios climáticos.</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2"/>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Principios de modelación de calidad del agua a escala de cuenca, incluyendo carga de nutrientes y contaminantes emergentes en cuencas agrícolas.</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Programación reproducible en </w:t>
      </w:r>
      <w:r w:rsidDel="00000000" w:rsidR="00000000" w:rsidRPr="00000000">
        <w:rPr>
          <w:rFonts w:ascii="Arial Narrow" w:cs="Arial Narrow" w:eastAsia="Arial Narrow" w:hAnsi="Arial Narrow"/>
          <w:i w:val="1"/>
          <w:iCs w:val="1"/>
          <w:smallCaps w:val="0"/>
          <w:strike w:val="0"/>
          <w:color w:val="000000"/>
          <w:sz w:val="22"/>
          <w:szCs w:val="22"/>
          <w:u w:val="none"/>
          <w:shd w:fill="auto" w:val="clear"/>
          <w:vertAlign w:val="baseline"/>
          <w:rtl w:val="0"/>
        </w:rPr>
        <w:t xml:space="preserve">software </w:t>
      </w:r>
      <w:r w:rsidDel="00000000" w:rsidR="00000000" w:rsidRPr="00000000">
        <w:rPr>
          <w:rFonts w:ascii="Arial Narrow" w:cs="Arial Narrow" w:eastAsia="Arial Narrow" w:hAnsi="Arial Narrow"/>
          <w:smallCaps w:val="0"/>
          <w:strike w:val="0"/>
          <w:color w:val="000000"/>
          <w:sz w:val="22"/>
          <w:szCs w:val="22"/>
          <w:u w:val="none"/>
          <w:shd w:fill="auto" w:val="clear"/>
          <w:vertAlign w:val="baseline"/>
          <w:rtl w:val="0"/>
        </w:rPr>
        <w:t xml:space="preserve">como</w:t>
      </w: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 R y Python aplicada a bases de datos nacionales, promoviendo ciencia abierta desde la formación inicial.</w:t>
      </w:r>
      <w:r w:rsidDel="00000000" w:rsidR="00000000" w:rsidRPr="00000000">
        <w:rPr>
          <w:rtl w:val="0"/>
        </w:rPr>
      </w:r>
    </w:p>
    <w:p w:rsidR="00000000" w:rsidDel="00000000" w:rsidP="00000000" w:rsidRDefault="00000000" w:rsidRPr="00000000" w14:paraId="00000019">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El estudiante no solo estimará caudales de diseño: aprenderá a cuantificar cómo esa estimación cambia bajo diferentes escenarios climáticos y fases del ENSO, desarrollando una intuición cuantitativa sobre el riesgo hidrológico.</w:t>
      </w:r>
      <w:r w:rsidDel="00000000" w:rsidR="00000000" w:rsidRPr="00000000">
        <w:rPr>
          <w:rtl w:val="0"/>
        </w:rPr>
      </w:r>
    </w:p>
    <w:p w:rsidR="00000000" w:rsidDel="00000000" w:rsidP="00000000" w:rsidRDefault="00000000" w:rsidRPr="00000000" w14:paraId="0000001A">
      <w:pPr>
        <w:spacing w:after="80" w:before="160" w:line="276" w:lineRule="auto"/>
        <w:jc w:val="both"/>
        <w:rPr/>
      </w:pPr>
      <w:r w:rsidDel="00000000" w:rsidR="00000000" w:rsidRPr="00000000">
        <w:rPr>
          <w:rFonts w:ascii="Arial Narrow" w:cs="Arial Narrow" w:eastAsia="Arial Narrow" w:hAnsi="Arial Narrow"/>
          <w:b w:val="1"/>
          <w:bCs w:val="1"/>
          <w:i w:val="1"/>
          <w:iCs w:val="1"/>
          <w:color w:val="000000"/>
          <w:sz w:val="22"/>
          <w:szCs w:val="22"/>
          <w:rtl w:val="0"/>
        </w:rPr>
        <w:t xml:space="preserve">Posgrado</w:t>
      </w:r>
      <w:r w:rsidDel="00000000" w:rsidR="00000000" w:rsidRPr="00000000">
        <w:rPr>
          <w:rtl w:val="0"/>
        </w:rPr>
      </w:r>
    </w:p>
    <w:p w:rsidR="00000000" w:rsidDel="00000000" w:rsidP="00000000" w:rsidRDefault="00000000" w:rsidRPr="00000000" w14:paraId="0000001B">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Se propone la creación del curso electivo </w:t>
      </w:r>
      <w:r w:rsidDel="00000000" w:rsidR="00000000" w:rsidRPr="00000000">
        <w:rPr>
          <w:rFonts w:ascii="Arial Narrow" w:cs="Arial Narrow" w:eastAsia="Arial Narrow" w:hAnsi="Arial Narrow"/>
          <w:b w:val="1"/>
          <w:bCs w:val="1"/>
          <w:i w:val="1"/>
          <w:iCs w:val="1"/>
          <w:color w:val="000000"/>
          <w:sz w:val="22"/>
          <w:szCs w:val="22"/>
          <w:rtl w:val="0"/>
        </w:rPr>
        <w:t xml:space="preserve">Modelación del nexo clima–agua–suelo para fortalecer la resiliencia climática y apoyar la planeación territorial de cuencas y sistemas productivos</w:t>
      </w:r>
      <w:r w:rsidDel="00000000" w:rsidR="00000000" w:rsidRPr="00000000">
        <w:rPr>
          <w:rFonts w:ascii="Arial Narrow" w:cs="Arial Narrow" w:eastAsia="Arial Narrow" w:hAnsi="Arial Narrow"/>
          <w:color w:val="000000"/>
          <w:sz w:val="22"/>
          <w:szCs w:val="22"/>
          <w:rtl w:val="0"/>
        </w:rPr>
        <w:t xml:space="preserve">, con módulos en:</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2"/>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Generación estocástica multisitio de variables </w:t>
      </w:r>
      <w:r w:rsidDel="00000000" w:rsidR="00000000" w:rsidRPr="00000000">
        <w:rPr>
          <w:rFonts w:ascii="Arial Narrow" w:cs="Arial Narrow" w:eastAsia="Arial Narrow" w:hAnsi="Arial Narrow"/>
          <w:sz w:val="22"/>
          <w:szCs w:val="22"/>
          <w:rtl w:val="0"/>
        </w:rPr>
        <w:t xml:space="preserve">hidrometeorológicas</w:t>
      </w: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 (ej. Cadenas ortogonales de</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Markov).</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Análisis de frecuencia no </w:t>
      </w:r>
      <w:r w:rsidDel="00000000" w:rsidR="00000000" w:rsidRPr="00000000">
        <w:rPr>
          <w:rFonts w:ascii="Arial Narrow" w:cs="Arial Narrow" w:eastAsia="Arial Narrow" w:hAnsi="Arial Narrow"/>
          <w:sz w:val="22"/>
          <w:szCs w:val="22"/>
          <w:rtl w:val="0"/>
        </w:rPr>
        <w:t xml:space="preserve">estacionaria</w:t>
      </w: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 modelos GEV con covariables climáticas indexadas (ENSO, AMO, temperatura superficial del mar).</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Modelación integrada y monitoreo </w:t>
      </w:r>
      <w:r w:rsidDel="00000000" w:rsidR="00000000" w:rsidRPr="00000000">
        <w:rPr>
          <w:rFonts w:ascii="Arial Narrow" w:cs="Arial Narrow" w:eastAsia="Arial Narrow" w:hAnsi="Arial Narrow"/>
          <w:i w:val="1"/>
          <w:iCs w:val="1"/>
          <w:smallCaps w:val="0"/>
          <w:strike w:val="0"/>
          <w:color w:val="000000"/>
          <w:sz w:val="22"/>
          <w:szCs w:val="22"/>
          <w:u w:val="none"/>
          <w:shd w:fill="auto" w:val="clear"/>
          <w:vertAlign w:val="baseline"/>
          <w:rtl w:val="0"/>
        </w:rPr>
        <w:t xml:space="preserve">in situ</w:t>
      </w: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 de cantidad y calidad del agua en cuencas agrícolas bajo extremos hidroclimatológicos, incluyendo contaminantes emergentes.</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Indicadores cuantitativos de confiabilidad, resiliencia y vulnerabilidad de hidrosistemas (Hashimoto et al., 1982).</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2"/>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Simulación–optimización multiobjetivo y análisis de robustez para planeación hídrica bajo incertidumbre.</w:t>
      </w:r>
      <w:r w:rsidDel="00000000" w:rsidR="00000000" w:rsidRPr="00000000">
        <w:rPr>
          <w:rtl w:val="0"/>
        </w:rPr>
      </w:r>
    </w:p>
    <w:p w:rsidR="00000000" w:rsidDel="00000000" w:rsidP="00000000" w:rsidRDefault="00000000" w:rsidRPr="00000000" w14:paraId="00000021">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La docencia estará vinculada a proyectos activos de investigación. Las tesis de maestría y doctorado se desarrollarán en el marco de esos proyectos, garantizando que los estudiantes publiquen en revistas indexadas antes de graduarse. Se promoverá la lectura sistemática de literatura científica en inglés, fortaleciendo competencias académicas internacionales.</w:t>
      </w:r>
      <w:r w:rsidDel="00000000" w:rsidR="00000000" w:rsidRPr="00000000">
        <w:rPr>
          <w:rtl w:val="0"/>
        </w:rPr>
      </w:r>
    </w:p>
    <w:p w:rsidR="00000000" w:rsidDel="00000000" w:rsidP="00000000" w:rsidRDefault="00000000" w:rsidRPr="00000000" w14:paraId="00000022">
      <w:pPr>
        <w:spacing w:after="120" w:before="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Meta a cinco años: </w:t>
      </w:r>
      <w:r w:rsidDel="00000000" w:rsidR="00000000" w:rsidRPr="00000000">
        <w:rPr>
          <w:rFonts w:ascii="Arial Narrow" w:cs="Arial Narrow" w:eastAsia="Arial Narrow" w:hAnsi="Arial Narrow"/>
          <w:color w:val="000000"/>
          <w:sz w:val="22"/>
          <w:szCs w:val="22"/>
          <w:rtl w:val="0"/>
        </w:rPr>
        <w:t xml:space="preserve">Dirección sostenida de al menos dos tesis de maestría y una de doctorado por año, con publicaciones conjuntas en revistas Q1/Q2 y participación de estudiantes en congresos </w:t>
      </w:r>
      <w:r w:rsidDel="00000000" w:rsidR="00000000" w:rsidRPr="00000000">
        <w:rPr>
          <w:rFonts w:ascii="Arial Narrow" w:cs="Arial Narrow" w:eastAsia="Arial Narrow" w:hAnsi="Arial Narrow"/>
          <w:sz w:val="22"/>
          <w:szCs w:val="22"/>
          <w:rtl w:val="0"/>
        </w:rPr>
        <w:t xml:space="preserve">nacionales e </w:t>
      </w:r>
      <w:r w:rsidDel="00000000" w:rsidR="00000000" w:rsidRPr="00000000">
        <w:rPr>
          <w:rFonts w:ascii="Arial Narrow" w:cs="Arial Narrow" w:eastAsia="Arial Narrow" w:hAnsi="Arial Narrow"/>
          <w:color w:val="000000"/>
          <w:sz w:val="22"/>
          <w:szCs w:val="22"/>
          <w:rtl w:val="0"/>
        </w:rPr>
        <w:t xml:space="preserve">internacionales.</w:t>
      </w:r>
      <w:r w:rsidDel="00000000" w:rsidR="00000000" w:rsidRPr="00000000">
        <w:rPr>
          <w:rtl w:val="0"/>
        </w:rPr>
      </w:r>
    </w:p>
    <w:p w:rsidR="00000000" w:rsidDel="00000000" w:rsidP="00000000" w:rsidRDefault="00000000" w:rsidRPr="00000000" w14:paraId="00000023">
      <w:pPr>
        <w:spacing w:after="100" w:before="22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d) Propuesta en el componente de investigación</w:t>
      </w:r>
      <w:r w:rsidDel="00000000" w:rsidR="00000000" w:rsidRPr="00000000">
        <w:rPr>
          <w:rtl w:val="0"/>
        </w:rPr>
      </w:r>
    </w:p>
    <w:p w:rsidR="00000000" w:rsidDel="00000000" w:rsidP="00000000" w:rsidRDefault="00000000" w:rsidRPr="00000000" w14:paraId="00000024">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La agenda investigativa se estructura en tres ejes integrados que avanzan desde el diagnóstico probabilístico hasta la planeación y optimización de sistemas hídricos. Los ejes comparten datos, métodos y equipos, y están diseñados para generar publicaciones y herramientas aplicables a la gestión hídrica colombiana.</w:t>
      </w:r>
      <w:r w:rsidDel="00000000" w:rsidR="00000000" w:rsidRPr="00000000">
        <w:rPr>
          <w:rtl w:val="0"/>
        </w:rPr>
      </w:r>
    </w:p>
    <w:p w:rsidR="00000000" w:rsidDel="00000000" w:rsidP="00000000" w:rsidRDefault="00000000" w:rsidRPr="00000000" w14:paraId="00000025">
      <w:pPr>
        <w:spacing w:after="80" w:before="160" w:line="276" w:lineRule="auto"/>
        <w:jc w:val="both"/>
        <w:rPr/>
      </w:pPr>
      <w:r w:rsidDel="00000000" w:rsidR="00000000" w:rsidRPr="00000000">
        <w:rPr>
          <w:rFonts w:ascii="Arial Narrow" w:cs="Arial Narrow" w:eastAsia="Arial Narrow" w:hAnsi="Arial Narrow"/>
          <w:b w:val="1"/>
          <w:bCs w:val="1"/>
          <w:i w:val="1"/>
          <w:iCs w:val="1"/>
          <w:color w:val="000000"/>
          <w:sz w:val="22"/>
          <w:szCs w:val="22"/>
          <w:rtl w:val="0"/>
        </w:rPr>
        <w:t xml:space="preserve">Eje 1. </w:t>
      </w:r>
      <w:r w:rsidDel="00000000" w:rsidR="00000000" w:rsidRPr="00000000">
        <w:rPr>
          <w:rFonts w:ascii="Arial Narrow" w:cs="Arial Narrow" w:eastAsia="Arial Narrow" w:hAnsi="Arial Narrow"/>
          <w:b w:val="1"/>
          <w:bCs w:val="1"/>
          <w:i w:val="1"/>
          <w:iCs w:val="1"/>
          <w:sz w:val="22"/>
          <w:szCs w:val="22"/>
          <w:rtl w:val="0"/>
        </w:rPr>
        <w:t xml:space="preserve">Hidrología</w:t>
      </w:r>
      <w:r w:rsidDel="00000000" w:rsidR="00000000" w:rsidRPr="00000000">
        <w:rPr>
          <w:rFonts w:ascii="Arial Narrow" w:cs="Arial Narrow" w:eastAsia="Arial Narrow" w:hAnsi="Arial Narrow"/>
          <w:b w:val="1"/>
          <w:bCs w:val="1"/>
          <w:i w:val="1"/>
          <w:iCs w:val="1"/>
          <w:color w:val="000000"/>
          <w:sz w:val="22"/>
          <w:szCs w:val="22"/>
          <w:rtl w:val="0"/>
        </w:rPr>
        <w:t xml:space="preserve"> no estacionaria y análisis de frecuencia de extremos</w:t>
      </w:r>
      <w:r w:rsidDel="00000000" w:rsidR="00000000" w:rsidRPr="00000000">
        <w:rPr>
          <w:rtl w:val="0"/>
        </w:rPr>
      </w:r>
    </w:p>
    <w:p w:rsidR="00000000" w:rsidDel="00000000" w:rsidP="00000000" w:rsidRDefault="00000000" w:rsidRPr="00000000" w14:paraId="00000026">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Se desarrollarán modelos donde los parámetros de la distribución GEV dependan explícitamente de covariables climáticas indexadas (ENSO, AMO), capturando la estructura temporal no estacionaria de los extremos. Esta aproximación, que ha demostrado mejorar la estimación del riesgo en contextos de cambio climático (Anzolin et al., 2024; Slater et al., 2021), es especialmente pertinente para Colombia, donde los índices ENSO exhiben correlaciones no lineales fuertes con las anomalías </w:t>
      </w:r>
      <w:r w:rsidDel="00000000" w:rsidR="00000000" w:rsidRPr="00000000">
        <w:rPr>
          <w:rFonts w:ascii="Arial Narrow" w:cs="Arial Narrow" w:eastAsia="Arial Narrow" w:hAnsi="Arial Narrow"/>
          <w:sz w:val="22"/>
          <w:szCs w:val="22"/>
          <w:rtl w:val="0"/>
        </w:rPr>
        <w:t xml:space="preserve">hidrológicas</w:t>
      </w:r>
      <w:r w:rsidDel="00000000" w:rsidR="00000000" w:rsidRPr="00000000">
        <w:rPr>
          <w:rFonts w:ascii="Arial Narrow" w:cs="Arial Narrow" w:eastAsia="Arial Narrow" w:hAnsi="Arial Narrow"/>
          <w:color w:val="000000"/>
          <w:sz w:val="22"/>
          <w:szCs w:val="22"/>
          <w:rtl w:val="0"/>
        </w:rPr>
        <w:t xml:space="preserve"> de las cuencas andinas (</w:t>
      </w:r>
      <w:r w:rsidDel="00000000" w:rsidR="00000000" w:rsidRPr="00000000">
        <w:rPr>
          <w:rFonts w:ascii="Arial Narrow" w:cs="Arial Narrow" w:eastAsia="Arial Narrow" w:hAnsi="Arial Narrow"/>
          <w:sz w:val="22"/>
          <w:szCs w:val="22"/>
          <w:rtl w:val="0"/>
        </w:rPr>
        <w:t xml:space="preserve">Pulgarín-Morales and Krueger</w:t>
      </w:r>
      <w:r w:rsidDel="00000000" w:rsidR="00000000" w:rsidRPr="00000000">
        <w:rPr>
          <w:rFonts w:ascii="Arial Narrow" w:cs="Arial Narrow" w:eastAsia="Arial Narrow" w:hAnsi="Arial Narrow"/>
          <w:color w:val="000000"/>
          <w:sz w:val="22"/>
          <w:szCs w:val="22"/>
          <w:rtl w:val="0"/>
        </w:rPr>
        <w:t xml:space="preserve">., 2024; Poveda et al., 2011). Paralelamente, se construirán generadores estocásticos multisitio que preserven la dependencia espacial de la precipitación, insumo crítico </w:t>
      </w:r>
      <w:r w:rsidDel="00000000" w:rsidR="00000000" w:rsidRPr="00000000">
        <w:rPr>
          <w:rFonts w:ascii="Arial Narrow" w:cs="Arial Narrow" w:eastAsia="Arial Narrow" w:hAnsi="Arial Narrow"/>
          <w:sz w:val="22"/>
          <w:szCs w:val="22"/>
          <w:rtl w:val="0"/>
        </w:rPr>
        <w:t xml:space="preserve">para la modelación</w:t>
      </w:r>
      <w:r w:rsidDel="00000000" w:rsidR="00000000" w:rsidRPr="00000000">
        <w:rPr>
          <w:rFonts w:ascii="Arial Narrow" w:cs="Arial Narrow" w:eastAsia="Arial Narrow" w:hAnsi="Arial Narrow"/>
          <w:color w:val="000000"/>
          <w:sz w:val="22"/>
          <w:szCs w:val="22"/>
          <w:rtl w:val="0"/>
        </w:rPr>
        <w:t xml:space="preserve"> hidrológica regional.</w:t>
      </w:r>
      <w:r w:rsidDel="00000000" w:rsidR="00000000" w:rsidRPr="00000000">
        <w:rPr>
          <w:rtl w:val="0"/>
        </w:rPr>
      </w:r>
    </w:p>
    <w:p w:rsidR="00000000" w:rsidDel="00000000" w:rsidP="00000000" w:rsidRDefault="00000000" w:rsidRPr="00000000" w14:paraId="00000027">
      <w:pPr>
        <w:spacing w:after="120" w:before="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Aplicación directa:</w:t>
      </w:r>
      <w:r w:rsidDel="00000000" w:rsidR="00000000" w:rsidRPr="00000000">
        <w:rPr>
          <w:rFonts w:ascii="Arial Narrow" w:cs="Arial Narrow" w:eastAsia="Arial Narrow" w:hAnsi="Arial Narrow"/>
          <w:color w:val="000000"/>
          <w:sz w:val="22"/>
          <w:szCs w:val="22"/>
          <w:rtl w:val="0"/>
        </w:rPr>
        <w:t xml:space="preserve"> actualización dinámica de curvas IDF en cuencas priorizadas y revisión de estándares de diseño hidráulico bajo escenarios del IPCC (2021).</w:t>
      </w:r>
      <w:r w:rsidDel="00000000" w:rsidR="00000000" w:rsidRPr="00000000">
        <w:rPr>
          <w:rtl w:val="0"/>
        </w:rPr>
      </w:r>
    </w:p>
    <w:p w:rsidR="00000000" w:rsidDel="00000000" w:rsidP="00000000" w:rsidRDefault="00000000" w:rsidRPr="00000000" w14:paraId="00000028">
      <w:pPr>
        <w:spacing w:after="80" w:before="160" w:line="276" w:lineRule="auto"/>
        <w:jc w:val="both"/>
        <w:rPr/>
      </w:pPr>
      <w:r w:rsidDel="00000000" w:rsidR="00000000" w:rsidRPr="00000000">
        <w:rPr>
          <w:rFonts w:ascii="Arial Narrow" w:cs="Arial Narrow" w:eastAsia="Arial Narrow" w:hAnsi="Arial Narrow"/>
          <w:b w:val="1"/>
          <w:bCs w:val="1"/>
          <w:i w:val="1"/>
          <w:iCs w:val="1"/>
          <w:color w:val="000000"/>
          <w:sz w:val="22"/>
          <w:szCs w:val="22"/>
          <w:rtl w:val="0"/>
        </w:rPr>
        <w:t xml:space="preserve">Eje 2. Modelación integrada de cantidad y calidad del agua en cuencas agrícolas</w:t>
      </w:r>
      <w:r w:rsidDel="00000000" w:rsidR="00000000" w:rsidRPr="00000000">
        <w:rPr>
          <w:rtl w:val="0"/>
        </w:rPr>
      </w:r>
    </w:p>
    <w:p w:rsidR="00000000" w:rsidDel="00000000" w:rsidP="00000000" w:rsidRDefault="00000000" w:rsidRPr="00000000" w14:paraId="00000029">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Se implementarán modelos acoplados—basados en SWAT y extensiones estocásticas—que integren balance hídrico, procesos de suelo, productividad agrícola y calidad del agua bajo variabilidad climática extrema. La investigación propia ha demostrado que las no linealidades entre caudal y carga de contaminantes en cuencas agrícolas emergen justamente durante períodos de sequía extendida y eventos húmedos prolongados (Jaimes-Correa et al., 2022), lo que subraya la necesidad de marcos integrados que capturen estos acoplamientos.</w:t>
      </w:r>
      <w:r w:rsidDel="00000000" w:rsidR="00000000" w:rsidRPr="00000000">
        <w:rPr>
          <w:rtl w:val="0"/>
        </w:rPr>
      </w:r>
    </w:p>
    <w:p w:rsidR="00000000" w:rsidDel="00000000" w:rsidP="00000000" w:rsidRDefault="00000000" w:rsidRPr="00000000" w14:paraId="0000002A">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Una dimensión de alta relevancia y aún poco abordada en Colombia es la de los contaminantes emergentes. La ocurrencia estacional de antibióticos y agentes farmacológicos en cuencas agrícolas ha sido documentada y está condicionada por el régimen hidrológico (Jaimes-Correa et al., 2015; Wang et al., 2024): los eventos extremos amplifican su movilización hacia fuentes de agua superficial, con consecuencias para la salud pública y la gobernanza del agua. Incorporar esta dimensión a los marcos de gestión de calidad del agua representa una contribución diferencial de esta línea a escala nacional.</w:t>
      </w:r>
      <w:r w:rsidDel="00000000" w:rsidR="00000000" w:rsidRPr="00000000">
        <w:rPr>
          <w:rtl w:val="0"/>
        </w:rPr>
      </w:r>
    </w:p>
    <w:p w:rsidR="00000000" w:rsidDel="00000000" w:rsidP="00000000" w:rsidRDefault="00000000" w:rsidRPr="00000000" w14:paraId="0000002B">
      <w:pPr>
        <w:spacing w:after="120" w:before="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Aplicación directa:</w:t>
      </w:r>
      <w:r w:rsidDel="00000000" w:rsidR="00000000" w:rsidRPr="00000000">
        <w:rPr>
          <w:rFonts w:ascii="Arial Narrow" w:cs="Arial Narrow" w:eastAsia="Arial Narrow" w:hAnsi="Arial Narrow"/>
          <w:color w:val="000000"/>
          <w:sz w:val="22"/>
          <w:szCs w:val="22"/>
          <w:rtl w:val="0"/>
        </w:rPr>
        <w:t xml:space="preserve"> evaluación de riesgo por calidad hídrica en zonas de agricultura intensiva y apoyo técnico a procesos de concesiones y permisos de vertimiento.</w:t>
      </w:r>
      <w:r w:rsidDel="00000000" w:rsidR="00000000" w:rsidRPr="00000000">
        <w:rPr>
          <w:rtl w:val="0"/>
        </w:rPr>
      </w:r>
    </w:p>
    <w:p w:rsidR="00000000" w:rsidDel="00000000" w:rsidP="00000000" w:rsidRDefault="00000000" w:rsidRPr="00000000" w14:paraId="0000002C">
      <w:pPr>
        <w:spacing w:after="80" w:before="160" w:line="276" w:lineRule="auto"/>
        <w:jc w:val="both"/>
        <w:rPr/>
      </w:pPr>
      <w:r w:rsidDel="00000000" w:rsidR="00000000" w:rsidRPr="00000000">
        <w:rPr>
          <w:rFonts w:ascii="Arial Narrow" w:cs="Arial Narrow" w:eastAsia="Arial Narrow" w:hAnsi="Arial Narrow"/>
          <w:b w:val="1"/>
          <w:bCs w:val="1"/>
          <w:i w:val="1"/>
          <w:iCs w:val="1"/>
          <w:color w:val="000000"/>
          <w:sz w:val="22"/>
          <w:szCs w:val="22"/>
          <w:rtl w:val="0"/>
        </w:rPr>
        <w:t xml:space="preserve">Eje 3. Optimización y planeación territorial del recurso hídrico</w:t>
      </w:r>
      <w:r w:rsidDel="00000000" w:rsidR="00000000" w:rsidRPr="00000000">
        <w:rPr>
          <w:rtl w:val="0"/>
        </w:rPr>
      </w:r>
    </w:p>
    <w:p w:rsidR="00000000" w:rsidDel="00000000" w:rsidP="00000000" w:rsidRDefault="00000000" w:rsidRPr="00000000" w14:paraId="0000002D">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Se construirán marcos de simulación–optimización multiobjetivo para evaluar decisiones de asignación hídrica, regulación de usos y priorización de inversiones en cuencas con múltiples demandas competitivas (Piscopo et al., 2021). El análisis de robustez permitirá identificar estrategias que funcionan bien bajo un amplio rango de escenarios climáticos, en lugar de optimizar para una trayectoria única e incierta.</w:t>
      </w:r>
      <w:r w:rsidDel="00000000" w:rsidR="00000000" w:rsidRPr="00000000">
        <w:rPr>
          <w:rtl w:val="0"/>
        </w:rPr>
      </w:r>
    </w:p>
    <w:p w:rsidR="00000000" w:rsidDel="00000000" w:rsidP="00000000" w:rsidRDefault="00000000" w:rsidRPr="00000000" w14:paraId="0000002E">
      <w:pPr>
        <w:spacing w:after="120" w:before="0"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Como producto estratégico para la evaluación integrada de resiliencia hídrica en cuencas colombianas, se desarrollará la plataforma </w:t>
      </w:r>
      <w:r w:rsidDel="00000000" w:rsidR="00000000" w:rsidRPr="00000000">
        <w:rPr>
          <w:rFonts w:ascii="Arial Narrow" w:cs="Arial Narrow" w:eastAsia="Arial Narrow" w:hAnsi="Arial Narrow"/>
          <w:b w:val="1"/>
          <w:bCs w:val="1"/>
          <w:color w:val="000000"/>
          <w:sz w:val="22"/>
          <w:szCs w:val="22"/>
          <w:rtl w:val="0"/>
        </w:rPr>
        <w:t xml:space="preserve">RHEA-Col (Resiliencia Hídrica y Evaluación Acoplada en Cuencas Colombianas)</w:t>
      </w:r>
      <w:r w:rsidDel="00000000" w:rsidR="00000000" w:rsidRPr="00000000">
        <w:rPr>
          <w:rFonts w:ascii="Arial Narrow" w:cs="Arial Narrow" w:eastAsia="Arial Narrow" w:hAnsi="Arial Narrow"/>
          <w:color w:val="000000"/>
          <w:sz w:val="22"/>
          <w:szCs w:val="22"/>
          <w:rtl w:val="0"/>
        </w:rPr>
        <w:t xml:space="preserve">, publicada en GitHub institucional.</w:t>
      </w:r>
    </w:p>
    <w:p w:rsidR="00000000" w:rsidDel="00000000" w:rsidP="00000000" w:rsidRDefault="00000000" w:rsidRPr="00000000" w14:paraId="0000002F">
      <w:pPr>
        <w:spacing w:after="120" w:before="0" w:line="276" w:lineRule="auto"/>
        <w:jc w:val="both"/>
        <w:rPr/>
      </w:pPr>
      <w:r w:rsidDel="00000000" w:rsidR="00000000" w:rsidRPr="00000000">
        <w:rPr>
          <w:rFonts w:ascii="Arial Narrow" w:cs="Arial Narrow" w:eastAsia="Arial Narrow" w:hAnsi="Arial Narrow"/>
          <w:sz w:val="22"/>
          <w:szCs w:val="22"/>
          <w:rtl w:val="0"/>
        </w:rPr>
        <w:t xml:space="preserve">La plataforma </w:t>
      </w:r>
      <w:r w:rsidDel="00000000" w:rsidR="00000000" w:rsidRPr="00000000">
        <w:rPr>
          <w:rFonts w:ascii="Arial Narrow" w:cs="Arial Narrow" w:eastAsia="Arial Narrow" w:hAnsi="Arial Narrow"/>
          <w:b w:val="1"/>
          <w:bCs w:val="1"/>
          <w:sz w:val="22"/>
          <w:szCs w:val="22"/>
          <w:rtl w:val="0"/>
        </w:rPr>
        <w:t xml:space="preserve">RHEA-Col </w:t>
      </w:r>
      <w:r w:rsidDel="00000000" w:rsidR="00000000" w:rsidRPr="00000000">
        <w:rPr>
          <w:rFonts w:ascii="Arial Narrow" w:cs="Arial Narrow" w:eastAsia="Arial Narrow" w:hAnsi="Arial Narrow"/>
          <w:color w:val="000000"/>
          <w:sz w:val="22"/>
          <w:szCs w:val="22"/>
          <w:rtl w:val="0"/>
        </w:rPr>
        <w:t xml:space="preserve">será:</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4"/>
        </w:numPr>
        <w:shd w:fill="auto" w:val="clear"/>
        <w:tabs>
          <w:tab w:val="left" w:leader="none" w:pos="0"/>
        </w:tabs>
        <w:spacing w:after="120" w:before="0" w:line="276" w:lineRule="auto"/>
        <w:ind w:left="709" w:right="0" w:hanging="283"/>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Modular y escalable.</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4"/>
        </w:numPr>
        <w:shd w:fill="auto" w:val="clear"/>
        <w:tabs>
          <w:tab w:val="left" w:leader="none" w:pos="0"/>
        </w:tabs>
        <w:spacing w:after="120" w:before="0" w:line="276" w:lineRule="auto"/>
        <w:ind w:left="709" w:right="0" w:hanging="283"/>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Con manual técnico y documentación abierta.</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4"/>
        </w:numPr>
        <w:shd w:fill="auto" w:val="clear"/>
        <w:tabs>
          <w:tab w:val="left" w:leader="none" w:pos="0"/>
        </w:tabs>
        <w:spacing w:after="120" w:before="0" w:line="276" w:lineRule="auto"/>
        <w:ind w:left="709" w:right="0" w:hanging="283"/>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Acompañada de cursos cortos para su uso y aplicaciones.</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4"/>
        </w:numPr>
        <w:shd w:fill="auto" w:val="clear"/>
        <w:tabs>
          <w:tab w:val="left" w:leader="none" w:pos="0"/>
        </w:tabs>
        <w:spacing w:after="120" w:before="0" w:line="276" w:lineRule="auto"/>
        <w:ind w:left="709" w:right="0" w:hanging="283"/>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Base para al menos un artículo metodológico indexado.</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4"/>
        </w:numPr>
        <w:shd w:fill="auto" w:val="clear"/>
        <w:tabs>
          <w:tab w:val="left" w:leader="none" w:pos="0"/>
        </w:tabs>
        <w:spacing w:after="120" w:before="0" w:line="276" w:lineRule="auto"/>
        <w:ind w:left="709" w:right="0" w:hanging="283"/>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Integrable a flujos de trabajo de entidades como el IDEAM y autoridades ambientales, quienes estarán entre los primeros usuarios objetivo.</w:t>
      </w:r>
      <w:r w:rsidDel="00000000" w:rsidR="00000000" w:rsidRPr="00000000">
        <w:rPr>
          <w:rtl w:val="0"/>
        </w:rPr>
      </w:r>
    </w:p>
    <w:p w:rsidR="00000000" w:rsidDel="00000000" w:rsidP="00000000" w:rsidRDefault="00000000" w:rsidRPr="00000000" w14:paraId="00000035">
      <w:pPr>
        <w:pStyle w:val="Heading3"/>
        <w:spacing w:after="120" w:before="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Financiación: </w:t>
      </w:r>
      <w:r w:rsidDel="00000000" w:rsidR="00000000" w:rsidRPr="00000000">
        <w:rPr>
          <w:rFonts w:ascii="Arial Narrow" w:cs="Arial Narrow" w:eastAsia="Arial Narrow" w:hAnsi="Arial Narrow"/>
          <w:color w:val="000000"/>
          <w:sz w:val="22"/>
          <w:szCs w:val="22"/>
          <w:rtl w:val="0"/>
        </w:rPr>
        <w:t xml:space="preserve">Se estructurará una estrategia activa de consecución de recursos mediante convocatorias de Minciencias, Sistema General de Regalías, cooperación internacional y alianzas derivadas de redes académicas en EE. UU. La sostenibilidad financiera será un eje explícito de la consolidación de la línea.</w:t>
      </w:r>
      <w:r w:rsidDel="00000000" w:rsidR="00000000" w:rsidRPr="00000000">
        <w:rPr>
          <w:rtl w:val="0"/>
        </w:rPr>
      </w:r>
    </w:p>
    <w:p w:rsidR="00000000" w:rsidDel="00000000" w:rsidP="00000000" w:rsidRDefault="00000000" w:rsidRPr="00000000" w14:paraId="00000036">
      <w:pPr>
        <w:spacing w:after="120" w:line="276" w:lineRule="auto"/>
        <w:jc w:val="both"/>
        <w:rPr/>
      </w:pPr>
      <w:r w:rsidDel="00000000" w:rsidR="00000000" w:rsidRPr="00000000">
        <w:rPr>
          <w:rFonts w:ascii="Arial Narrow" w:cs="Arial Narrow" w:eastAsia="Arial Narrow" w:hAnsi="Arial Narrow"/>
          <w:b w:val="1"/>
          <w:bCs w:val="1"/>
          <w:sz w:val="22"/>
          <w:szCs w:val="22"/>
          <w:rtl w:val="0"/>
        </w:rPr>
        <w:t xml:space="preserve">Meta a cinco años:</w:t>
      </w:r>
      <w:r w:rsidDel="00000000" w:rsidR="00000000" w:rsidRPr="00000000">
        <w:rPr>
          <w:rtl w:val="0"/>
        </w:rPr>
      </w:r>
    </w:p>
    <w:p w:rsidR="00000000" w:rsidDel="00000000" w:rsidP="00000000" w:rsidRDefault="00000000" w:rsidRPr="00000000" w14:paraId="00000037">
      <w:pPr>
        <w:numPr>
          <w:ilvl w:val="0"/>
          <w:numId w:val="5"/>
        </w:numPr>
        <w:tabs>
          <w:tab w:val="left" w:leader="none" w:pos="0"/>
        </w:tabs>
        <w:spacing w:after="140" w:line="276" w:lineRule="auto"/>
        <w:ind w:left="709" w:hanging="283"/>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Mínimo dos (2) publicaciones indexadas / año.</w:t>
      </w:r>
    </w:p>
    <w:p w:rsidR="00000000" w:rsidDel="00000000" w:rsidP="00000000" w:rsidRDefault="00000000" w:rsidRPr="00000000" w14:paraId="00000038">
      <w:pPr>
        <w:numPr>
          <w:ilvl w:val="0"/>
          <w:numId w:val="5"/>
        </w:numPr>
        <w:tabs>
          <w:tab w:val="left" w:leader="none" w:pos="0"/>
        </w:tabs>
        <w:spacing w:after="140" w:line="276" w:lineRule="auto"/>
        <w:ind w:left="709" w:hanging="283"/>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Mínimo un (1) proyecto financiado nacional (Minciencias).</w:t>
      </w:r>
    </w:p>
    <w:p w:rsidR="00000000" w:rsidDel="00000000" w:rsidP="00000000" w:rsidRDefault="00000000" w:rsidRPr="00000000" w14:paraId="00000039">
      <w:pPr>
        <w:numPr>
          <w:ilvl w:val="0"/>
          <w:numId w:val="5"/>
        </w:numPr>
        <w:tabs>
          <w:tab w:val="left" w:leader="none" w:pos="0"/>
        </w:tabs>
        <w:spacing w:after="140" w:line="276" w:lineRule="auto"/>
        <w:ind w:left="709" w:hanging="283"/>
        <w:jc w:val="both"/>
        <w:rPr>
          <w:color w:val="000000"/>
          <w:sz w:val="20"/>
          <w:szCs w:val="20"/>
        </w:rPr>
      </w:pPr>
      <w:r w:rsidDel="00000000" w:rsidR="00000000" w:rsidRPr="00000000">
        <w:rPr>
          <w:rFonts w:ascii="Arial Narrow" w:cs="Arial Narrow" w:eastAsia="Arial Narrow" w:hAnsi="Arial Narrow"/>
          <w:sz w:val="22"/>
          <w:szCs w:val="22"/>
          <w:rtl w:val="0"/>
        </w:rPr>
        <w:t xml:space="preserve">Mínimo un (1) proyecto internacional colaborativo (GIZ, NSF, IADB, CGIAR).</w:t>
      </w:r>
      <w:r w:rsidDel="00000000" w:rsidR="00000000" w:rsidRPr="00000000">
        <w:rPr>
          <w:rtl w:val="0"/>
        </w:rPr>
      </w:r>
    </w:p>
    <w:p w:rsidR="00000000" w:rsidDel="00000000" w:rsidP="00000000" w:rsidRDefault="00000000" w:rsidRPr="00000000" w14:paraId="0000003A">
      <w:pPr>
        <w:numPr>
          <w:ilvl w:val="0"/>
          <w:numId w:val="5"/>
        </w:numPr>
        <w:tabs>
          <w:tab w:val="left" w:leader="none" w:pos="0"/>
        </w:tabs>
        <w:spacing w:after="140" w:line="276" w:lineRule="auto"/>
        <w:ind w:left="709" w:hanging="283"/>
        <w:jc w:val="both"/>
        <w:rPr>
          <w:color w:val="000000"/>
          <w:sz w:val="20"/>
          <w:szCs w:val="20"/>
        </w:rPr>
      </w:pPr>
      <w:r w:rsidDel="00000000" w:rsidR="00000000" w:rsidRPr="00000000">
        <w:rPr>
          <w:rFonts w:ascii="Arial Narrow" w:cs="Arial Narrow" w:eastAsia="Arial Narrow" w:hAnsi="Arial Narrow"/>
          <w:sz w:val="22"/>
          <w:szCs w:val="22"/>
          <w:rtl w:val="0"/>
        </w:rPr>
        <w:t xml:space="preserve">Consolidación de semillero de investigación y grupo ampliado.</w:t>
      </w:r>
    </w:p>
    <w:p w:rsidR="00000000" w:rsidDel="00000000" w:rsidP="00000000" w:rsidRDefault="00000000" w:rsidRPr="00000000" w14:paraId="0000003B">
      <w:pPr>
        <w:tabs>
          <w:tab w:val="left" w:leader="none" w:pos="0"/>
        </w:tabs>
        <w:spacing w:after="140" w:line="276" w:lineRule="auto"/>
        <w:jc w:val="both"/>
        <w:rPr/>
      </w:pPr>
      <w:r w:rsidDel="00000000" w:rsidR="00000000" w:rsidRPr="00000000">
        <w:rPr>
          <w:rFonts w:ascii="Arial Narrow" w:cs="Arial Narrow" w:eastAsia="Arial Narrow" w:hAnsi="Arial Narrow"/>
          <w:color w:val="000000"/>
          <w:sz w:val="22"/>
          <w:szCs w:val="22"/>
          <w:rtl w:val="0"/>
        </w:rPr>
        <w:t xml:space="preserve">El posicionamiento que busco dar al GIREH en redes internacionales de alto impacto, será con base en la red académica consolidada durante mi formación doctoral en la University of Nebraska, y experiencias postdoctorados en las Universidades de Duke y North Carolina State, y CIOH-DIMAR.</w:t>
      </w:r>
      <w:r w:rsidDel="00000000" w:rsidR="00000000" w:rsidRPr="00000000">
        <w:rPr>
          <w:rtl w:val="0"/>
        </w:rPr>
      </w:r>
    </w:p>
    <w:p w:rsidR="00000000" w:rsidDel="00000000" w:rsidP="00000000" w:rsidRDefault="00000000" w:rsidRPr="00000000" w14:paraId="0000003C">
      <w:pPr>
        <w:tabs>
          <w:tab w:val="left" w:leader="none" w:pos="0"/>
        </w:tabs>
        <w:spacing w:after="140" w:line="276" w:lineRule="auto"/>
        <w:jc w:val="both"/>
        <w:rPr/>
      </w:pPr>
      <w:r w:rsidDel="00000000" w:rsidR="00000000" w:rsidRPr="00000000">
        <w:rPr>
          <w:rFonts w:ascii="Arial Narrow" w:cs="Arial Narrow" w:eastAsia="Arial Narrow" w:hAnsi="Arial Narrow"/>
          <w:color w:val="000000"/>
          <w:sz w:val="22"/>
          <w:szCs w:val="22"/>
          <w:rtl w:val="0"/>
        </w:rPr>
        <w:t xml:space="preserve">Además, aprovecharé los puentes de colaboraciones activas en modelación hidrológica y calidad del agua, gracias a mi experiencia docente en universidades peruanas y colombianas, como la  Universidad Tecnológica (UTEC), Universidad Privada del Norte (UPN), Universidad de Ciencias Aplicadas y Ambientales (U.D.C.A.), Universidad Santiago de Cali (USC), y la Universidad del Valle. La implementación será progresiva, articulada con proyectos financiados y con la formación de estudiantes de maestría y doctorado como núcleo operativo de la línea.</w:t>
      </w:r>
      <w:r w:rsidDel="00000000" w:rsidR="00000000" w:rsidRPr="00000000">
        <w:rPr>
          <w:rtl w:val="0"/>
        </w:rPr>
      </w:r>
    </w:p>
    <w:p w:rsidR="00000000" w:rsidDel="00000000" w:rsidP="00000000" w:rsidRDefault="00000000" w:rsidRPr="00000000" w14:paraId="0000003D">
      <w:pPr>
        <w:spacing w:after="100" w:before="22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e) Propuesta en el componente de extensión</w:t>
      </w:r>
      <w:r w:rsidDel="00000000" w:rsidR="00000000" w:rsidRPr="00000000">
        <w:rPr>
          <w:rtl w:val="0"/>
        </w:rPr>
      </w:r>
    </w:p>
    <w:p w:rsidR="00000000" w:rsidDel="00000000" w:rsidP="00000000" w:rsidRDefault="00000000" w:rsidRPr="00000000" w14:paraId="0000003E">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La extensión se concibe como transferencia con generación de conocimiento, articulada con la investigación y orientada a fortalecer la capacidad técnica del Estado colombiano. Esta articulación responde al eje de pertinencia e impacto social del Plan Global de Desarrollo de la Universidad Nacional de Colombia y al mandato constitucional de la institución como soporte técnico de la Nación. Cada proyecto de extensión producirá datos estructurados reutilizables en investigación y al menos un producto académico publicable.</w:t>
      </w:r>
      <w:r w:rsidDel="00000000" w:rsidR="00000000" w:rsidRPr="00000000">
        <w:rPr>
          <w:rtl w:val="0"/>
        </w:rPr>
      </w:r>
    </w:p>
    <w:p w:rsidR="00000000" w:rsidDel="00000000" w:rsidP="00000000" w:rsidRDefault="00000000" w:rsidRPr="00000000" w14:paraId="0000003F">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Se proponen tres líneas de acción:</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3"/>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Diplomados dirigidos a profesionales de corporaciones autónomas regionales (CAR, Corpocaldas, CVC, DAGMA, Cornare) y del IDEAM en análisis probabilístico hidrológico, evaluación de resiliencia hídrica y planeación bajo escenarios climáticos. Estos espacios responden a una necesidad técnica real y documentada en el sector ambiental colombiano, donde los instrumentos de gestión hídrica continúan basándose en supuestos estacionarios.</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3"/>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Asistencia técnica especializada para la actualización de estudios hidrológicos en proyectos de infraestructura hídrica—acueductos rurales, distritos de riego, obras de control de inundaciones—incorporando metodologías no estacionarias y guías del IDEAM y el MADS.</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3"/>
        </w:numPr>
        <w:shd w:fill="auto" w:val="clear"/>
        <w:spacing w:after="60" w:before="0" w:line="276" w:lineRule="auto"/>
        <w:ind w:left="720" w:right="0" w:hanging="360"/>
        <w:jc w:val="both"/>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Plataformas computacionales abiertas para la evaluación de riesgo hídrico y calidad del agua a escala de cuenca, diseñadas con entidades territoriales y accesibles para municipios con limitada capacidad técnica especializada.</w:t>
      </w:r>
      <w:r w:rsidDel="00000000" w:rsidR="00000000" w:rsidRPr="00000000">
        <w:rPr>
          <w:rtl w:val="0"/>
        </w:rPr>
      </w:r>
    </w:p>
    <w:p w:rsidR="00000000" w:rsidDel="00000000" w:rsidP="00000000" w:rsidRDefault="00000000" w:rsidRPr="00000000" w14:paraId="00000043">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Cada proyecto de extensión generará problemas de investigación reales y bases de datos de campo que retroalimentarán la agenda científica del grupo. Esta lógica de retroalimentación entre extensión e investigación fortalece la visibilidad institucional del Departamento y contribuye directamente a la formulación de políticas públicas en gestión hídrica y adaptación al cambio climático.</w:t>
      </w:r>
      <w:r w:rsidDel="00000000" w:rsidR="00000000" w:rsidRPr="00000000">
        <w:rPr>
          <w:rtl w:val="0"/>
        </w:rPr>
      </w:r>
    </w:p>
    <w:p w:rsidR="00000000" w:rsidDel="00000000" w:rsidP="00000000" w:rsidRDefault="00000000" w:rsidRPr="00000000" w14:paraId="00000044">
      <w:pPr>
        <w:spacing w:after="120" w:before="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5">
      <w:pPr>
        <w:spacing w:after="120" w:before="0" w:line="276" w:lineRule="auto"/>
        <w:jc w:val="both"/>
        <w:rPr/>
      </w:pPr>
      <w:r w:rsidDel="00000000" w:rsidR="00000000" w:rsidRPr="00000000">
        <w:rPr>
          <w:rFonts w:ascii="Arial Narrow" w:cs="Arial Narrow" w:eastAsia="Arial Narrow" w:hAnsi="Arial Narrow"/>
          <w:b w:val="1"/>
          <w:bCs w:val="1"/>
          <w:sz w:val="22"/>
          <w:szCs w:val="22"/>
          <w:rtl w:val="0"/>
        </w:rPr>
        <w:t xml:space="preserve">Anotaciones finales</w:t>
      </w:r>
      <w:r w:rsidDel="00000000" w:rsidR="00000000" w:rsidRPr="00000000">
        <w:rPr>
          <w:rtl w:val="0"/>
        </w:rPr>
      </w:r>
    </w:p>
    <w:p w:rsidR="00000000" w:rsidDel="00000000" w:rsidP="00000000" w:rsidRDefault="00000000" w:rsidRPr="00000000" w14:paraId="00000046">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En un contexto donde la no estacionariedad redefine los fundamentos del diseño hidráulico y la gestión ambiental, la Universidad Nacional de Colombia está llamada a liderar la transición hacia una gestión hídrica basada en evidencia, incertidumbre explícita y compromiso público.</w:t>
      </w:r>
      <w:r w:rsidDel="00000000" w:rsidR="00000000" w:rsidRPr="00000000">
        <w:rPr>
          <w:rtl w:val="0"/>
        </w:rPr>
      </w:r>
    </w:p>
    <w:p w:rsidR="00000000" w:rsidDel="00000000" w:rsidP="00000000" w:rsidRDefault="00000000" w:rsidRPr="00000000" w14:paraId="00000047">
      <w:pPr>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Esta propuesta no es únicamente una agenda de investigación; es una apuesta institucional para fortalecer el rol de la Universidad como soporte técnico-científico del Estado colombiano en materia de cantidad, calidad y riesgo hídrico. Consolidar esta línea significa formar ingenieros capaces de decidir bajo incertidumbre, producir conocimiento aplicable y contribuir de manera tangible a la resiliencia territorial del país.</w:t>
      </w:r>
      <w:r w:rsidDel="00000000" w:rsidR="00000000" w:rsidRPr="00000000">
        <w:rPr>
          <w:rtl w:val="0"/>
        </w:rPr>
      </w:r>
    </w:p>
    <w:p w:rsidR="00000000" w:rsidDel="00000000" w:rsidP="00000000" w:rsidRDefault="00000000" w:rsidRPr="00000000" w14:paraId="00000048">
      <w:pPr>
        <w:spacing w:after="120" w:before="0"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Asumir ese liderazgo es coherente con la misión histórica de la Universidad Nacional y </w:t>
      </w:r>
      <w:r w:rsidDel="00000000" w:rsidR="00000000" w:rsidRPr="00000000">
        <w:rPr>
          <w:rFonts w:ascii="Arial Narrow" w:cs="Arial Narrow" w:eastAsia="Arial Narrow" w:hAnsi="Arial Narrow"/>
          <w:sz w:val="22"/>
          <w:szCs w:val="22"/>
          <w:rtl w:val="0"/>
        </w:rPr>
        <w:t xml:space="preserve">sobre todo</w:t>
      </w:r>
      <w:r w:rsidDel="00000000" w:rsidR="00000000" w:rsidRPr="00000000">
        <w:rPr>
          <w:rFonts w:ascii="Arial Narrow" w:cs="Arial Narrow" w:eastAsia="Arial Narrow" w:hAnsi="Arial Narrow"/>
          <w:color w:val="000000"/>
          <w:sz w:val="22"/>
          <w:szCs w:val="22"/>
          <w:rtl w:val="0"/>
        </w:rPr>
        <w:t xml:space="preserve"> con los efectos del calentamiento global, que evidenciamos y enfrentamos tanto en Colombia como alrededor del mundo.</w:t>
      </w:r>
    </w:p>
    <w:p w:rsidR="00000000" w:rsidDel="00000000" w:rsidP="00000000" w:rsidRDefault="00000000" w:rsidRPr="00000000" w14:paraId="00000049">
      <w:pPr>
        <w:spacing w:after="120" w:before="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A">
      <w:pPr>
        <w:spacing w:after="120" w:before="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B">
      <w:pPr>
        <w:spacing w:after="120" w:before="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C">
      <w:pPr>
        <w:spacing w:after="120" w:before="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D">
      <w:pPr>
        <w:spacing w:after="120" w:before="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E">
      <w:pPr>
        <w:spacing w:after="120" w:before="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F">
      <w:pPr>
        <w:spacing w:after="120" w:before="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0">
      <w:pPr>
        <w:spacing w:after="100" w:before="220" w:line="276" w:lineRule="auto"/>
        <w:jc w:val="both"/>
        <w:rPr/>
      </w:pPr>
      <w:r w:rsidDel="00000000" w:rsidR="00000000" w:rsidRPr="00000000">
        <w:rPr>
          <w:rFonts w:ascii="Arial Narrow" w:cs="Arial Narrow" w:eastAsia="Arial Narrow" w:hAnsi="Arial Narrow"/>
          <w:b w:val="1"/>
          <w:bCs w:val="1"/>
          <w:color w:val="000000"/>
          <w:sz w:val="22"/>
          <w:szCs w:val="22"/>
          <w:rtl w:val="0"/>
        </w:rPr>
        <w:t xml:space="preserve">Lista de abreviaturas</w:t>
      </w:r>
      <w:r w:rsidDel="00000000" w:rsidR="00000000" w:rsidRPr="00000000">
        <w:rPr>
          <w:rtl w:val="0"/>
        </w:rPr>
      </w:r>
    </w:p>
    <w:p w:rsidR="00000000" w:rsidDel="00000000" w:rsidP="00000000" w:rsidRDefault="00000000" w:rsidRPr="00000000" w14:paraId="00000051">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AMO – Atlantic Multidecadal Oscillation (Oscilación Multidecadal del Atlántico)</w:t>
      </w:r>
      <w:r w:rsidDel="00000000" w:rsidR="00000000" w:rsidRPr="00000000">
        <w:rPr>
          <w:rtl w:val="0"/>
        </w:rPr>
      </w:r>
    </w:p>
    <w:p w:rsidR="00000000" w:rsidDel="00000000" w:rsidP="00000000" w:rsidRDefault="00000000" w:rsidRPr="00000000" w14:paraId="00000052">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CAR – Corporaciones Autónomas Regionales</w:t>
      </w:r>
      <w:r w:rsidDel="00000000" w:rsidR="00000000" w:rsidRPr="00000000">
        <w:rPr>
          <w:rtl w:val="0"/>
        </w:rPr>
      </w:r>
    </w:p>
    <w:p w:rsidR="00000000" w:rsidDel="00000000" w:rsidP="00000000" w:rsidRDefault="00000000" w:rsidRPr="00000000" w14:paraId="00000053">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ENSO – El Niño–Southern Oscillation (El Niño–Oscilación del Sur)</w:t>
      </w:r>
      <w:r w:rsidDel="00000000" w:rsidR="00000000" w:rsidRPr="00000000">
        <w:rPr>
          <w:rtl w:val="0"/>
        </w:rPr>
      </w:r>
    </w:p>
    <w:p w:rsidR="00000000" w:rsidDel="00000000" w:rsidP="00000000" w:rsidRDefault="00000000" w:rsidRPr="00000000" w14:paraId="00000054">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GEV – Distribución Generalizada de Valores Extremos</w:t>
      </w:r>
      <w:r w:rsidDel="00000000" w:rsidR="00000000" w:rsidRPr="00000000">
        <w:rPr>
          <w:rtl w:val="0"/>
        </w:rPr>
      </w:r>
    </w:p>
    <w:p w:rsidR="00000000" w:rsidDel="00000000" w:rsidP="00000000" w:rsidRDefault="00000000" w:rsidRPr="00000000" w14:paraId="00000055">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IDEAM – Instituto de Hidrología, Meteorología y Estudios Ambientales de Colombia</w:t>
      </w:r>
      <w:r w:rsidDel="00000000" w:rsidR="00000000" w:rsidRPr="00000000">
        <w:rPr>
          <w:rtl w:val="0"/>
        </w:rPr>
      </w:r>
    </w:p>
    <w:p w:rsidR="00000000" w:rsidDel="00000000" w:rsidP="00000000" w:rsidRDefault="00000000" w:rsidRPr="00000000" w14:paraId="00000056">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IDF – Curvas Intensidad–Duración–Frecuencia</w:t>
      </w:r>
      <w:r w:rsidDel="00000000" w:rsidR="00000000" w:rsidRPr="00000000">
        <w:rPr>
          <w:rtl w:val="0"/>
        </w:rPr>
      </w:r>
    </w:p>
    <w:p w:rsidR="00000000" w:rsidDel="00000000" w:rsidP="00000000" w:rsidRDefault="00000000" w:rsidRPr="00000000" w14:paraId="00000057">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IPCC – Panel Intergubernamental sobre Cambio Climático</w:t>
      </w:r>
      <w:r w:rsidDel="00000000" w:rsidR="00000000" w:rsidRPr="00000000">
        <w:rPr>
          <w:rtl w:val="0"/>
        </w:rPr>
      </w:r>
    </w:p>
    <w:p w:rsidR="00000000" w:rsidDel="00000000" w:rsidP="00000000" w:rsidRDefault="00000000" w:rsidRPr="00000000" w14:paraId="00000058">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MADS – Ministerio de Ambiente y Desarrollo Sostenible</w:t>
      </w:r>
      <w:r w:rsidDel="00000000" w:rsidR="00000000" w:rsidRPr="00000000">
        <w:rPr>
          <w:rtl w:val="0"/>
        </w:rPr>
      </w:r>
    </w:p>
    <w:p w:rsidR="00000000" w:rsidDel="00000000" w:rsidP="00000000" w:rsidRDefault="00000000" w:rsidRPr="00000000" w14:paraId="00000059">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NSE – Nash–Sutcliffe Efficiency (Coeficiente de eficiencia de Nash–Sutcliffe)</w:t>
      </w:r>
      <w:r w:rsidDel="00000000" w:rsidR="00000000" w:rsidRPr="00000000">
        <w:rPr>
          <w:rtl w:val="0"/>
        </w:rPr>
      </w:r>
    </w:p>
    <w:p w:rsidR="00000000" w:rsidDel="00000000" w:rsidP="00000000" w:rsidRDefault="00000000" w:rsidRPr="00000000" w14:paraId="0000005A">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POT – Peaks Over Threshold (Método de Excesos sobre Umbral)</w:t>
      </w:r>
      <w:r w:rsidDel="00000000" w:rsidR="00000000" w:rsidRPr="00000000">
        <w:rPr>
          <w:rtl w:val="0"/>
        </w:rPr>
      </w:r>
    </w:p>
    <w:p w:rsidR="00000000" w:rsidDel="00000000" w:rsidP="00000000" w:rsidRDefault="00000000" w:rsidRPr="00000000" w14:paraId="0000005B">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SWAT – Soil and Water Assessment Tool</w:t>
      </w:r>
      <w:r w:rsidDel="00000000" w:rsidR="00000000" w:rsidRPr="00000000">
        <w:rPr>
          <w:rtl w:val="0"/>
        </w:rPr>
      </w:r>
    </w:p>
    <w:p w:rsidR="00000000" w:rsidDel="00000000" w:rsidP="00000000" w:rsidRDefault="00000000" w:rsidRPr="00000000" w14:paraId="0000005C">
      <w:pPr>
        <w:widowControl w:val="1"/>
        <w:spacing w:after="120" w:before="0" w:line="276" w:lineRule="auto"/>
        <w:jc w:val="both"/>
        <w:rPr/>
      </w:pPr>
      <w:r w:rsidDel="00000000" w:rsidR="00000000" w:rsidRPr="00000000">
        <w:rPr>
          <w:rFonts w:ascii="Arial Narrow" w:cs="Arial Narrow" w:eastAsia="Arial Narrow" w:hAnsi="Arial Narrow"/>
          <w:color w:val="000000"/>
          <w:sz w:val="22"/>
          <w:szCs w:val="22"/>
          <w:rtl w:val="0"/>
        </w:rPr>
        <w:t xml:space="preserve">UNAL – Universidad Nacional de Colombia</w:t>
      </w:r>
      <w:r w:rsidDel="00000000" w:rsidR="00000000" w:rsidRPr="00000000">
        <w:br w:type="page"/>
      </w:r>
      <w:r w:rsidDel="00000000" w:rsidR="00000000" w:rsidRPr="00000000">
        <w:rPr>
          <w:rtl w:val="0"/>
        </w:rPr>
      </w:r>
    </w:p>
    <w:p w:rsidR="00000000" w:rsidDel="00000000" w:rsidP="00000000" w:rsidRDefault="00000000" w:rsidRPr="00000000" w14:paraId="0000005D">
      <w:pPr>
        <w:spacing w:after="100" w:before="0" w:line="276" w:lineRule="auto"/>
        <w:jc w:val="both"/>
        <w:rPr/>
      </w:pPr>
      <w:r w:rsidDel="00000000" w:rsidR="00000000" w:rsidRPr="00000000">
        <w:rPr>
          <w:rFonts w:ascii="Arial Narrow" w:cs="Arial Narrow" w:eastAsia="Arial Narrow" w:hAnsi="Arial Narrow"/>
          <w:b w:val="1"/>
          <w:bCs w:val="1"/>
          <w:sz w:val="22"/>
          <w:szCs w:val="22"/>
          <w:rtl w:val="0"/>
        </w:rPr>
        <w:t xml:space="preserve">f) </w:t>
      </w:r>
      <w:r w:rsidDel="00000000" w:rsidR="00000000" w:rsidRPr="00000000">
        <w:rPr>
          <w:rFonts w:ascii="Arial Narrow" w:cs="Arial Narrow" w:eastAsia="Arial Narrow" w:hAnsi="Arial Narrow"/>
          <w:b w:val="1"/>
          <w:bCs w:val="1"/>
          <w:color w:val="000000"/>
          <w:sz w:val="22"/>
          <w:szCs w:val="22"/>
          <w:rtl w:val="0"/>
        </w:rPr>
        <w:t xml:space="preserve">Bibliografía</w:t>
      </w:r>
      <w:r w:rsidDel="00000000" w:rsidR="00000000" w:rsidRPr="00000000">
        <w:rPr>
          <w:rtl w:val="0"/>
        </w:rPr>
      </w:r>
    </w:p>
    <w:p w:rsidR="00000000" w:rsidDel="00000000" w:rsidP="00000000" w:rsidRDefault="00000000" w:rsidRPr="00000000" w14:paraId="0000005E">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Anzolin, G., et al. (2024). Nonstationary frequency analysis of extreme precipitation: Embracing trends in observations. </w:t>
      </w:r>
      <w:r w:rsidDel="00000000" w:rsidR="00000000" w:rsidRPr="00000000">
        <w:rPr>
          <w:rFonts w:ascii="Arial Narrow" w:cs="Arial Narrow" w:eastAsia="Arial Narrow" w:hAnsi="Arial Narrow"/>
          <w:i w:val="1"/>
          <w:iCs w:val="1"/>
          <w:color w:val="000000"/>
          <w:sz w:val="22"/>
          <w:szCs w:val="22"/>
          <w:rtl w:val="0"/>
        </w:rPr>
        <w:t xml:space="preserve">Journal of Hydrology</w:t>
      </w:r>
      <w:r w:rsidDel="00000000" w:rsidR="00000000" w:rsidRPr="00000000">
        <w:rPr>
          <w:rFonts w:ascii="Arial Narrow" w:cs="Arial Narrow" w:eastAsia="Arial Narrow" w:hAnsi="Arial Narrow"/>
          <w:color w:val="000000"/>
          <w:sz w:val="22"/>
          <w:szCs w:val="22"/>
          <w:rtl w:val="0"/>
        </w:rPr>
        <w:t xml:space="preserve">, 637, 131300. https://doi.org/10.1016/j.jhydrol.2024.131300</w:t>
      </w:r>
      <w:r w:rsidDel="00000000" w:rsidR="00000000" w:rsidRPr="00000000">
        <w:rPr>
          <w:rtl w:val="0"/>
        </w:rPr>
      </w:r>
    </w:p>
    <w:p w:rsidR="00000000" w:rsidDel="00000000" w:rsidP="00000000" w:rsidRDefault="00000000" w:rsidRPr="00000000" w14:paraId="0000005F">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Blöschl, G., Hall, J., Viglione, A. et al. Changing climate both increases and decreases European river floods. Nature 573, 108–111 (2019). https://doi.org/10.1038/s41586-019-1495-6</w:t>
      </w:r>
      <w:r w:rsidDel="00000000" w:rsidR="00000000" w:rsidRPr="00000000">
        <w:rPr>
          <w:rtl w:val="0"/>
        </w:rPr>
      </w:r>
    </w:p>
    <w:p w:rsidR="00000000" w:rsidDel="00000000" w:rsidP="00000000" w:rsidRDefault="00000000" w:rsidRPr="00000000" w14:paraId="00000060">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Hashimoto, T., Stedinger, J. R., &amp; Loucks, D. P. (1982). Reliability, resiliency, and vulnerability criteria for water resource system performance evaluation. </w:t>
      </w:r>
      <w:r w:rsidDel="00000000" w:rsidR="00000000" w:rsidRPr="00000000">
        <w:rPr>
          <w:rFonts w:ascii="Arial Narrow" w:cs="Arial Narrow" w:eastAsia="Arial Narrow" w:hAnsi="Arial Narrow"/>
          <w:i w:val="1"/>
          <w:iCs w:val="1"/>
          <w:color w:val="000000"/>
          <w:sz w:val="22"/>
          <w:szCs w:val="22"/>
          <w:rtl w:val="0"/>
        </w:rPr>
        <w:t xml:space="preserve">Water Resources Research</w:t>
      </w:r>
      <w:r w:rsidDel="00000000" w:rsidR="00000000" w:rsidRPr="00000000">
        <w:rPr>
          <w:rFonts w:ascii="Arial Narrow" w:cs="Arial Narrow" w:eastAsia="Arial Narrow" w:hAnsi="Arial Narrow"/>
          <w:color w:val="000000"/>
          <w:sz w:val="22"/>
          <w:szCs w:val="22"/>
          <w:rtl w:val="0"/>
        </w:rPr>
        <w:t xml:space="preserve">, 18(1), 14–20. https://doi.org/10.1029/WR018i001p00014</w:t>
      </w:r>
      <w:r w:rsidDel="00000000" w:rsidR="00000000" w:rsidRPr="00000000">
        <w:rPr>
          <w:rtl w:val="0"/>
        </w:rPr>
      </w:r>
    </w:p>
    <w:p w:rsidR="00000000" w:rsidDel="00000000" w:rsidP="00000000" w:rsidRDefault="00000000" w:rsidRPr="00000000" w14:paraId="00000061">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IDEAM. (2022). </w:t>
      </w:r>
      <w:r w:rsidDel="00000000" w:rsidR="00000000" w:rsidRPr="00000000">
        <w:rPr>
          <w:rFonts w:ascii="Arial Narrow" w:cs="Arial Narrow" w:eastAsia="Arial Narrow" w:hAnsi="Arial Narrow"/>
          <w:i w:val="1"/>
          <w:iCs w:val="1"/>
          <w:color w:val="000000"/>
          <w:sz w:val="22"/>
          <w:szCs w:val="22"/>
          <w:rtl w:val="0"/>
        </w:rPr>
        <w:t xml:space="preserve">Estudio Nacional del Agua 2022</w:t>
      </w:r>
      <w:r w:rsidDel="00000000" w:rsidR="00000000" w:rsidRPr="00000000">
        <w:rPr>
          <w:rFonts w:ascii="Arial Narrow" w:cs="Arial Narrow" w:eastAsia="Arial Narrow" w:hAnsi="Arial Narrow"/>
          <w:color w:val="000000"/>
          <w:sz w:val="22"/>
          <w:szCs w:val="22"/>
          <w:rtl w:val="0"/>
        </w:rPr>
        <w:t xml:space="preserve">. Instituto de Hidrología, Meteorología y Estudios Ambientales. Bogotá, Colombia.</w:t>
      </w:r>
      <w:r w:rsidDel="00000000" w:rsidR="00000000" w:rsidRPr="00000000">
        <w:rPr>
          <w:rtl w:val="0"/>
        </w:rPr>
      </w:r>
    </w:p>
    <w:p w:rsidR="00000000" w:rsidDel="00000000" w:rsidP="00000000" w:rsidRDefault="00000000" w:rsidRPr="00000000" w14:paraId="00000062">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IPCC. (2021). </w:t>
      </w:r>
      <w:r w:rsidDel="00000000" w:rsidR="00000000" w:rsidRPr="00000000">
        <w:rPr>
          <w:rFonts w:ascii="Arial Narrow" w:cs="Arial Narrow" w:eastAsia="Arial Narrow" w:hAnsi="Arial Narrow"/>
          <w:i w:val="1"/>
          <w:iCs w:val="1"/>
          <w:color w:val="000000"/>
          <w:sz w:val="22"/>
          <w:szCs w:val="22"/>
          <w:rtl w:val="0"/>
        </w:rPr>
        <w:t xml:space="preserve">Climate Change 2021: The Physical Science Basis. Contribution of Working Group I to the Sixth Assessment Report</w:t>
      </w:r>
      <w:r w:rsidDel="00000000" w:rsidR="00000000" w:rsidRPr="00000000">
        <w:rPr>
          <w:rFonts w:ascii="Arial Narrow" w:cs="Arial Narrow" w:eastAsia="Arial Narrow" w:hAnsi="Arial Narrow"/>
          <w:color w:val="000000"/>
          <w:sz w:val="22"/>
          <w:szCs w:val="22"/>
          <w:rtl w:val="0"/>
        </w:rPr>
        <w:t xml:space="preserve">. Cambridge University Press. https://doi.org/10.1017/9781009157896</w:t>
      </w:r>
      <w:r w:rsidDel="00000000" w:rsidR="00000000" w:rsidRPr="00000000">
        <w:rPr>
          <w:rtl w:val="0"/>
        </w:rPr>
      </w:r>
    </w:p>
    <w:p w:rsidR="00000000" w:rsidDel="00000000" w:rsidP="00000000" w:rsidRDefault="00000000" w:rsidRPr="00000000" w14:paraId="00000063">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Jaimes-Correa, J. C., Muñoz-Arriola, F., &amp; Bartelt-Hunt, S. (2022). Modeling water quantity and quality nonlinearities for watershed adaptability to hydroclimate extremes in agricultural landscapes. </w:t>
      </w:r>
      <w:r w:rsidDel="00000000" w:rsidR="00000000" w:rsidRPr="00000000">
        <w:rPr>
          <w:rFonts w:ascii="Arial Narrow" w:cs="Arial Narrow" w:eastAsia="Arial Narrow" w:hAnsi="Arial Narrow"/>
          <w:i w:val="1"/>
          <w:iCs w:val="1"/>
          <w:color w:val="000000"/>
          <w:sz w:val="22"/>
          <w:szCs w:val="22"/>
          <w:rtl w:val="0"/>
        </w:rPr>
        <w:t xml:space="preserve">Hydrology</w:t>
      </w:r>
      <w:r w:rsidDel="00000000" w:rsidR="00000000" w:rsidRPr="00000000">
        <w:rPr>
          <w:rFonts w:ascii="Arial Narrow" w:cs="Arial Narrow" w:eastAsia="Arial Narrow" w:hAnsi="Arial Narrow"/>
          <w:color w:val="000000"/>
          <w:sz w:val="22"/>
          <w:szCs w:val="22"/>
          <w:rtl w:val="0"/>
        </w:rPr>
        <w:t xml:space="preserve">, 9(5), 80. https://doi.org/10.3390/hydrology9050080</w:t>
      </w:r>
      <w:r w:rsidDel="00000000" w:rsidR="00000000" w:rsidRPr="00000000">
        <w:rPr>
          <w:rtl w:val="0"/>
        </w:rPr>
      </w:r>
    </w:p>
    <w:p w:rsidR="00000000" w:rsidDel="00000000" w:rsidP="00000000" w:rsidRDefault="00000000" w:rsidRPr="00000000" w14:paraId="00000064">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Jaimes-Correa, J. C., Snow, D. D., &amp; Bartelt-Hunt, S. L. (2015). Seasonal occurrence of antibiotics and a beta agonist in an agriculturally-intensive watershed. </w:t>
      </w:r>
      <w:r w:rsidDel="00000000" w:rsidR="00000000" w:rsidRPr="00000000">
        <w:rPr>
          <w:rFonts w:ascii="Arial Narrow" w:cs="Arial Narrow" w:eastAsia="Arial Narrow" w:hAnsi="Arial Narrow"/>
          <w:i w:val="1"/>
          <w:iCs w:val="1"/>
          <w:color w:val="000000"/>
          <w:sz w:val="22"/>
          <w:szCs w:val="22"/>
          <w:rtl w:val="0"/>
        </w:rPr>
        <w:t xml:space="preserve">Environmental Pollution</w:t>
      </w:r>
      <w:r w:rsidDel="00000000" w:rsidR="00000000" w:rsidRPr="00000000">
        <w:rPr>
          <w:rFonts w:ascii="Arial Narrow" w:cs="Arial Narrow" w:eastAsia="Arial Narrow" w:hAnsi="Arial Narrow"/>
          <w:color w:val="000000"/>
          <w:sz w:val="22"/>
          <w:szCs w:val="22"/>
          <w:rtl w:val="0"/>
        </w:rPr>
        <w:t xml:space="preserve">, 205, 87–96. https://doi.org/10.1016/j.envpol.2015.05.023</w:t>
      </w:r>
      <w:r w:rsidDel="00000000" w:rsidR="00000000" w:rsidRPr="00000000">
        <w:rPr>
          <w:rtl w:val="0"/>
        </w:rPr>
      </w:r>
    </w:p>
    <w:p w:rsidR="00000000" w:rsidDel="00000000" w:rsidP="00000000" w:rsidRDefault="00000000" w:rsidRPr="00000000" w14:paraId="00000065">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Milly, P. C. D., Betancourt, J., Falkenmark, M., Hirsch, R. M., Kundzewicz, Z. W., Lettenmaier, D. P., &amp; Stouffer, R. J. (2008). Stationarity is dead: Whither water management? </w:t>
      </w:r>
      <w:r w:rsidDel="00000000" w:rsidR="00000000" w:rsidRPr="00000000">
        <w:rPr>
          <w:rFonts w:ascii="Arial Narrow" w:cs="Arial Narrow" w:eastAsia="Arial Narrow" w:hAnsi="Arial Narrow"/>
          <w:i w:val="1"/>
          <w:iCs w:val="1"/>
          <w:color w:val="000000"/>
          <w:sz w:val="22"/>
          <w:szCs w:val="22"/>
          <w:rtl w:val="0"/>
        </w:rPr>
        <w:t xml:space="preserve">Science</w:t>
      </w:r>
      <w:r w:rsidDel="00000000" w:rsidR="00000000" w:rsidRPr="00000000">
        <w:rPr>
          <w:rFonts w:ascii="Arial Narrow" w:cs="Arial Narrow" w:eastAsia="Arial Narrow" w:hAnsi="Arial Narrow"/>
          <w:color w:val="000000"/>
          <w:sz w:val="22"/>
          <w:szCs w:val="22"/>
          <w:rtl w:val="0"/>
        </w:rPr>
        <w:t xml:space="preserve">, 319(5863), 573–574. https://doi.org/10.1126/science.1151915</w:t>
      </w:r>
      <w:r w:rsidDel="00000000" w:rsidR="00000000" w:rsidRPr="00000000">
        <w:rPr>
          <w:rtl w:val="0"/>
        </w:rPr>
      </w:r>
    </w:p>
    <w:p w:rsidR="00000000" w:rsidDel="00000000" w:rsidP="00000000" w:rsidRDefault="00000000" w:rsidRPr="00000000" w14:paraId="00000066">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Piscopo, A. N., Weaver, C. C., &amp; Detenbeck, N. E. (2021). Using multiobjective optimization to inform green infrastructure decisions as part of robust integrated water resources management plans. </w:t>
      </w:r>
      <w:r w:rsidDel="00000000" w:rsidR="00000000" w:rsidRPr="00000000">
        <w:rPr>
          <w:rFonts w:ascii="Arial Narrow" w:cs="Arial Narrow" w:eastAsia="Arial Narrow" w:hAnsi="Arial Narrow"/>
          <w:i w:val="1"/>
          <w:iCs w:val="1"/>
          <w:color w:val="000000"/>
          <w:sz w:val="22"/>
          <w:szCs w:val="22"/>
          <w:rtl w:val="0"/>
        </w:rPr>
        <w:t xml:space="preserve">Journal of Water Resources Planning and Management</w:t>
      </w:r>
      <w:r w:rsidDel="00000000" w:rsidR="00000000" w:rsidRPr="00000000">
        <w:rPr>
          <w:rFonts w:ascii="Arial Narrow" w:cs="Arial Narrow" w:eastAsia="Arial Narrow" w:hAnsi="Arial Narrow"/>
          <w:color w:val="000000"/>
          <w:sz w:val="22"/>
          <w:szCs w:val="22"/>
          <w:rtl w:val="0"/>
        </w:rPr>
        <w:t xml:space="preserve">, 147(6). https://doi.org/10.1061/(ASCE)WR.1943-5452.0001369</w:t>
      </w:r>
      <w:r w:rsidDel="00000000" w:rsidR="00000000" w:rsidRPr="00000000">
        <w:rPr>
          <w:rtl w:val="0"/>
        </w:rPr>
      </w:r>
    </w:p>
    <w:p w:rsidR="00000000" w:rsidDel="00000000" w:rsidP="00000000" w:rsidRDefault="00000000" w:rsidRPr="00000000" w14:paraId="00000067">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Poveda, G., et al. (2011). Hydro-climatic variability over the Andes of Colombia associated with ENSO: A review of climatic processes and their impact on one of the Earth’s most important biodiversity hotspots. </w:t>
      </w:r>
      <w:r w:rsidDel="00000000" w:rsidR="00000000" w:rsidRPr="00000000">
        <w:rPr>
          <w:rFonts w:ascii="Arial Narrow" w:cs="Arial Narrow" w:eastAsia="Arial Narrow" w:hAnsi="Arial Narrow"/>
          <w:i w:val="1"/>
          <w:iCs w:val="1"/>
          <w:color w:val="000000"/>
          <w:sz w:val="22"/>
          <w:szCs w:val="22"/>
          <w:rtl w:val="0"/>
        </w:rPr>
        <w:t xml:space="preserve">Climate Dynamics</w:t>
      </w:r>
      <w:r w:rsidDel="00000000" w:rsidR="00000000" w:rsidRPr="00000000">
        <w:rPr>
          <w:rFonts w:ascii="Arial Narrow" w:cs="Arial Narrow" w:eastAsia="Arial Narrow" w:hAnsi="Arial Narrow"/>
          <w:color w:val="000000"/>
          <w:sz w:val="22"/>
          <w:szCs w:val="22"/>
          <w:rtl w:val="0"/>
        </w:rPr>
        <w:t xml:space="preserve">, 36(11–12), 2233–2265. https://doi.org/10.1007/s00382-010-0931-y</w:t>
      </w:r>
      <w:r w:rsidDel="00000000" w:rsidR="00000000" w:rsidRPr="00000000">
        <w:rPr>
          <w:rtl w:val="0"/>
        </w:rPr>
      </w:r>
    </w:p>
    <w:p w:rsidR="00000000" w:rsidDel="00000000" w:rsidP="00000000" w:rsidRDefault="00000000" w:rsidRPr="00000000" w14:paraId="00000068">
      <w:pPr>
        <w:spacing w:after="80" w:before="0" w:line="276" w:lineRule="auto"/>
        <w:ind w:left="720" w:firstLine="0"/>
        <w:jc w:val="both"/>
        <w:rPr/>
      </w:pPr>
      <w:r w:rsidDel="00000000" w:rsidR="00000000" w:rsidRPr="00000000">
        <w:rPr>
          <w:rFonts w:ascii="Arial Narrow" w:cs="Arial Narrow" w:eastAsia="Arial Narrow" w:hAnsi="Arial Narrow"/>
          <w:sz w:val="22"/>
          <w:szCs w:val="22"/>
          <w:rtl w:val="0"/>
        </w:rPr>
        <w:t xml:space="preserve">Pulgarín-Morales, L, and Krueger, T. (2024). ENSO effects on hydropower and climate adaptation strategies in four Colombian case studies. </w:t>
      </w:r>
      <w:r w:rsidDel="00000000" w:rsidR="00000000" w:rsidRPr="00000000">
        <w:rPr>
          <w:rFonts w:ascii="Arial Narrow" w:cs="Arial Narrow" w:eastAsia="Arial Narrow" w:hAnsi="Arial Narrow"/>
          <w:i w:val="1"/>
          <w:iCs w:val="1"/>
          <w:sz w:val="22"/>
          <w:szCs w:val="22"/>
          <w:rtl w:val="0"/>
        </w:rPr>
        <w:t xml:space="preserve">Journal of Hydrology: Regional Studies</w:t>
      </w:r>
      <w:r w:rsidDel="00000000" w:rsidR="00000000" w:rsidRPr="00000000">
        <w:rPr>
          <w:rFonts w:ascii="Arial Narrow" w:cs="Arial Narrow" w:eastAsia="Arial Narrow" w:hAnsi="Arial Narrow"/>
          <w:sz w:val="22"/>
          <w:szCs w:val="22"/>
          <w:rtl w:val="0"/>
        </w:rPr>
        <w:t xml:space="preserve">, 53, 101854. https://doi.org/10.1016/j.ejrh.2025.102599</w:t>
      </w:r>
      <w:r w:rsidDel="00000000" w:rsidR="00000000" w:rsidRPr="00000000">
        <w:rPr>
          <w:rtl w:val="0"/>
        </w:rPr>
      </w:r>
    </w:p>
    <w:p w:rsidR="00000000" w:rsidDel="00000000" w:rsidP="00000000" w:rsidRDefault="00000000" w:rsidRPr="00000000" w14:paraId="00000069">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Slater, L. J., et al. (2021). Nonstationary weather and water extremes: A review of methods for their detection, attribution, and management. </w:t>
      </w:r>
      <w:r w:rsidDel="00000000" w:rsidR="00000000" w:rsidRPr="00000000">
        <w:rPr>
          <w:rFonts w:ascii="Arial Narrow" w:cs="Arial Narrow" w:eastAsia="Arial Narrow" w:hAnsi="Arial Narrow"/>
          <w:i w:val="1"/>
          <w:iCs w:val="1"/>
          <w:color w:val="000000"/>
          <w:sz w:val="22"/>
          <w:szCs w:val="22"/>
          <w:rtl w:val="0"/>
        </w:rPr>
        <w:t xml:space="preserve">Hydrology and Earth System Sciences</w:t>
      </w:r>
      <w:r w:rsidDel="00000000" w:rsidR="00000000" w:rsidRPr="00000000">
        <w:rPr>
          <w:rFonts w:ascii="Arial Narrow" w:cs="Arial Narrow" w:eastAsia="Arial Narrow" w:hAnsi="Arial Narrow"/>
          <w:color w:val="000000"/>
          <w:sz w:val="22"/>
          <w:szCs w:val="22"/>
          <w:rtl w:val="0"/>
        </w:rPr>
        <w:t xml:space="preserve">, 25(7), 3897–3935. https://doi.org/10.5194/hess-25-3897-2021</w:t>
      </w:r>
      <w:r w:rsidDel="00000000" w:rsidR="00000000" w:rsidRPr="00000000">
        <w:rPr>
          <w:rtl w:val="0"/>
        </w:rPr>
      </w:r>
    </w:p>
    <w:p w:rsidR="00000000" w:rsidDel="00000000" w:rsidP="00000000" w:rsidRDefault="00000000" w:rsidRPr="00000000" w14:paraId="0000006A">
      <w:pPr>
        <w:spacing w:after="80" w:before="0" w:line="276" w:lineRule="auto"/>
        <w:ind w:left="720" w:hanging="720"/>
        <w:jc w:val="both"/>
        <w:rPr/>
      </w:pPr>
      <w:r w:rsidDel="00000000" w:rsidR="00000000" w:rsidRPr="00000000">
        <w:rPr>
          <w:rFonts w:ascii="Arial Narrow" w:cs="Arial Narrow" w:eastAsia="Arial Narrow" w:hAnsi="Arial Narrow"/>
          <w:color w:val="000000"/>
          <w:sz w:val="22"/>
          <w:szCs w:val="22"/>
          <w:rtl w:val="0"/>
        </w:rPr>
        <w:t xml:space="preserve">Wang, R., Tang, H., Yang, R., &amp; Zhang, J. (2024). Emerging contaminants in water environments: Progress, evolution, and prospects. </w:t>
      </w:r>
      <w:r w:rsidDel="00000000" w:rsidR="00000000" w:rsidRPr="00000000">
        <w:rPr>
          <w:rFonts w:ascii="Arial Narrow" w:cs="Arial Narrow" w:eastAsia="Arial Narrow" w:hAnsi="Arial Narrow"/>
          <w:i w:val="1"/>
          <w:iCs w:val="1"/>
          <w:color w:val="000000"/>
          <w:sz w:val="22"/>
          <w:szCs w:val="22"/>
          <w:rtl w:val="0"/>
        </w:rPr>
        <w:t xml:space="preserve">Water Science and Technology</w:t>
      </w:r>
      <w:r w:rsidDel="00000000" w:rsidR="00000000" w:rsidRPr="00000000">
        <w:rPr>
          <w:rFonts w:ascii="Arial Narrow" w:cs="Arial Narrow" w:eastAsia="Arial Narrow" w:hAnsi="Arial Narrow"/>
          <w:color w:val="000000"/>
          <w:sz w:val="22"/>
          <w:szCs w:val="22"/>
          <w:rtl w:val="0"/>
        </w:rPr>
        <w:t xml:space="preserve">, 89(10), 2763–2782. https://doi.org/10.2166/wst.2024.151</w:t>
      </w:r>
      <w:r w:rsidDel="00000000" w:rsidR="00000000" w:rsidRPr="00000000">
        <w:rPr>
          <w:rtl w:val="0"/>
        </w:rPr>
      </w:r>
    </w:p>
    <w:p w:rsidR="00000000" w:rsidDel="00000000" w:rsidP="00000000" w:rsidRDefault="00000000" w:rsidRPr="00000000" w14:paraId="0000006B">
      <w:pPr>
        <w:spacing w:after="0" w:before="0" w:line="276" w:lineRule="auto"/>
        <w:jc w:val="both"/>
        <w:rPr>
          <w:rFonts w:ascii="Arial Narrow" w:cs="Arial Narrow" w:eastAsia="Arial Narrow" w:hAnsi="Arial Narrow"/>
          <w:color w:val="000000"/>
          <w:sz w:val="22"/>
          <w:szCs w:val="22"/>
        </w:rPr>
      </w:pPr>
      <w:r w:rsidDel="00000000" w:rsidR="00000000" w:rsidRPr="00000000">
        <w:rPr>
          <w:rtl w:val="0"/>
        </w:rPr>
      </w:r>
    </w:p>
    <w:sectPr>
      <w:pgSz w:h="16838" w:w="11906"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4">
    <w:lvl w:ilvl="0">
      <w:start w:val="1"/>
      <w:numFmt w:val="bullet"/>
      <w:lvlText w:val="●"/>
      <w:lvlJc w:val="left"/>
      <w:pPr>
        <w:ind w:left="709" w:hanging="282.9999999999999"/>
      </w:pPr>
      <w:rPr>
        <w:rFonts w:ascii="Noto Sans Symbols" w:cs="Noto Sans Symbols" w:eastAsia="Noto Sans Symbols" w:hAnsi="Noto Sans Symbols"/>
      </w:rPr>
    </w:lvl>
    <w:lvl w:ilvl="1">
      <w:start w:val="1"/>
      <w:numFmt w:val="bullet"/>
      <w:lvlText w:val="●"/>
      <w:lvlJc w:val="left"/>
      <w:pPr>
        <w:ind w:left="1418" w:hanging="282.9999999999998"/>
      </w:pPr>
      <w:rPr>
        <w:rFonts w:ascii="Noto Sans Symbols" w:cs="Noto Sans Symbols" w:eastAsia="Noto Sans Symbols" w:hAnsi="Noto Sans Symbols"/>
      </w:rPr>
    </w:lvl>
    <w:lvl w:ilvl="2">
      <w:start w:val="1"/>
      <w:numFmt w:val="bullet"/>
      <w:lvlText w:val="●"/>
      <w:lvlJc w:val="left"/>
      <w:pPr>
        <w:ind w:left="2127" w:hanging="283.0000000000002"/>
      </w:pPr>
      <w:rPr>
        <w:rFonts w:ascii="Noto Sans Symbols" w:cs="Noto Sans Symbols" w:eastAsia="Noto Sans Symbols" w:hAnsi="Noto Sans Symbols"/>
      </w:rPr>
    </w:lvl>
    <w:lvl w:ilvl="3">
      <w:start w:val="1"/>
      <w:numFmt w:val="bullet"/>
      <w:lvlText w:val="●"/>
      <w:lvlJc w:val="left"/>
      <w:pPr>
        <w:ind w:left="2836" w:hanging="283"/>
      </w:pPr>
      <w:rPr>
        <w:rFonts w:ascii="Noto Sans Symbols" w:cs="Noto Sans Symbols" w:eastAsia="Noto Sans Symbols" w:hAnsi="Noto Sans Symbols"/>
      </w:rPr>
    </w:lvl>
    <w:lvl w:ilvl="4">
      <w:start w:val="1"/>
      <w:numFmt w:val="bullet"/>
      <w:lvlText w:val="●"/>
      <w:lvlJc w:val="left"/>
      <w:pPr>
        <w:ind w:left="3545" w:hanging="283"/>
      </w:pPr>
      <w:rPr>
        <w:rFonts w:ascii="Noto Sans Symbols" w:cs="Noto Sans Symbols" w:eastAsia="Noto Sans Symbols" w:hAnsi="Noto Sans Symbols"/>
      </w:rPr>
    </w:lvl>
    <w:lvl w:ilvl="5">
      <w:start w:val="1"/>
      <w:numFmt w:val="bullet"/>
      <w:lvlText w:val="●"/>
      <w:lvlJc w:val="left"/>
      <w:pPr>
        <w:ind w:left="4254" w:hanging="283.00000000000045"/>
      </w:pPr>
      <w:rPr>
        <w:rFonts w:ascii="Noto Sans Symbols" w:cs="Noto Sans Symbols" w:eastAsia="Noto Sans Symbols" w:hAnsi="Noto Sans Symbols"/>
      </w:rPr>
    </w:lvl>
    <w:lvl w:ilvl="6">
      <w:start w:val="1"/>
      <w:numFmt w:val="bullet"/>
      <w:lvlText w:val="●"/>
      <w:lvlJc w:val="left"/>
      <w:pPr>
        <w:ind w:left="4963" w:hanging="283"/>
      </w:pPr>
      <w:rPr>
        <w:rFonts w:ascii="Noto Sans Symbols" w:cs="Noto Sans Symbols" w:eastAsia="Noto Sans Symbols" w:hAnsi="Noto Sans Symbols"/>
      </w:rPr>
    </w:lvl>
    <w:lvl w:ilvl="7">
      <w:start w:val="1"/>
      <w:numFmt w:val="bullet"/>
      <w:lvlText w:val="●"/>
      <w:lvlJc w:val="left"/>
      <w:pPr>
        <w:ind w:left="5672" w:hanging="282.9999999999991"/>
      </w:pPr>
      <w:rPr>
        <w:rFonts w:ascii="Noto Sans Symbols" w:cs="Noto Sans Symbols" w:eastAsia="Noto Sans Symbols" w:hAnsi="Noto Sans Symbols"/>
      </w:rPr>
    </w:lvl>
    <w:lvl w:ilvl="8">
      <w:start w:val="1"/>
      <w:numFmt w:val="bullet"/>
      <w:lvlText w:val="●"/>
      <w:lvlJc w:val="left"/>
      <w:pPr>
        <w:ind w:left="6381" w:hanging="282.9999999999991"/>
      </w:pPr>
      <w:rPr>
        <w:rFonts w:ascii="Noto Sans Symbols" w:cs="Noto Sans Symbols" w:eastAsia="Noto Sans Symbols" w:hAnsi="Noto Sans Symbols"/>
      </w:rPr>
    </w:lvl>
  </w:abstractNum>
  <w:abstractNum w:abstractNumId="5">
    <w:lvl w:ilvl="0">
      <w:start w:val="1"/>
      <w:numFmt w:val="bullet"/>
      <w:lvlText w:val="●"/>
      <w:lvlJc w:val="left"/>
      <w:pPr>
        <w:ind w:left="709" w:hanging="282.9999999999999"/>
      </w:pPr>
      <w:rPr>
        <w:rFonts w:ascii="Noto Sans Symbols" w:cs="Noto Sans Symbols" w:eastAsia="Noto Sans Symbols" w:hAnsi="Noto Sans Symbols"/>
      </w:rPr>
    </w:lvl>
    <w:lvl w:ilvl="1">
      <w:start w:val="1"/>
      <w:numFmt w:val="bullet"/>
      <w:lvlText w:val="●"/>
      <w:lvlJc w:val="left"/>
      <w:pPr>
        <w:ind w:left="1418" w:hanging="282.9999999999998"/>
      </w:pPr>
      <w:rPr>
        <w:rFonts w:ascii="Noto Sans Symbols" w:cs="Noto Sans Symbols" w:eastAsia="Noto Sans Symbols" w:hAnsi="Noto Sans Symbols"/>
      </w:rPr>
    </w:lvl>
    <w:lvl w:ilvl="2">
      <w:start w:val="1"/>
      <w:numFmt w:val="bullet"/>
      <w:lvlText w:val="●"/>
      <w:lvlJc w:val="left"/>
      <w:pPr>
        <w:ind w:left="2127" w:hanging="283.0000000000002"/>
      </w:pPr>
      <w:rPr>
        <w:rFonts w:ascii="Noto Sans Symbols" w:cs="Noto Sans Symbols" w:eastAsia="Noto Sans Symbols" w:hAnsi="Noto Sans Symbols"/>
      </w:rPr>
    </w:lvl>
    <w:lvl w:ilvl="3">
      <w:start w:val="1"/>
      <w:numFmt w:val="bullet"/>
      <w:lvlText w:val="●"/>
      <w:lvlJc w:val="left"/>
      <w:pPr>
        <w:ind w:left="2836" w:hanging="283"/>
      </w:pPr>
      <w:rPr>
        <w:rFonts w:ascii="Noto Sans Symbols" w:cs="Noto Sans Symbols" w:eastAsia="Noto Sans Symbols" w:hAnsi="Noto Sans Symbols"/>
      </w:rPr>
    </w:lvl>
    <w:lvl w:ilvl="4">
      <w:start w:val="1"/>
      <w:numFmt w:val="bullet"/>
      <w:lvlText w:val="●"/>
      <w:lvlJc w:val="left"/>
      <w:pPr>
        <w:ind w:left="3545" w:hanging="283"/>
      </w:pPr>
      <w:rPr>
        <w:rFonts w:ascii="Noto Sans Symbols" w:cs="Noto Sans Symbols" w:eastAsia="Noto Sans Symbols" w:hAnsi="Noto Sans Symbols"/>
      </w:rPr>
    </w:lvl>
    <w:lvl w:ilvl="5">
      <w:start w:val="1"/>
      <w:numFmt w:val="bullet"/>
      <w:lvlText w:val="●"/>
      <w:lvlJc w:val="left"/>
      <w:pPr>
        <w:ind w:left="4254" w:hanging="283.00000000000045"/>
      </w:pPr>
      <w:rPr>
        <w:rFonts w:ascii="Noto Sans Symbols" w:cs="Noto Sans Symbols" w:eastAsia="Noto Sans Symbols" w:hAnsi="Noto Sans Symbols"/>
      </w:rPr>
    </w:lvl>
    <w:lvl w:ilvl="6">
      <w:start w:val="1"/>
      <w:numFmt w:val="bullet"/>
      <w:lvlText w:val="●"/>
      <w:lvlJc w:val="left"/>
      <w:pPr>
        <w:ind w:left="4963" w:hanging="283"/>
      </w:pPr>
      <w:rPr>
        <w:rFonts w:ascii="Noto Sans Symbols" w:cs="Noto Sans Symbols" w:eastAsia="Noto Sans Symbols" w:hAnsi="Noto Sans Symbols"/>
      </w:rPr>
    </w:lvl>
    <w:lvl w:ilvl="7">
      <w:start w:val="1"/>
      <w:numFmt w:val="bullet"/>
      <w:lvlText w:val="●"/>
      <w:lvlJc w:val="left"/>
      <w:pPr>
        <w:ind w:left="5672" w:hanging="282.9999999999991"/>
      </w:pPr>
      <w:rPr>
        <w:rFonts w:ascii="Noto Sans Symbols" w:cs="Noto Sans Symbols" w:eastAsia="Noto Sans Symbols" w:hAnsi="Noto Sans Symbols"/>
      </w:rPr>
    </w:lvl>
    <w:lvl w:ilvl="8">
      <w:start w:val="1"/>
      <w:numFmt w:val="bullet"/>
      <w:lvlText w:val="●"/>
      <w:lvlJc w:val="left"/>
      <w:pPr>
        <w:ind w:left="6381" w:hanging="282.9999999999991"/>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before="240" w:line="240" w:lineRule="auto"/>
    </w:pPr>
    <w:rPr>
      <w:rFonts w:ascii="Liberation Sans" w:cs="Liberation Sans" w:eastAsia="Liberation Sans" w:hAnsi="Liberation Sans"/>
      <w:color w:val="2e74b5"/>
      <w:sz w:val="32"/>
      <w:szCs w:val="32"/>
    </w:rPr>
  </w:style>
  <w:style w:type="paragraph" w:styleId="Heading2">
    <w:name w:val="heading 2"/>
    <w:basedOn w:val="Normal"/>
    <w:next w:val="Normal"/>
    <w:pPr>
      <w:keepNext w:val="1"/>
      <w:spacing w:after="120" w:before="240" w:line="240" w:lineRule="auto"/>
    </w:pPr>
    <w:rPr>
      <w:rFonts w:ascii="Liberation Sans" w:cs="Liberation Sans" w:eastAsia="Liberation Sans" w:hAnsi="Liberation Sans"/>
      <w:color w:val="2e74b5"/>
      <w:sz w:val="26"/>
      <w:szCs w:val="26"/>
    </w:rPr>
  </w:style>
  <w:style w:type="paragraph" w:styleId="Heading3">
    <w:name w:val="heading 3"/>
    <w:basedOn w:val="Normal"/>
    <w:next w:val="Normal"/>
    <w:pPr>
      <w:keepNext w:val="1"/>
      <w:spacing w:after="120" w:before="240" w:line="240" w:lineRule="auto"/>
    </w:pPr>
    <w:rPr>
      <w:rFonts w:ascii="Liberation Sans" w:cs="Liberation Sans" w:eastAsia="Liberation Sans" w:hAnsi="Liberation Sans"/>
      <w:color w:val="1f4d78"/>
      <w:sz w:val="24"/>
      <w:szCs w:val="24"/>
    </w:rPr>
  </w:style>
  <w:style w:type="paragraph" w:styleId="Heading4">
    <w:name w:val="heading 4"/>
    <w:basedOn w:val="Normal"/>
    <w:next w:val="Normal"/>
    <w:pPr>
      <w:keepNext w:val="1"/>
      <w:spacing w:after="120" w:before="240" w:line="240" w:lineRule="auto"/>
    </w:pPr>
    <w:rPr>
      <w:rFonts w:ascii="Liberation Sans" w:cs="Liberation Sans" w:eastAsia="Liberation Sans" w:hAnsi="Liberation Sans"/>
      <w:i w:val="1"/>
      <w:iCs w:val="1"/>
      <w:color w:val="2e74b5"/>
      <w:sz w:val="28"/>
      <w:szCs w:val="28"/>
    </w:rPr>
  </w:style>
  <w:style w:type="paragraph" w:styleId="Heading5">
    <w:name w:val="heading 5"/>
    <w:basedOn w:val="Normal"/>
    <w:next w:val="Normal"/>
    <w:pPr>
      <w:keepNext w:val="1"/>
      <w:spacing w:after="120" w:before="240" w:line="240" w:lineRule="auto"/>
    </w:pPr>
    <w:rPr>
      <w:rFonts w:ascii="Liberation Sans" w:cs="Liberation Sans" w:eastAsia="Liberation Sans" w:hAnsi="Liberation Sans"/>
      <w:color w:val="2e74b5"/>
      <w:sz w:val="28"/>
      <w:szCs w:val="28"/>
    </w:rPr>
  </w:style>
  <w:style w:type="paragraph" w:styleId="Heading6">
    <w:name w:val="heading 6"/>
    <w:basedOn w:val="Normal"/>
    <w:next w:val="Normal"/>
    <w:pPr>
      <w:keepNext w:val="1"/>
      <w:spacing w:after="120" w:before="240" w:line="240" w:lineRule="auto"/>
    </w:pPr>
    <w:rPr>
      <w:rFonts w:ascii="Liberation Sans" w:cs="Liberation Sans" w:eastAsia="Liberation Sans" w:hAnsi="Liberation Sans"/>
      <w:color w:val="1f4d78"/>
      <w:sz w:val="28"/>
      <w:szCs w:val="28"/>
    </w:rPr>
  </w:style>
  <w:style w:type="paragraph" w:styleId="Title">
    <w:name w:val="Title"/>
    <w:basedOn w:val="Normal"/>
    <w:next w:val="Normal"/>
    <w:pPr>
      <w:keepNext w:val="1"/>
      <w:spacing w:after="120" w:before="240" w:line="240" w:lineRule="auto"/>
    </w:pPr>
    <w:rPr>
      <w:rFonts w:ascii="Liberation Sans" w:cs="Liberation Sans" w:eastAsia="Liberation Sans" w:hAnsi="Liberation Sans"/>
      <w:sz w:val="56"/>
      <w:szCs w:val="56"/>
    </w:rPr>
  </w:style>
  <w:style w:type="character" w:styleId="Hyperlink">
    <w:name w:val="Hyperlink"/>
    <w:uiPriority w:val="99"/>
    <w:unhideWhenUsed w:val="1"/>
    <w:rPr>
      <w:color w:val="0563c1"/>
      <w:u w:val="single"/>
    </w:rPr>
  </w:style>
  <w:style w:type="character" w:styleId="FootnoteCharacters">
    <w:name w:val="Footnote Characters"/>
    <w:uiPriority w:val="99"/>
    <w:semiHidden w:val="1"/>
    <w:unhideWhenUsed w:val="1"/>
    <w:qFormat w:val="1"/>
    <w:rPr>
      <w:vertAlign w:val="superscript"/>
    </w:rPr>
  </w:style>
  <w:style w:type="character" w:styleId="FootnoteCharactersuser">
    <w:name w:val="Footnote Characters (user)"/>
    <w:qFormat w:val="1"/>
    <w:rPr>
      <w:vertAlign w:val="superscript"/>
    </w:rPr>
  </w:style>
  <w:style w:type="character" w:styleId="FootnoteReference">
    <w:name w:val="footnote reference"/>
    <w:rPr>
      <w:vertAlign w:val="superscript"/>
    </w:rPr>
  </w:style>
  <w:style w:type="character" w:styleId="FootnoteTextChar">
    <w:name w:val="Footnote Text Char"/>
    <w:link w:val="FootnoteText"/>
    <w:uiPriority w:val="99"/>
    <w:semiHidden w:val="1"/>
    <w:unhideWhenUsed w:val="1"/>
    <w:qFormat w:val="1"/>
    <w:rPr>
      <w:sz w:val="20"/>
      <w:szCs w:val="20"/>
    </w:rPr>
  </w:style>
  <w:style w:type="character" w:styleId="NumberingSymbols">
    <w:name w:val="Numbering Symbols"/>
    <w:qFormat w:val="1"/>
    <w:rPr/>
  </w:style>
  <w:style w:type="character" w:styleId="Strong">
    <w:name w:val="Strong"/>
    <w:qFormat w:val="1"/>
    <w:rPr>
      <w:b w:val="1"/>
      <w:bCs w:val="1"/>
    </w:rPr>
  </w:style>
  <w:style w:type="character" w:styleId="Bullets">
    <w:name w:val="Bullets"/>
    <w:qFormat w:val="1"/>
    <w:rPr>
      <w:rFonts w:ascii="OpenSymbol" w:cs="OpenSymbol" w:eastAsia="OpenSymbol" w:hAnsi="OpenSymbol"/>
    </w:rPr>
  </w:style>
  <w:style w:type="paragraph" w:styleId="Heading">
    <w:name w:val="Heading"/>
    <w:basedOn w:val="normal1"/>
    <w:next w:val="BodyText"/>
    <w:qFormat w:val="1"/>
    <w:pPr>
      <w:keepNext w:val="1"/>
      <w:spacing w:after="120" w:before="240"/>
    </w:pPr>
    <w:rPr>
      <w:rFonts w:ascii="Liberation Sans" w:cs="Arial" w:eastAsia="Microsoft YaHei" w:hAnsi="Liberation Sans"/>
      <w:sz w:val="28"/>
      <w:szCs w:val="28"/>
    </w:rPr>
  </w:style>
  <w:style w:type="paragraph" w:styleId="BodyText">
    <w:name w:val="Body Text"/>
    <w:basedOn w:val="normal1"/>
    <w:pPr>
      <w:spacing w:after="140" w:before="0" w:line="276" w:lineRule="auto"/>
    </w:pPr>
    <w:rPr/>
  </w:style>
  <w:style w:type="paragraph" w:styleId="List">
    <w:name w:val="List"/>
    <w:basedOn w:val="BodyText"/>
    <w:pPr/>
    <w:rPr>
      <w:rFonts w:cs="Arial"/>
    </w:rPr>
  </w:style>
  <w:style w:type="paragraph" w:styleId="Caption">
    <w:name w:val="caption"/>
    <w:basedOn w:val="normal1"/>
    <w:qFormat w:val="1"/>
    <w:pPr>
      <w:suppressLineNumbers w:val="1"/>
      <w:spacing w:after="120" w:before="120"/>
    </w:pPr>
    <w:rPr>
      <w:rFonts w:cs="Arial"/>
      <w:i w:val="1"/>
      <w:iCs w:val="1"/>
      <w:sz w:val="24"/>
      <w:szCs w:val="24"/>
    </w:rPr>
  </w:style>
  <w:style w:type="paragraph" w:styleId="Index">
    <w:name w:val="Index"/>
    <w:basedOn w:val="normal1"/>
    <w:qFormat w:val="1"/>
    <w:pPr>
      <w:suppressLineNumbers w:val="1"/>
    </w:pPr>
    <w:rPr>
      <w:rFonts w:cs="Arial"/>
    </w:rPr>
  </w:style>
  <w:style w:type="paragraph" w:styleId="normal1" w:default="1">
    <w:name w:val="normal1"/>
    <w:qFormat w:val="1"/>
    <w:pPr>
      <w:widowControl w:val="1"/>
      <w:bidi w:val="0"/>
      <w:spacing w:after="0" w:before="0"/>
      <w:jc w:val="left"/>
    </w:pPr>
    <w:rPr>
      <w:rFonts w:ascii="Times New Roman" w:cs="Arial" w:eastAsia="NSimSun" w:hAnsi="Times New Roman"/>
      <w:color w:val="auto"/>
      <w:kern w:val="0"/>
      <w:sz w:val="20"/>
      <w:szCs w:val="20"/>
      <w:lang w:bidi="hi-IN" w:eastAsia="zh-CN" w:val="es-ES"/>
    </w:rPr>
  </w:style>
  <w:style w:type="paragraph" w:styleId="StrongEmphasis">
    <w:name w:val="Strong Emphasis"/>
    <w:qFormat w:val="1"/>
    <w:pPr>
      <w:widowControl w:val="1"/>
      <w:suppressAutoHyphens w:val="1"/>
      <w:bidi w:val="0"/>
      <w:spacing w:after="0" w:before="0"/>
      <w:jc w:val="left"/>
    </w:pPr>
    <w:rPr>
      <w:rFonts w:ascii="Times New Roman" w:cs="Arial" w:eastAsia="NSimSun" w:hAnsi="Times New Roman"/>
      <w:b w:val="1"/>
      <w:bCs w:val="1"/>
      <w:color w:val="auto"/>
      <w:kern w:val="0"/>
      <w:sz w:val="20"/>
      <w:szCs w:val="20"/>
      <w:lang w:bidi="hi-IN" w:eastAsia="zh-CN" w:val="es-ES"/>
    </w:rPr>
  </w:style>
  <w:style w:type="paragraph" w:styleId="ListParagraph">
    <w:name w:val="List Paragraph"/>
    <w:qFormat w:val="1"/>
    <w:pPr>
      <w:widowControl w:val="1"/>
      <w:suppressAutoHyphens w:val="1"/>
      <w:bidi w:val="0"/>
      <w:spacing w:after="0" w:before="0"/>
      <w:jc w:val="left"/>
    </w:pPr>
    <w:rPr>
      <w:rFonts w:ascii="Times New Roman" w:cs="Arial" w:eastAsia="NSimSun" w:hAnsi="Times New Roman"/>
      <w:color w:val="auto"/>
      <w:kern w:val="0"/>
      <w:sz w:val="20"/>
      <w:szCs w:val="20"/>
      <w:lang w:bidi="hi-IN" w:eastAsia="zh-CN" w:val="es-ES"/>
    </w:rPr>
  </w:style>
  <w:style w:type="paragraph" w:styleId="FootnoteText">
    <w:name w:val="footnote text"/>
    <w:basedOn w:val="normal1"/>
    <w:link w:val="FootnoteTextChar"/>
    <w:uiPriority w:val="99"/>
    <w:semiHidden w:val="1"/>
    <w:unhideWhenUsed w:val="1"/>
    <w:pPr>
      <w:spacing w:after="0" w:before="0" w:line="240" w:lineRule="auto"/>
    </w:pPr>
    <w:rPr>
      <w:sz w:val="20"/>
      <w:szCs w:val="20"/>
    </w:rPr>
  </w:style>
  <w:style w:type="table" w:styleId="TableNormal" w:default="1">
    <w:name w:val="TableNormal"/>
    <w:tblPr>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24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zfvpaymV5QTEkDcR4mCfZ3yhDQ==">CgMxLjA4AHIhMWdkVUdRS0E0T3o3UUlwSjdUQWxzNmFRSFlmVXRUcWJm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2026-02-20T17:50:33Z</dcterms:created>
  <dc:creator>Un-named</dc:creator>
</cp:coreProperties>
</file>