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777DDE" w14:textId="37A155A2" w:rsidR="003647B0" w:rsidRPr="00122437" w:rsidRDefault="20F749DC" w:rsidP="00122437">
      <w:pPr>
        <w:pStyle w:val="Ttulo1"/>
        <w:spacing w:line="276" w:lineRule="auto"/>
        <w:jc w:val="both"/>
        <w:rPr>
          <w:rFonts w:ascii="Arial Narrow" w:hAnsi="Arial Narrow"/>
          <w:sz w:val="22"/>
          <w:szCs w:val="22"/>
        </w:rPr>
      </w:pPr>
      <w:r w:rsidRPr="00122437">
        <w:rPr>
          <w:rFonts w:ascii="Arial Narrow" w:hAnsi="Arial Narrow"/>
          <w:sz w:val="22"/>
          <w:szCs w:val="22"/>
        </w:rPr>
        <w:t>PROPUESTA ACADÉMICA PARA EL FORTALECIMIENTO DEL ANÁLISIS Y DISEÑO DE ESTRUCTURAS MEDIANTE EL USO DE MATERIALES NO CONVENCIONALES, MODELAMIENTO NUMÉRICO AVANZADO Y HERRAMIENTAS COMPUTACIONALES</w:t>
      </w:r>
    </w:p>
    <w:p w14:paraId="7CA9B58A" w14:textId="435EFBEC" w:rsidR="6847C375" w:rsidRPr="00122437" w:rsidRDefault="6847C375" w:rsidP="00122437">
      <w:pPr>
        <w:pStyle w:val="Ttulo4"/>
        <w:spacing w:line="276" w:lineRule="auto"/>
        <w:jc w:val="both"/>
        <w:rPr>
          <w:rFonts w:ascii="Arial Narrow" w:hAnsi="Arial Narrow"/>
          <w:i w:val="0"/>
          <w:sz w:val="22"/>
          <w:szCs w:val="22"/>
        </w:rPr>
      </w:pPr>
      <w:r w:rsidRPr="00122437">
        <w:rPr>
          <w:rFonts w:ascii="Arial Narrow" w:hAnsi="Arial Narrow"/>
          <w:i w:val="0"/>
          <w:sz w:val="22"/>
          <w:szCs w:val="22"/>
        </w:rPr>
        <w:t>Por Jeffrey J. Guevara Corzo</w:t>
      </w:r>
    </w:p>
    <w:p w14:paraId="2DF35EEF" w14:textId="77777777" w:rsidR="00122437" w:rsidRPr="00122437" w:rsidRDefault="00122437" w:rsidP="00122437"/>
    <w:p w14:paraId="38DF857C" w14:textId="521D41F1" w:rsidR="6847C375" w:rsidRPr="00122437" w:rsidRDefault="2A013394" w:rsidP="00122437">
      <w:pPr>
        <w:pStyle w:val="Ttulo2"/>
        <w:numPr>
          <w:ilvl w:val="0"/>
          <w:numId w:val="12"/>
        </w:numPr>
        <w:spacing w:line="276" w:lineRule="auto"/>
        <w:jc w:val="both"/>
        <w:rPr>
          <w:rFonts w:ascii="Arial Narrow" w:eastAsia="Aptos" w:hAnsi="Arial Narrow" w:cs="Aptos"/>
          <w:color w:val="auto"/>
          <w:sz w:val="22"/>
          <w:szCs w:val="22"/>
        </w:rPr>
      </w:pPr>
      <w:r w:rsidRPr="00122437">
        <w:rPr>
          <w:rFonts w:ascii="Arial Narrow" w:hAnsi="Arial Narrow"/>
          <w:sz w:val="22"/>
          <w:szCs w:val="22"/>
        </w:rPr>
        <w:t>Justificación</w:t>
      </w:r>
    </w:p>
    <w:p w14:paraId="267970A8" w14:textId="2B352D69" w:rsidR="2B275BF6" w:rsidRPr="00122437" w:rsidRDefault="2B275BF6" w:rsidP="00122437">
      <w:pPr>
        <w:spacing w:before="240" w:after="240" w:line="276" w:lineRule="auto"/>
        <w:jc w:val="both"/>
        <w:rPr>
          <w:rFonts w:ascii="Arial Narrow" w:eastAsia="Aptos" w:hAnsi="Arial Narrow" w:cs="Aptos"/>
          <w:sz w:val="22"/>
          <w:szCs w:val="22"/>
        </w:rPr>
      </w:pPr>
      <w:r w:rsidRPr="00122437">
        <w:rPr>
          <w:rFonts w:ascii="Arial Narrow" w:eastAsia="Aptos" w:hAnsi="Arial Narrow" w:cs="Aptos"/>
          <w:sz w:val="22"/>
          <w:szCs w:val="22"/>
        </w:rPr>
        <w:t xml:space="preserve">La ingeniería civil, y en particular la ingeniería estructural, desempeña un papel fundamental en la seguridad, funcionalidad y sostenibilidad de las infraestructuras que soportan </w:t>
      </w:r>
      <w:r w:rsidR="003647B0" w:rsidRPr="00122437">
        <w:rPr>
          <w:rFonts w:ascii="Arial Narrow" w:eastAsia="Aptos" w:hAnsi="Arial Narrow" w:cs="Aptos"/>
          <w:sz w:val="22"/>
          <w:szCs w:val="22"/>
        </w:rPr>
        <w:t xml:space="preserve">el desarrollo de la sociedad </w:t>
      </w:r>
      <w:sdt>
        <w:sdtPr>
          <w:rPr>
            <w:rFonts w:ascii="Arial Narrow" w:eastAsia="Aptos" w:hAnsi="Arial Narrow" w:cs="Aptos"/>
            <w:sz w:val="22"/>
            <w:szCs w:val="22"/>
          </w:rPr>
          <w:id w:val="1011331189"/>
          <w:citation/>
        </w:sdtPr>
        <w:sdtEndPr/>
        <w:sdtContent>
          <w:r w:rsidR="003647B0" w:rsidRPr="00122437">
            <w:rPr>
              <w:rFonts w:ascii="Arial Narrow" w:eastAsia="Aptos" w:hAnsi="Arial Narrow" w:cs="Aptos"/>
              <w:sz w:val="22"/>
              <w:szCs w:val="22"/>
            </w:rPr>
            <w:fldChar w:fldCharType="begin"/>
          </w:r>
          <w:r w:rsidR="003647B0" w:rsidRPr="00122437">
            <w:rPr>
              <w:rFonts w:ascii="Arial Narrow" w:eastAsia="Aptos" w:hAnsi="Arial Narrow" w:cs="Aptos"/>
              <w:sz w:val="22"/>
              <w:szCs w:val="22"/>
            </w:rPr>
            <w:instrText xml:space="preserve"> CITATION Kun11 \l 3082 </w:instrText>
          </w:r>
          <w:r w:rsidR="003647B0" w:rsidRPr="00122437">
            <w:rPr>
              <w:rFonts w:ascii="Arial Narrow" w:eastAsia="Aptos" w:hAnsi="Arial Narrow" w:cs="Aptos"/>
              <w:sz w:val="22"/>
              <w:szCs w:val="22"/>
            </w:rPr>
            <w:fldChar w:fldCharType="separate"/>
          </w:r>
          <w:r w:rsidR="0091357C" w:rsidRPr="00122437">
            <w:rPr>
              <w:rFonts w:ascii="Arial Narrow" w:eastAsia="Aptos" w:hAnsi="Arial Narrow" w:cs="Aptos"/>
              <w:noProof/>
              <w:sz w:val="22"/>
              <w:szCs w:val="22"/>
            </w:rPr>
            <w:t>[1]</w:t>
          </w:r>
          <w:r w:rsidR="003647B0" w:rsidRPr="00122437">
            <w:rPr>
              <w:rFonts w:ascii="Arial Narrow" w:eastAsia="Aptos" w:hAnsi="Arial Narrow" w:cs="Aptos"/>
              <w:sz w:val="22"/>
              <w:szCs w:val="22"/>
            </w:rPr>
            <w:fldChar w:fldCharType="end"/>
          </w:r>
        </w:sdtContent>
      </w:sdt>
      <w:r w:rsidRPr="00122437">
        <w:rPr>
          <w:rFonts w:ascii="Arial Narrow" w:eastAsia="Aptos" w:hAnsi="Arial Narrow" w:cs="Aptos"/>
          <w:sz w:val="22"/>
          <w:szCs w:val="22"/>
        </w:rPr>
        <w:t>. Las decisiones tomadas en el análisis y diseño de estructuras tienen implicaciones directas sobre la vida de las personas, la resiliencia de las ciudades y la capacidad de respuesta ante eventos extremos, lo que posiciona a esta disciplina como un componente clave en los retos contemporáneos asociados al desarrollo sostenib</w:t>
      </w:r>
      <w:r w:rsidR="003647B0" w:rsidRPr="00122437">
        <w:rPr>
          <w:rFonts w:ascii="Arial Narrow" w:eastAsia="Aptos" w:hAnsi="Arial Narrow" w:cs="Aptos"/>
          <w:sz w:val="22"/>
          <w:szCs w:val="22"/>
        </w:rPr>
        <w:t xml:space="preserve">le y la gestión del riesgo </w:t>
      </w:r>
      <w:sdt>
        <w:sdtPr>
          <w:rPr>
            <w:rFonts w:ascii="Arial Narrow" w:eastAsia="Aptos" w:hAnsi="Arial Narrow" w:cs="Aptos"/>
            <w:sz w:val="22"/>
            <w:szCs w:val="22"/>
          </w:rPr>
          <w:id w:val="-713190460"/>
          <w:citation/>
        </w:sdtPr>
        <w:sdtEndPr/>
        <w:sdtContent>
          <w:r w:rsidR="003647B0" w:rsidRPr="00122437">
            <w:rPr>
              <w:rFonts w:ascii="Arial Narrow" w:eastAsia="Aptos" w:hAnsi="Arial Narrow" w:cs="Aptos"/>
              <w:sz w:val="22"/>
              <w:szCs w:val="22"/>
            </w:rPr>
            <w:fldChar w:fldCharType="begin"/>
          </w:r>
          <w:r w:rsidR="003647B0" w:rsidRPr="00122437">
            <w:rPr>
              <w:rFonts w:ascii="Arial Narrow" w:eastAsia="Aptos" w:hAnsi="Arial Narrow" w:cs="Aptos"/>
              <w:sz w:val="22"/>
              <w:szCs w:val="22"/>
            </w:rPr>
            <w:instrText xml:space="preserve"> CITATION Kun11 \l 3082  \m Zaq25</w:instrText>
          </w:r>
          <w:r w:rsidR="003647B0" w:rsidRPr="00122437">
            <w:rPr>
              <w:rFonts w:ascii="Arial Narrow" w:eastAsia="Aptos" w:hAnsi="Arial Narrow" w:cs="Aptos"/>
              <w:sz w:val="22"/>
              <w:szCs w:val="22"/>
            </w:rPr>
            <w:fldChar w:fldCharType="separate"/>
          </w:r>
          <w:r w:rsidR="0091357C" w:rsidRPr="00122437">
            <w:rPr>
              <w:rFonts w:ascii="Arial Narrow" w:eastAsia="Aptos" w:hAnsi="Arial Narrow" w:cs="Aptos"/>
              <w:noProof/>
              <w:sz w:val="22"/>
              <w:szCs w:val="22"/>
            </w:rPr>
            <w:t>[1, 2]</w:t>
          </w:r>
          <w:r w:rsidR="003647B0" w:rsidRPr="00122437">
            <w:rPr>
              <w:rFonts w:ascii="Arial Narrow" w:eastAsia="Aptos" w:hAnsi="Arial Narrow" w:cs="Aptos"/>
              <w:sz w:val="22"/>
              <w:szCs w:val="22"/>
            </w:rPr>
            <w:fldChar w:fldCharType="end"/>
          </w:r>
        </w:sdtContent>
      </w:sdt>
      <w:r w:rsidRPr="00122437">
        <w:rPr>
          <w:rFonts w:ascii="Arial Narrow" w:eastAsia="Aptos" w:hAnsi="Arial Narrow" w:cs="Aptos"/>
          <w:sz w:val="22"/>
          <w:szCs w:val="22"/>
        </w:rPr>
        <w:t>. En este sentido, el ejercicio profesional del ingeniero estructural implica una responsabilidad técnica y ética de alto nivel, especialmente en contextos donde las condiciones de riesgo son significativas.</w:t>
      </w:r>
    </w:p>
    <w:p w14:paraId="1B740AC0" w14:textId="79E72563" w:rsidR="2B275BF6" w:rsidRPr="00122437" w:rsidRDefault="2B275BF6" w:rsidP="00122437">
      <w:pPr>
        <w:spacing w:before="240" w:after="240" w:line="276" w:lineRule="auto"/>
        <w:jc w:val="both"/>
        <w:rPr>
          <w:rFonts w:ascii="Arial Narrow" w:eastAsia="Aptos" w:hAnsi="Arial Narrow" w:cs="Aptos"/>
          <w:sz w:val="22"/>
          <w:szCs w:val="22"/>
        </w:rPr>
      </w:pPr>
      <w:r w:rsidRPr="00122437">
        <w:rPr>
          <w:rFonts w:ascii="Arial Narrow" w:eastAsia="Aptos" w:hAnsi="Arial Narrow" w:cs="Aptos"/>
          <w:sz w:val="22"/>
          <w:szCs w:val="22"/>
        </w:rPr>
        <w:t xml:space="preserve">El caso colombiano representa un escenario particularmente exigente. El país se encuentra ubicado en una región geológicamente compleja, </w:t>
      </w:r>
      <w:r w:rsidR="00122437">
        <w:rPr>
          <w:rFonts w:ascii="Arial Narrow" w:eastAsia="Aptos" w:hAnsi="Arial Narrow" w:cs="Aptos"/>
          <w:sz w:val="22"/>
          <w:szCs w:val="22"/>
        </w:rPr>
        <w:t xml:space="preserve">donde aproximadamente el 83% de la población se encuentra </w:t>
      </w:r>
      <w:r w:rsidRPr="00122437">
        <w:rPr>
          <w:rFonts w:ascii="Arial Narrow" w:eastAsia="Aptos" w:hAnsi="Arial Narrow" w:cs="Aptos"/>
          <w:sz w:val="22"/>
          <w:szCs w:val="22"/>
        </w:rPr>
        <w:t xml:space="preserve">en zonas </w:t>
      </w:r>
      <w:r w:rsidR="003F061F">
        <w:rPr>
          <w:rFonts w:ascii="Arial Narrow" w:eastAsia="Aptos" w:hAnsi="Arial Narrow" w:cs="Aptos"/>
          <w:sz w:val="22"/>
          <w:szCs w:val="22"/>
        </w:rPr>
        <w:t xml:space="preserve">de amenaza sísmica media y alta; esto ha impulsado el </w:t>
      </w:r>
      <w:r w:rsidRPr="00122437">
        <w:rPr>
          <w:rFonts w:ascii="Arial Narrow" w:eastAsia="Aptos" w:hAnsi="Arial Narrow" w:cs="Aptos"/>
          <w:sz w:val="22"/>
          <w:szCs w:val="22"/>
        </w:rPr>
        <w:t xml:space="preserve">desarrollo de marcos normativos como la NSR-10, </w:t>
      </w:r>
      <w:r w:rsidR="003F061F">
        <w:rPr>
          <w:rFonts w:ascii="Arial Narrow" w:eastAsia="Aptos" w:hAnsi="Arial Narrow" w:cs="Aptos"/>
          <w:sz w:val="22"/>
          <w:szCs w:val="22"/>
        </w:rPr>
        <w:t xml:space="preserve">los cuales están </w:t>
      </w:r>
      <w:r w:rsidRPr="00122437">
        <w:rPr>
          <w:rFonts w:ascii="Arial Narrow" w:eastAsia="Aptos" w:hAnsi="Arial Narrow" w:cs="Aptos"/>
          <w:sz w:val="22"/>
          <w:szCs w:val="22"/>
        </w:rPr>
        <w:t>orientados a garantizar la seguridad estr</w:t>
      </w:r>
      <w:r w:rsidR="00792589" w:rsidRPr="00122437">
        <w:rPr>
          <w:rFonts w:ascii="Arial Narrow" w:eastAsia="Aptos" w:hAnsi="Arial Narrow" w:cs="Aptos"/>
          <w:sz w:val="22"/>
          <w:szCs w:val="22"/>
        </w:rPr>
        <w:t xml:space="preserve">uctural de las edificaciones </w:t>
      </w:r>
      <w:sdt>
        <w:sdtPr>
          <w:rPr>
            <w:rFonts w:ascii="Arial Narrow" w:eastAsia="Aptos" w:hAnsi="Arial Narrow" w:cs="Aptos"/>
            <w:sz w:val="22"/>
            <w:szCs w:val="22"/>
          </w:rPr>
          <w:id w:val="-753286135"/>
          <w:citation/>
        </w:sdtPr>
        <w:sdtEndPr/>
        <w:sdtContent>
          <w:r w:rsidR="00792589" w:rsidRPr="00122437">
            <w:rPr>
              <w:rFonts w:ascii="Arial Narrow" w:eastAsia="Aptos" w:hAnsi="Arial Narrow" w:cs="Aptos"/>
              <w:sz w:val="22"/>
              <w:szCs w:val="22"/>
            </w:rPr>
            <w:fldChar w:fldCharType="begin"/>
          </w:r>
          <w:r w:rsidR="00792589" w:rsidRPr="00122437">
            <w:rPr>
              <w:rFonts w:ascii="Arial Narrow" w:eastAsia="Aptos" w:hAnsi="Arial Narrow" w:cs="Aptos"/>
              <w:sz w:val="22"/>
              <w:szCs w:val="22"/>
            </w:rPr>
            <w:instrText xml:space="preserve"> CITATION Min10 \l 3082 </w:instrText>
          </w:r>
          <w:r w:rsidR="00792589" w:rsidRPr="00122437">
            <w:rPr>
              <w:rFonts w:ascii="Arial Narrow" w:eastAsia="Aptos" w:hAnsi="Arial Narrow" w:cs="Aptos"/>
              <w:sz w:val="22"/>
              <w:szCs w:val="22"/>
            </w:rPr>
            <w:fldChar w:fldCharType="separate"/>
          </w:r>
          <w:r w:rsidR="0091357C" w:rsidRPr="00122437">
            <w:rPr>
              <w:rFonts w:ascii="Arial Narrow" w:eastAsia="Aptos" w:hAnsi="Arial Narrow" w:cs="Aptos"/>
              <w:noProof/>
              <w:sz w:val="22"/>
              <w:szCs w:val="22"/>
            </w:rPr>
            <w:t>[3]</w:t>
          </w:r>
          <w:r w:rsidR="00792589" w:rsidRPr="00122437">
            <w:rPr>
              <w:rFonts w:ascii="Arial Narrow" w:eastAsia="Aptos" w:hAnsi="Arial Narrow" w:cs="Aptos"/>
              <w:sz w:val="22"/>
              <w:szCs w:val="22"/>
            </w:rPr>
            <w:fldChar w:fldCharType="end"/>
          </w:r>
        </w:sdtContent>
      </w:sdt>
      <w:r w:rsidRPr="00122437">
        <w:rPr>
          <w:rFonts w:ascii="Arial Narrow" w:eastAsia="Aptos" w:hAnsi="Arial Narrow" w:cs="Aptos"/>
          <w:sz w:val="22"/>
          <w:szCs w:val="22"/>
        </w:rPr>
        <w:t xml:space="preserve">. No obstante, la evaluación del riesgo sísmico no depende únicamente de la amenaza, sino también de la vulnerabilidad estructural y la exposición, lo que implica la necesidad de herramientas más avanzadas para su adecuada caracterización. Estudios recientes han evidenciado que la estimación rigurosa de la vulnerabilidad estructural es un aspecto crítico en la toma de decisiones, ya que evaluaciones simplificadas pueden conducir a interpretaciones inadecuadas del comportamiento estructural y, en consecuencia, a diseños </w:t>
      </w:r>
      <w:proofErr w:type="spellStart"/>
      <w:r w:rsidRPr="00122437">
        <w:rPr>
          <w:rFonts w:ascii="Arial Narrow" w:eastAsia="Aptos" w:hAnsi="Arial Narrow" w:cs="Aptos"/>
          <w:sz w:val="22"/>
          <w:szCs w:val="22"/>
        </w:rPr>
        <w:t>subóptimos</w:t>
      </w:r>
      <w:proofErr w:type="spellEnd"/>
      <w:r w:rsidRPr="00122437">
        <w:rPr>
          <w:rFonts w:ascii="Arial Narrow" w:eastAsia="Aptos" w:hAnsi="Arial Narrow" w:cs="Aptos"/>
          <w:sz w:val="22"/>
          <w:szCs w:val="22"/>
        </w:rPr>
        <w:t xml:space="preserve"> o inseguros</w:t>
      </w:r>
      <w:r w:rsidR="00A310D6" w:rsidRPr="00122437">
        <w:rPr>
          <w:rFonts w:ascii="Arial Narrow" w:eastAsia="Aptos" w:hAnsi="Arial Narrow" w:cs="Aptos"/>
          <w:sz w:val="22"/>
          <w:szCs w:val="22"/>
        </w:rPr>
        <w:t xml:space="preserve"> </w:t>
      </w:r>
      <w:sdt>
        <w:sdtPr>
          <w:rPr>
            <w:rFonts w:ascii="Arial Narrow" w:eastAsia="Aptos" w:hAnsi="Arial Narrow" w:cs="Aptos"/>
            <w:sz w:val="22"/>
            <w:szCs w:val="22"/>
          </w:rPr>
          <w:id w:val="-1951767349"/>
          <w:citation/>
        </w:sdtPr>
        <w:sdtEndPr/>
        <w:sdtContent>
          <w:r w:rsidR="00A310D6" w:rsidRPr="00122437">
            <w:rPr>
              <w:rFonts w:ascii="Arial Narrow" w:eastAsia="Aptos" w:hAnsi="Arial Narrow" w:cs="Aptos"/>
              <w:sz w:val="22"/>
              <w:szCs w:val="22"/>
            </w:rPr>
            <w:fldChar w:fldCharType="begin"/>
          </w:r>
          <w:r w:rsidR="0091357C" w:rsidRPr="00122437">
            <w:rPr>
              <w:rFonts w:ascii="Arial Narrow" w:eastAsia="Aptos" w:hAnsi="Arial Narrow" w:cs="Aptos"/>
              <w:sz w:val="22"/>
              <w:szCs w:val="22"/>
            </w:rPr>
            <w:instrText xml:space="preserve">CITATION Sal14 \m Lar21 \m Aso23 \l 3082 </w:instrText>
          </w:r>
          <w:r w:rsidR="00A310D6" w:rsidRPr="00122437">
            <w:rPr>
              <w:rFonts w:ascii="Arial Narrow" w:eastAsia="Aptos" w:hAnsi="Arial Narrow" w:cs="Aptos"/>
              <w:sz w:val="22"/>
              <w:szCs w:val="22"/>
            </w:rPr>
            <w:fldChar w:fldCharType="separate"/>
          </w:r>
          <w:r w:rsidR="0091357C" w:rsidRPr="00122437">
            <w:rPr>
              <w:rFonts w:ascii="Arial Narrow" w:eastAsia="Aptos" w:hAnsi="Arial Narrow" w:cs="Aptos"/>
              <w:noProof/>
              <w:sz w:val="22"/>
              <w:szCs w:val="22"/>
            </w:rPr>
            <w:t>[4, 5, 6]</w:t>
          </w:r>
          <w:r w:rsidR="00A310D6" w:rsidRPr="00122437">
            <w:rPr>
              <w:rFonts w:ascii="Arial Narrow" w:eastAsia="Aptos" w:hAnsi="Arial Narrow" w:cs="Aptos"/>
              <w:sz w:val="22"/>
              <w:szCs w:val="22"/>
            </w:rPr>
            <w:fldChar w:fldCharType="end"/>
          </w:r>
        </w:sdtContent>
      </w:sdt>
      <w:r w:rsidRPr="00122437">
        <w:rPr>
          <w:rFonts w:ascii="Arial Narrow" w:eastAsia="Aptos" w:hAnsi="Arial Narrow" w:cs="Aptos"/>
          <w:sz w:val="22"/>
          <w:szCs w:val="22"/>
        </w:rPr>
        <w:t>.</w:t>
      </w:r>
    </w:p>
    <w:p w14:paraId="043F7691" w14:textId="63DE28DF" w:rsidR="2B275BF6" w:rsidRPr="00122437" w:rsidRDefault="2B275BF6" w:rsidP="00122437">
      <w:pPr>
        <w:spacing w:before="240" w:after="240" w:line="276" w:lineRule="auto"/>
        <w:jc w:val="both"/>
        <w:rPr>
          <w:rFonts w:ascii="Arial Narrow" w:eastAsia="Aptos" w:hAnsi="Arial Narrow" w:cs="Aptos"/>
          <w:sz w:val="22"/>
          <w:szCs w:val="22"/>
        </w:rPr>
      </w:pPr>
      <w:r w:rsidRPr="00122437">
        <w:rPr>
          <w:rFonts w:ascii="Arial Narrow" w:eastAsia="Aptos" w:hAnsi="Arial Narrow" w:cs="Aptos"/>
          <w:sz w:val="22"/>
          <w:szCs w:val="22"/>
        </w:rPr>
        <w:t>En este contexto, los enfoques tradicionales de análisis estructural, basados principalmente en modelos lineales y procedimientos normativos simplificados, resultan limitados frente a la complejidad de los sistemas estructurales modernos. El análisis no lineal, tanto estático como dinámico, se ha consolidado como una herramienta fundamental para comprender el comportamiento real de las estructuras, particularmente en el rango inelástico, donde se desarrollan mecanismos de disipación de energía esenciale</w:t>
      </w:r>
      <w:r w:rsidR="00A310D6" w:rsidRPr="00122437">
        <w:rPr>
          <w:rFonts w:ascii="Arial Narrow" w:eastAsia="Aptos" w:hAnsi="Arial Narrow" w:cs="Aptos"/>
          <w:sz w:val="22"/>
          <w:szCs w:val="22"/>
        </w:rPr>
        <w:t xml:space="preserve">s para el desempeño sísmico </w:t>
      </w:r>
      <w:sdt>
        <w:sdtPr>
          <w:rPr>
            <w:rFonts w:ascii="Arial Narrow" w:eastAsia="Aptos" w:hAnsi="Arial Narrow" w:cs="Aptos"/>
            <w:sz w:val="22"/>
            <w:szCs w:val="22"/>
          </w:rPr>
          <w:id w:val="1233663411"/>
          <w:citation/>
        </w:sdtPr>
        <w:sdtEndPr/>
        <w:sdtContent>
          <w:r w:rsidR="00A310D6" w:rsidRPr="00122437">
            <w:rPr>
              <w:rFonts w:ascii="Arial Narrow" w:eastAsia="Aptos" w:hAnsi="Arial Narrow" w:cs="Aptos"/>
              <w:sz w:val="22"/>
              <w:szCs w:val="22"/>
            </w:rPr>
            <w:fldChar w:fldCharType="begin"/>
          </w:r>
          <w:r w:rsidR="00A310D6" w:rsidRPr="00122437">
            <w:rPr>
              <w:rFonts w:ascii="Arial Narrow" w:eastAsia="Aptos" w:hAnsi="Arial Narrow" w:cs="Aptos"/>
              <w:sz w:val="22"/>
              <w:szCs w:val="22"/>
            </w:rPr>
            <w:instrText xml:space="preserve"> CITATION Hem08 \l 3082 </w:instrText>
          </w:r>
          <w:r w:rsidR="00A310D6" w:rsidRPr="00122437">
            <w:rPr>
              <w:rFonts w:ascii="Arial Narrow" w:eastAsia="Aptos" w:hAnsi="Arial Narrow" w:cs="Aptos"/>
              <w:sz w:val="22"/>
              <w:szCs w:val="22"/>
            </w:rPr>
            <w:fldChar w:fldCharType="separate"/>
          </w:r>
          <w:r w:rsidR="0091357C" w:rsidRPr="00122437">
            <w:rPr>
              <w:rFonts w:ascii="Arial Narrow" w:eastAsia="Aptos" w:hAnsi="Arial Narrow" w:cs="Aptos"/>
              <w:noProof/>
              <w:sz w:val="22"/>
              <w:szCs w:val="22"/>
            </w:rPr>
            <w:t>[7]</w:t>
          </w:r>
          <w:r w:rsidR="00A310D6" w:rsidRPr="00122437">
            <w:rPr>
              <w:rFonts w:ascii="Arial Narrow" w:eastAsia="Aptos" w:hAnsi="Arial Narrow" w:cs="Aptos"/>
              <w:sz w:val="22"/>
              <w:szCs w:val="22"/>
            </w:rPr>
            <w:fldChar w:fldCharType="end"/>
          </w:r>
        </w:sdtContent>
      </w:sdt>
      <w:r w:rsidRPr="00122437">
        <w:rPr>
          <w:rFonts w:ascii="Arial Narrow" w:eastAsia="Aptos" w:hAnsi="Arial Narrow" w:cs="Aptos"/>
          <w:sz w:val="22"/>
          <w:szCs w:val="22"/>
        </w:rPr>
        <w:t xml:space="preserve">. Metodologías como el análisis </w:t>
      </w:r>
      <w:proofErr w:type="spellStart"/>
      <w:r w:rsidRPr="00122437">
        <w:rPr>
          <w:rFonts w:ascii="Arial Narrow" w:eastAsia="Aptos" w:hAnsi="Arial Narrow" w:cs="Aptos"/>
          <w:sz w:val="22"/>
          <w:szCs w:val="22"/>
        </w:rPr>
        <w:t>pushover</w:t>
      </w:r>
      <w:proofErr w:type="spellEnd"/>
      <w:r w:rsidRPr="00122437">
        <w:rPr>
          <w:rFonts w:ascii="Arial Narrow" w:eastAsia="Aptos" w:hAnsi="Arial Narrow" w:cs="Aptos"/>
          <w:sz w:val="22"/>
          <w:szCs w:val="22"/>
        </w:rPr>
        <w:t xml:space="preserve"> o el análisis dinámico no lineal permiten aproximaciones más realistas al comportamiento estructural, facilitando la estimación de la capacidad, la ductilidad y los mecanismos de falla, y constituyen la base de enfoques modernos de diseño basado en desempeño</w:t>
      </w:r>
      <w:r w:rsidR="00A310D6" w:rsidRPr="00122437">
        <w:rPr>
          <w:rFonts w:ascii="Arial Narrow" w:eastAsia="Aptos" w:hAnsi="Arial Narrow" w:cs="Aptos"/>
          <w:sz w:val="22"/>
          <w:szCs w:val="22"/>
        </w:rPr>
        <w:t xml:space="preserve"> </w:t>
      </w:r>
      <w:sdt>
        <w:sdtPr>
          <w:rPr>
            <w:rFonts w:ascii="Arial Narrow" w:eastAsia="Aptos" w:hAnsi="Arial Narrow" w:cs="Aptos"/>
            <w:sz w:val="22"/>
            <w:szCs w:val="22"/>
          </w:rPr>
          <w:id w:val="-134112808"/>
          <w:citation/>
        </w:sdtPr>
        <w:sdtEndPr/>
        <w:sdtContent>
          <w:r w:rsidR="00A310D6" w:rsidRPr="00122437">
            <w:rPr>
              <w:rFonts w:ascii="Arial Narrow" w:eastAsia="Aptos" w:hAnsi="Arial Narrow" w:cs="Aptos"/>
              <w:sz w:val="22"/>
              <w:szCs w:val="22"/>
            </w:rPr>
            <w:fldChar w:fldCharType="begin"/>
          </w:r>
          <w:r w:rsidR="00A310D6" w:rsidRPr="00122437">
            <w:rPr>
              <w:rFonts w:ascii="Arial Narrow" w:eastAsia="Aptos" w:hAnsi="Arial Narrow" w:cs="Aptos"/>
              <w:sz w:val="22"/>
              <w:szCs w:val="22"/>
            </w:rPr>
            <w:instrText xml:space="preserve"> CITATION Goe04 \l 3082  \m Zeb22 \m Kra98</w:instrText>
          </w:r>
          <w:r w:rsidR="00A310D6" w:rsidRPr="00122437">
            <w:rPr>
              <w:rFonts w:ascii="Arial Narrow" w:eastAsia="Aptos" w:hAnsi="Arial Narrow" w:cs="Aptos"/>
              <w:sz w:val="22"/>
              <w:szCs w:val="22"/>
            </w:rPr>
            <w:fldChar w:fldCharType="separate"/>
          </w:r>
          <w:r w:rsidR="0091357C" w:rsidRPr="00122437">
            <w:rPr>
              <w:rFonts w:ascii="Arial Narrow" w:eastAsia="Aptos" w:hAnsi="Arial Narrow" w:cs="Aptos"/>
              <w:noProof/>
              <w:sz w:val="22"/>
              <w:szCs w:val="22"/>
            </w:rPr>
            <w:t>[8, 9, 10]</w:t>
          </w:r>
          <w:r w:rsidR="00A310D6" w:rsidRPr="00122437">
            <w:rPr>
              <w:rFonts w:ascii="Arial Narrow" w:eastAsia="Aptos" w:hAnsi="Arial Narrow" w:cs="Aptos"/>
              <w:sz w:val="22"/>
              <w:szCs w:val="22"/>
            </w:rPr>
            <w:fldChar w:fldCharType="end"/>
          </w:r>
        </w:sdtContent>
      </w:sdt>
      <w:r w:rsidRPr="00122437">
        <w:rPr>
          <w:rFonts w:ascii="Arial Narrow" w:eastAsia="Aptos" w:hAnsi="Arial Narrow" w:cs="Aptos"/>
          <w:sz w:val="22"/>
          <w:szCs w:val="22"/>
        </w:rPr>
        <w:t>.</w:t>
      </w:r>
    </w:p>
    <w:p w14:paraId="2574EE80" w14:textId="46BDC0BF" w:rsidR="2B275BF6" w:rsidRPr="00122437" w:rsidRDefault="2B275BF6" w:rsidP="00122437">
      <w:pPr>
        <w:spacing w:before="240" w:after="240" w:line="276" w:lineRule="auto"/>
        <w:jc w:val="both"/>
        <w:rPr>
          <w:rFonts w:ascii="Arial Narrow" w:eastAsia="Aptos" w:hAnsi="Arial Narrow" w:cs="Aptos"/>
          <w:sz w:val="22"/>
          <w:szCs w:val="22"/>
        </w:rPr>
      </w:pPr>
      <w:r w:rsidRPr="00122437">
        <w:rPr>
          <w:rFonts w:ascii="Arial Narrow" w:eastAsia="Aptos" w:hAnsi="Arial Narrow" w:cs="Aptos"/>
          <w:sz w:val="22"/>
          <w:szCs w:val="22"/>
        </w:rPr>
        <w:t>Paralelamente, la ingeniería estructural atraviesa un cambio de paradigma impulsado por el avance de las capacidades computacionales y el desarrollo de herramientas numéricas sofisticadas. La disponibilidad de métodos como el método de los elementos finitos, junto con el acceso a lenguajes de programación y entornos de simulación, ha transformado la manera en que se analiz</w:t>
      </w:r>
      <w:r w:rsidR="00A310D6" w:rsidRPr="00122437">
        <w:rPr>
          <w:rFonts w:ascii="Arial Narrow" w:eastAsia="Aptos" w:hAnsi="Arial Narrow" w:cs="Aptos"/>
          <w:sz w:val="22"/>
          <w:szCs w:val="22"/>
        </w:rPr>
        <w:t xml:space="preserve">an y diseñan las estructuras </w:t>
      </w:r>
      <w:sdt>
        <w:sdtPr>
          <w:rPr>
            <w:rFonts w:ascii="Arial Narrow" w:eastAsia="Aptos" w:hAnsi="Arial Narrow" w:cs="Aptos"/>
            <w:sz w:val="22"/>
            <w:szCs w:val="22"/>
          </w:rPr>
          <w:id w:val="-262990246"/>
          <w:citation/>
        </w:sdtPr>
        <w:sdtEndPr/>
        <w:sdtContent>
          <w:r w:rsidR="00A310D6" w:rsidRPr="00122437">
            <w:rPr>
              <w:rFonts w:ascii="Arial Narrow" w:eastAsia="Aptos" w:hAnsi="Arial Narrow" w:cs="Aptos"/>
              <w:sz w:val="22"/>
              <w:szCs w:val="22"/>
            </w:rPr>
            <w:fldChar w:fldCharType="begin"/>
          </w:r>
          <w:r w:rsidR="00A310D6" w:rsidRPr="00122437">
            <w:rPr>
              <w:rFonts w:ascii="Arial Narrow" w:eastAsia="Aptos" w:hAnsi="Arial Narrow" w:cs="Aptos"/>
              <w:sz w:val="22"/>
              <w:szCs w:val="22"/>
            </w:rPr>
            <w:instrText xml:space="preserve"> CITATION Jos23 \l 3082 </w:instrText>
          </w:r>
          <w:r w:rsidR="00A310D6" w:rsidRPr="00122437">
            <w:rPr>
              <w:rFonts w:ascii="Arial Narrow" w:eastAsia="Aptos" w:hAnsi="Arial Narrow" w:cs="Aptos"/>
              <w:sz w:val="22"/>
              <w:szCs w:val="22"/>
            </w:rPr>
            <w:fldChar w:fldCharType="separate"/>
          </w:r>
          <w:r w:rsidR="0091357C" w:rsidRPr="00122437">
            <w:rPr>
              <w:rFonts w:ascii="Arial Narrow" w:eastAsia="Aptos" w:hAnsi="Arial Narrow" w:cs="Aptos"/>
              <w:noProof/>
              <w:sz w:val="22"/>
              <w:szCs w:val="22"/>
            </w:rPr>
            <w:t>[11]</w:t>
          </w:r>
          <w:r w:rsidR="00A310D6" w:rsidRPr="00122437">
            <w:rPr>
              <w:rFonts w:ascii="Arial Narrow" w:eastAsia="Aptos" w:hAnsi="Arial Narrow" w:cs="Aptos"/>
              <w:sz w:val="22"/>
              <w:szCs w:val="22"/>
            </w:rPr>
            <w:fldChar w:fldCharType="end"/>
          </w:r>
        </w:sdtContent>
      </w:sdt>
      <w:r w:rsidRPr="00122437">
        <w:rPr>
          <w:rFonts w:ascii="Arial Narrow" w:eastAsia="Aptos" w:hAnsi="Arial Narrow" w:cs="Aptos"/>
          <w:sz w:val="22"/>
          <w:szCs w:val="22"/>
        </w:rPr>
        <w:t>. Este escenario exige la formación de ingenieros capaces no solo de utilizar herramientas comerciales, sino de comprender, implementar y validar modelos numéricos que representen de manera adecuada los fenómenos físicos involucrados.</w:t>
      </w:r>
    </w:p>
    <w:p w14:paraId="361844B9" w14:textId="22152A20" w:rsidR="2B275BF6" w:rsidRPr="00122437" w:rsidRDefault="2B275BF6" w:rsidP="00122437">
      <w:pPr>
        <w:spacing w:before="240" w:after="240" w:line="276" w:lineRule="auto"/>
        <w:jc w:val="both"/>
        <w:rPr>
          <w:rFonts w:ascii="Arial Narrow" w:eastAsia="Aptos" w:hAnsi="Arial Narrow" w:cs="Aptos"/>
          <w:sz w:val="22"/>
          <w:szCs w:val="22"/>
        </w:rPr>
      </w:pPr>
      <w:r w:rsidRPr="00122437">
        <w:rPr>
          <w:rFonts w:ascii="Arial Narrow" w:eastAsia="Aptos" w:hAnsi="Arial Narrow" w:cs="Aptos"/>
          <w:sz w:val="22"/>
          <w:szCs w:val="22"/>
        </w:rPr>
        <w:t xml:space="preserve">En este nuevo </w:t>
      </w:r>
      <w:r w:rsidR="00633C27">
        <w:rPr>
          <w:rFonts w:ascii="Arial Narrow" w:eastAsia="Aptos" w:hAnsi="Arial Narrow" w:cs="Aptos"/>
          <w:sz w:val="22"/>
          <w:szCs w:val="22"/>
        </w:rPr>
        <w:t>escenario</w:t>
      </w:r>
      <w:r w:rsidRPr="00122437">
        <w:rPr>
          <w:rFonts w:ascii="Arial Narrow" w:eastAsia="Aptos" w:hAnsi="Arial Narrow" w:cs="Aptos"/>
          <w:sz w:val="22"/>
          <w:szCs w:val="22"/>
        </w:rPr>
        <w:t xml:space="preserve">, la formación en ingeniería estructural debe evolucionar hacia un enfoque que integre de manera efectiva el análisis teórico, el modelamiento computacional y la interpretación crítica de resultados. La capacidad de desarrollar herramientas propias, automatizar procesos de análisis y abordar problemas complejos mediante simulación numérica se convierte en una competencia esencial para el ejercicio profesional contemporáneo. Asimismo, la incorporación de técnicas emergentes, como la inteligencia artificial aplicada al </w:t>
      </w:r>
      <w:r w:rsidRPr="00122437">
        <w:rPr>
          <w:rFonts w:ascii="Arial Narrow" w:eastAsia="Aptos" w:hAnsi="Arial Narrow" w:cs="Aptos"/>
          <w:sz w:val="22"/>
          <w:szCs w:val="22"/>
        </w:rPr>
        <w:lastRenderedPageBreak/>
        <w:t>análisis estructural y la optimización del diseño, abre nuevas posibilidades para mejorar la eficiencia y el desempeño de los sistemas estructurales</w:t>
      </w:r>
      <w:r w:rsidR="00A310D6" w:rsidRPr="00122437">
        <w:rPr>
          <w:rFonts w:ascii="Arial Narrow" w:eastAsia="Aptos" w:hAnsi="Arial Narrow" w:cs="Aptos"/>
          <w:sz w:val="22"/>
          <w:szCs w:val="22"/>
        </w:rPr>
        <w:t xml:space="preserve"> </w:t>
      </w:r>
      <w:sdt>
        <w:sdtPr>
          <w:rPr>
            <w:rFonts w:ascii="Arial Narrow" w:eastAsia="Aptos" w:hAnsi="Arial Narrow" w:cs="Aptos"/>
            <w:sz w:val="22"/>
            <w:szCs w:val="22"/>
          </w:rPr>
          <w:id w:val="-968823270"/>
          <w:citation/>
        </w:sdtPr>
        <w:sdtEndPr/>
        <w:sdtContent>
          <w:r w:rsidR="00A310D6" w:rsidRPr="00122437">
            <w:rPr>
              <w:rFonts w:ascii="Arial Narrow" w:eastAsia="Aptos" w:hAnsi="Arial Narrow" w:cs="Aptos"/>
              <w:sz w:val="22"/>
              <w:szCs w:val="22"/>
            </w:rPr>
            <w:fldChar w:fldCharType="begin"/>
          </w:r>
          <w:r w:rsidR="00A310D6" w:rsidRPr="00122437">
            <w:rPr>
              <w:rFonts w:ascii="Arial Narrow" w:eastAsia="Aptos" w:hAnsi="Arial Narrow" w:cs="Aptos"/>
              <w:sz w:val="22"/>
              <w:szCs w:val="22"/>
            </w:rPr>
            <w:instrText xml:space="preserve"> CITATION Zha14 \l 3082  \m Luo17</w:instrText>
          </w:r>
          <w:r w:rsidR="00A310D6" w:rsidRPr="00122437">
            <w:rPr>
              <w:rFonts w:ascii="Arial Narrow" w:eastAsia="Aptos" w:hAnsi="Arial Narrow" w:cs="Aptos"/>
              <w:sz w:val="22"/>
              <w:szCs w:val="22"/>
            </w:rPr>
            <w:fldChar w:fldCharType="separate"/>
          </w:r>
          <w:r w:rsidR="0091357C" w:rsidRPr="00122437">
            <w:rPr>
              <w:rFonts w:ascii="Arial Narrow" w:eastAsia="Aptos" w:hAnsi="Arial Narrow" w:cs="Aptos"/>
              <w:noProof/>
              <w:sz w:val="22"/>
              <w:szCs w:val="22"/>
            </w:rPr>
            <w:t>[12, 13]</w:t>
          </w:r>
          <w:r w:rsidR="00A310D6" w:rsidRPr="00122437">
            <w:rPr>
              <w:rFonts w:ascii="Arial Narrow" w:eastAsia="Aptos" w:hAnsi="Arial Narrow" w:cs="Aptos"/>
              <w:sz w:val="22"/>
              <w:szCs w:val="22"/>
            </w:rPr>
            <w:fldChar w:fldCharType="end"/>
          </w:r>
        </w:sdtContent>
      </w:sdt>
      <w:r w:rsidRPr="00122437">
        <w:rPr>
          <w:rFonts w:ascii="Arial Narrow" w:eastAsia="Aptos" w:hAnsi="Arial Narrow" w:cs="Aptos"/>
          <w:sz w:val="22"/>
          <w:szCs w:val="22"/>
        </w:rPr>
        <w:t>.</w:t>
      </w:r>
    </w:p>
    <w:p w14:paraId="65695319" w14:textId="0BC47711" w:rsidR="2B275BF6" w:rsidRPr="00122437" w:rsidRDefault="5081632D" w:rsidP="00122437">
      <w:pPr>
        <w:spacing w:before="240" w:after="240" w:line="276" w:lineRule="auto"/>
        <w:jc w:val="both"/>
        <w:rPr>
          <w:rFonts w:ascii="Arial Narrow" w:eastAsia="Aptos" w:hAnsi="Arial Narrow" w:cs="Aptos"/>
          <w:sz w:val="22"/>
          <w:szCs w:val="22"/>
        </w:rPr>
      </w:pPr>
      <w:r w:rsidRPr="00122437">
        <w:rPr>
          <w:rFonts w:ascii="Arial Narrow" w:eastAsia="Aptos" w:hAnsi="Arial Narrow" w:cs="Aptos"/>
          <w:sz w:val="22"/>
          <w:szCs w:val="22"/>
        </w:rPr>
        <w:t>Adicionalmente, el desarrollo de materiales no convencionales y sistemas estructurales innovadores introduce una dimensión adicional en el análisis y diseño de estructuras. Materiales como la madera estructural, la tapia pisada y los sistemas híbridos han cobrado relevancia en contextos donde la sostenibilidad y la adaptación a condiciones locales son prioritarias</w:t>
      </w:r>
      <w:r w:rsidR="0091357C" w:rsidRPr="00122437">
        <w:rPr>
          <w:rFonts w:ascii="Arial Narrow" w:eastAsia="Aptos" w:hAnsi="Arial Narrow" w:cs="Aptos"/>
          <w:sz w:val="22"/>
          <w:szCs w:val="22"/>
        </w:rPr>
        <w:t xml:space="preserve"> </w:t>
      </w:r>
      <w:sdt>
        <w:sdtPr>
          <w:rPr>
            <w:rFonts w:ascii="Arial Narrow" w:eastAsia="Aptos" w:hAnsi="Arial Narrow" w:cs="Aptos"/>
            <w:sz w:val="22"/>
            <w:szCs w:val="22"/>
          </w:rPr>
          <w:id w:val="-1897040684"/>
          <w:citation/>
        </w:sdtPr>
        <w:sdtEndPr/>
        <w:sdtContent>
          <w:r w:rsidR="0091357C" w:rsidRPr="00122437">
            <w:rPr>
              <w:rFonts w:ascii="Arial Narrow" w:eastAsia="Aptos" w:hAnsi="Arial Narrow" w:cs="Aptos"/>
              <w:sz w:val="22"/>
              <w:szCs w:val="22"/>
            </w:rPr>
            <w:fldChar w:fldCharType="begin"/>
          </w:r>
          <w:r w:rsidR="0091357C" w:rsidRPr="00122437">
            <w:rPr>
              <w:rFonts w:ascii="Arial Narrow" w:eastAsia="Aptos" w:hAnsi="Arial Narrow" w:cs="Aptos"/>
              <w:sz w:val="22"/>
              <w:szCs w:val="22"/>
            </w:rPr>
            <w:instrText xml:space="preserve"> CITATION Jar22 \l 3082  \m Nie23</w:instrText>
          </w:r>
          <w:r w:rsidR="0091357C" w:rsidRPr="00122437">
            <w:rPr>
              <w:rFonts w:ascii="Arial Narrow" w:eastAsia="Aptos" w:hAnsi="Arial Narrow" w:cs="Aptos"/>
              <w:sz w:val="22"/>
              <w:szCs w:val="22"/>
            </w:rPr>
            <w:fldChar w:fldCharType="separate"/>
          </w:r>
          <w:r w:rsidR="0091357C" w:rsidRPr="00122437">
            <w:rPr>
              <w:rFonts w:ascii="Arial Narrow" w:eastAsia="Aptos" w:hAnsi="Arial Narrow" w:cs="Aptos"/>
              <w:noProof/>
              <w:sz w:val="22"/>
              <w:szCs w:val="22"/>
            </w:rPr>
            <w:t>[14, 15]</w:t>
          </w:r>
          <w:r w:rsidR="0091357C" w:rsidRPr="00122437">
            <w:rPr>
              <w:rFonts w:ascii="Arial Narrow" w:eastAsia="Aptos" w:hAnsi="Arial Narrow" w:cs="Aptos"/>
              <w:sz w:val="22"/>
              <w:szCs w:val="22"/>
            </w:rPr>
            <w:fldChar w:fldCharType="end"/>
          </w:r>
        </w:sdtContent>
      </w:sdt>
      <w:r w:rsidRPr="00122437">
        <w:rPr>
          <w:rFonts w:ascii="Arial Narrow" w:eastAsia="Aptos" w:hAnsi="Arial Narrow" w:cs="Aptos"/>
          <w:sz w:val="22"/>
          <w:szCs w:val="22"/>
        </w:rPr>
        <w:t>.</w:t>
      </w:r>
      <w:r w:rsidR="02C3FEF3" w:rsidRPr="00122437">
        <w:rPr>
          <w:rFonts w:ascii="Arial Narrow" w:eastAsia="Aptos" w:hAnsi="Arial Narrow" w:cs="Aptos"/>
          <w:sz w:val="22"/>
          <w:szCs w:val="22"/>
        </w:rPr>
        <w:t xml:space="preserve"> </w:t>
      </w:r>
      <w:r w:rsidR="13FB4AAB" w:rsidRPr="00122437">
        <w:rPr>
          <w:rFonts w:ascii="Arial Narrow" w:eastAsia="Aptos" w:hAnsi="Arial Narrow" w:cs="Aptos"/>
          <w:sz w:val="22"/>
          <w:szCs w:val="22"/>
        </w:rPr>
        <w:t xml:space="preserve">Por otro </w:t>
      </w:r>
      <w:r w:rsidR="52CB64C1" w:rsidRPr="00122437">
        <w:rPr>
          <w:rFonts w:ascii="Arial Narrow" w:eastAsia="Aptos" w:hAnsi="Arial Narrow" w:cs="Aptos"/>
          <w:sz w:val="22"/>
          <w:szCs w:val="22"/>
        </w:rPr>
        <w:t>lado, también</w:t>
      </w:r>
      <w:r w:rsidR="2F505CD3" w:rsidRPr="00122437">
        <w:rPr>
          <w:rFonts w:ascii="Arial Narrow" w:eastAsia="Aptos" w:hAnsi="Arial Narrow" w:cs="Aptos"/>
          <w:sz w:val="22"/>
          <w:szCs w:val="22"/>
        </w:rPr>
        <w:t xml:space="preserve"> es deseable que la academia mantenga una </w:t>
      </w:r>
      <w:r w:rsidR="393369E0" w:rsidRPr="00122437">
        <w:rPr>
          <w:rFonts w:ascii="Arial Narrow" w:eastAsia="Aptos" w:hAnsi="Arial Narrow" w:cs="Aptos"/>
          <w:sz w:val="22"/>
          <w:szCs w:val="22"/>
        </w:rPr>
        <w:t>participación</w:t>
      </w:r>
      <w:r w:rsidR="2F505CD3" w:rsidRPr="00122437">
        <w:rPr>
          <w:rFonts w:ascii="Arial Narrow" w:eastAsia="Aptos" w:hAnsi="Arial Narrow" w:cs="Aptos"/>
          <w:sz w:val="22"/>
          <w:szCs w:val="22"/>
        </w:rPr>
        <w:t xml:space="preserve"> en el desarrollo y exploración de tecnologías emergentes. En este contexto, los </w:t>
      </w:r>
      <w:proofErr w:type="spellStart"/>
      <w:r w:rsidR="2FDB6349" w:rsidRPr="00FF7623">
        <w:rPr>
          <w:rFonts w:ascii="Arial Narrow" w:eastAsia="Aptos" w:hAnsi="Arial Narrow" w:cs="Aptos"/>
          <w:i/>
          <w:sz w:val="22"/>
          <w:szCs w:val="22"/>
        </w:rPr>
        <w:t>smart</w:t>
      </w:r>
      <w:proofErr w:type="spellEnd"/>
      <w:r w:rsidR="2FDB6349" w:rsidRPr="00FF7623">
        <w:rPr>
          <w:rFonts w:ascii="Arial Narrow" w:eastAsia="Aptos" w:hAnsi="Arial Narrow" w:cs="Aptos"/>
          <w:i/>
          <w:sz w:val="22"/>
          <w:szCs w:val="22"/>
        </w:rPr>
        <w:t xml:space="preserve"> </w:t>
      </w:r>
      <w:proofErr w:type="spellStart"/>
      <w:r w:rsidR="2FDB6349" w:rsidRPr="00FF7623">
        <w:rPr>
          <w:rFonts w:ascii="Arial Narrow" w:eastAsia="Aptos" w:hAnsi="Arial Narrow" w:cs="Aptos"/>
          <w:i/>
          <w:sz w:val="22"/>
          <w:szCs w:val="22"/>
        </w:rPr>
        <w:t>materials</w:t>
      </w:r>
      <w:proofErr w:type="spellEnd"/>
      <w:r w:rsidR="2FDB6349" w:rsidRPr="00122437">
        <w:rPr>
          <w:rFonts w:ascii="Arial Narrow" w:eastAsia="Aptos" w:hAnsi="Arial Narrow" w:cs="Aptos"/>
          <w:sz w:val="22"/>
          <w:szCs w:val="22"/>
        </w:rPr>
        <w:t xml:space="preserve"> o </w:t>
      </w:r>
      <w:proofErr w:type="spellStart"/>
      <w:r w:rsidR="2F505CD3" w:rsidRPr="00122437">
        <w:rPr>
          <w:rFonts w:ascii="Arial Narrow" w:eastAsia="Aptos" w:hAnsi="Arial Narrow" w:cs="Aptos"/>
          <w:sz w:val="22"/>
          <w:szCs w:val="22"/>
        </w:rPr>
        <w:t>metamateriales</w:t>
      </w:r>
      <w:proofErr w:type="spellEnd"/>
      <w:r w:rsidR="2F505CD3" w:rsidRPr="00122437">
        <w:rPr>
          <w:rFonts w:ascii="Arial Narrow" w:eastAsia="Aptos" w:hAnsi="Arial Narrow" w:cs="Aptos"/>
          <w:sz w:val="22"/>
          <w:szCs w:val="22"/>
        </w:rPr>
        <w:t xml:space="preserve"> estructurales constituyen una línea de investigación de frontera en la cual es posible diseñar propiedades específicas orientadas al control de la propagación de ondas</w:t>
      </w:r>
      <w:r w:rsidR="28832215" w:rsidRPr="00122437">
        <w:rPr>
          <w:rFonts w:ascii="Arial Narrow" w:eastAsia="Aptos" w:hAnsi="Arial Narrow" w:cs="Aptos"/>
          <w:sz w:val="22"/>
          <w:szCs w:val="22"/>
        </w:rPr>
        <w:t>,</w:t>
      </w:r>
      <w:r w:rsidR="2F505CD3" w:rsidRPr="00122437">
        <w:rPr>
          <w:rFonts w:ascii="Arial Narrow" w:eastAsia="Aptos" w:hAnsi="Arial Narrow" w:cs="Aptos"/>
          <w:sz w:val="22"/>
          <w:szCs w:val="22"/>
        </w:rPr>
        <w:t xml:space="preserve"> la modificación de la respuesta dinámica</w:t>
      </w:r>
      <w:r w:rsidR="3433CD5D" w:rsidRPr="00122437">
        <w:rPr>
          <w:rFonts w:ascii="Arial Narrow" w:eastAsia="Aptos" w:hAnsi="Arial Narrow" w:cs="Aptos"/>
          <w:sz w:val="22"/>
          <w:szCs w:val="22"/>
        </w:rPr>
        <w:t>, entre muchas aplicaciones</w:t>
      </w:r>
      <w:r w:rsidR="0091357C" w:rsidRPr="00122437">
        <w:rPr>
          <w:rFonts w:ascii="Arial Narrow" w:eastAsia="Aptos" w:hAnsi="Arial Narrow" w:cs="Aptos"/>
          <w:sz w:val="22"/>
          <w:szCs w:val="22"/>
        </w:rPr>
        <w:t xml:space="preserve"> </w:t>
      </w:r>
      <w:sdt>
        <w:sdtPr>
          <w:rPr>
            <w:rFonts w:ascii="Arial Narrow" w:eastAsia="Aptos" w:hAnsi="Arial Narrow" w:cs="Aptos"/>
            <w:sz w:val="22"/>
            <w:szCs w:val="22"/>
          </w:rPr>
          <w:id w:val="1090428745"/>
          <w:citation/>
        </w:sdtPr>
        <w:sdtEndPr/>
        <w:sdtContent>
          <w:r w:rsidR="0091357C" w:rsidRPr="00122437">
            <w:rPr>
              <w:rFonts w:ascii="Arial Narrow" w:eastAsia="Aptos" w:hAnsi="Arial Narrow" w:cs="Aptos"/>
              <w:sz w:val="22"/>
              <w:szCs w:val="22"/>
            </w:rPr>
            <w:fldChar w:fldCharType="begin"/>
          </w:r>
          <w:r w:rsidR="0091357C" w:rsidRPr="00122437">
            <w:rPr>
              <w:rFonts w:ascii="Arial Narrow" w:eastAsia="Aptos" w:hAnsi="Arial Narrow" w:cs="Aptos"/>
              <w:sz w:val="22"/>
              <w:szCs w:val="22"/>
            </w:rPr>
            <w:instrText xml:space="preserve"> CITATION Kim18 \l 3082  \m Ban25 \m Jin25</w:instrText>
          </w:r>
          <w:r w:rsidR="0091357C" w:rsidRPr="00122437">
            <w:rPr>
              <w:rFonts w:ascii="Arial Narrow" w:eastAsia="Aptos" w:hAnsi="Arial Narrow" w:cs="Aptos"/>
              <w:sz w:val="22"/>
              <w:szCs w:val="22"/>
            </w:rPr>
            <w:fldChar w:fldCharType="separate"/>
          </w:r>
          <w:r w:rsidR="0091357C" w:rsidRPr="00122437">
            <w:rPr>
              <w:rFonts w:ascii="Arial Narrow" w:eastAsia="Aptos" w:hAnsi="Arial Narrow" w:cs="Aptos"/>
              <w:noProof/>
              <w:sz w:val="22"/>
              <w:szCs w:val="22"/>
            </w:rPr>
            <w:t>[16, 17, 18]</w:t>
          </w:r>
          <w:r w:rsidR="0091357C" w:rsidRPr="00122437">
            <w:rPr>
              <w:rFonts w:ascii="Arial Narrow" w:eastAsia="Aptos" w:hAnsi="Arial Narrow" w:cs="Aptos"/>
              <w:sz w:val="22"/>
              <w:szCs w:val="22"/>
            </w:rPr>
            <w:fldChar w:fldCharType="end"/>
          </w:r>
        </w:sdtContent>
      </w:sdt>
      <w:r w:rsidR="2F505CD3" w:rsidRPr="00122437">
        <w:rPr>
          <w:rFonts w:ascii="Arial Narrow" w:eastAsia="Aptos" w:hAnsi="Arial Narrow" w:cs="Aptos"/>
          <w:sz w:val="22"/>
          <w:szCs w:val="22"/>
        </w:rPr>
        <w:t>. Si bien su implementación práctica aún se encuentra en desarrollo, su estudio representa una oportunidad para posicionar la ingeniería estructural en escenarios de innovación, particularmente en lo relacionado con estrategias avanzadas de mitigación del riesgo sísmico</w:t>
      </w:r>
      <w:r w:rsidR="0091357C" w:rsidRPr="00122437">
        <w:rPr>
          <w:rFonts w:ascii="Arial Narrow" w:eastAsia="Aptos" w:hAnsi="Arial Narrow" w:cs="Aptos"/>
          <w:sz w:val="22"/>
          <w:szCs w:val="22"/>
        </w:rPr>
        <w:t xml:space="preserve"> </w:t>
      </w:r>
      <w:sdt>
        <w:sdtPr>
          <w:rPr>
            <w:rFonts w:ascii="Arial Narrow" w:eastAsia="Aptos" w:hAnsi="Arial Narrow" w:cs="Aptos"/>
            <w:sz w:val="22"/>
            <w:szCs w:val="22"/>
          </w:rPr>
          <w:id w:val="289245712"/>
          <w:citation/>
        </w:sdtPr>
        <w:sdtEndPr/>
        <w:sdtContent>
          <w:r w:rsidR="0091357C" w:rsidRPr="00122437">
            <w:rPr>
              <w:rFonts w:ascii="Arial Narrow" w:eastAsia="Aptos" w:hAnsi="Arial Narrow" w:cs="Aptos"/>
              <w:sz w:val="22"/>
              <w:szCs w:val="22"/>
            </w:rPr>
            <w:fldChar w:fldCharType="begin"/>
          </w:r>
          <w:r w:rsidR="0091357C" w:rsidRPr="00122437">
            <w:rPr>
              <w:rFonts w:ascii="Arial Narrow" w:eastAsia="Aptos" w:hAnsi="Arial Narrow" w:cs="Aptos"/>
              <w:sz w:val="22"/>
              <w:szCs w:val="22"/>
            </w:rPr>
            <w:instrText xml:space="preserve"> CITATION Ban25 \l 3082  \m Jin25</w:instrText>
          </w:r>
          <w:r w:rsidR="0091357C" w:rsidRPr="00122437">
            <w:rPr>
              <w:rFonts w:ascii="Arial Narrow" w:eastAsia="Aptos" w:hAnsi="Arial Narrow" w:cs="Aptos"/>
              <w:sz w:val="22"/>
              <w:szCs w:val="22"/>
            </w:rPr>
            <w:fldChar w:fldCharType="separate"/>
          </w:r>
          <w:r w:rsidR="0091357C" w:rsidRPr="00122437">
            <w:rPr>
              <w:rFonts w:ascii="Arial Narrow" w:eastAsia="Aptos" w:hAnsi="Arial Narrow" w:cs="Aptos"/>
              <w:noProof/>
              <w:sz w:val="22"/>
              <w:szCs w:val="22"/>
            </w:rPr>
            <w:t>[17, 18]</w:t>
          </w:r>
          <w:r w:rsidR="0091357C" w:rsidRPr="00122437">
            <w:rPr>
              <w:rFonts w:ascii="Arial Narrow" w:eastAsia="Aptos" w:hAnsi="Arial Narrow" w:cs="Aptos"/>
              <w:sz w:val="22"/>
              <w:szCs w:val="22"/>
            </w:rPr>
            <w:fldChar w:fldCharType="end"/>
          </w:r>
        </w:sdtContent>
      </w:sdt>
      <w:r w:rsidR="2F505CD3" w:rsidRPr="00122437">
        <w:rPr>
          <w:rFonts w:ascii="Arial Narrow" w:eastAsia="Aptos" w:hAnsi="Arial Narrow" w:cs="Aptos"/>
          <w:sz w:val="22"/>
          <w:szCs w:val="22"/>
        </w:rPr>
        <w:t>.</w:t>
      </w:r>
    </w:p>
    <w:p w14:paraId="0FC4C74A" w14:textId="63C55320" w:rsidR="3D773BF9" w:rsidRPr="00122437" w:rsidRDefault="2B275BF6" w:rsidP="00122437">
      <w:pPr>
        <w:spacing w:before="240" w:after="240" w:line="276" w:lineRule="auto"/>
        <w:jc w:val="both"/>
        <w:rPr>
          <w:rFonts w:ascii="Arial Narrow" w:eastAsia="Aptos" w:hAnsi="Arial Narrow" w:cs="Aptos"/>
          <w:sz w:val="22"/>
          <w:szCs w:val="22"/>
        </w:rPr>
      </w:pPr>
      <w:r w:rsidRPr="00122437">
        <w:rPr>
          <w:rFonts w:ascii="Arial Narrow" w:eastAsia="Aptos" w:hAnsi="Arial Narrow" w:cs="Aptos"/>
          <w:sz w:val="22"/>
          <w:szCs w:val="22"/>
        </w:rPr>
        <w:t xml:space="preserve">En consecuencia, se hace necesario promover una formación académica que no solo responda a los requerimientos normativos actuales, sino que también incorpore herramientas avanzadas de análisis, nuevas tecnologías y enfoques innovadores en el diseño estructural. </w:t>
      </w:r>
      <w:r w:rsidR="5081632D" w:rsidRPr="00122437">
        <w:rPr>
          <w:rFonts w:ascii="Arial Narrow" w:eastAsia="Aptos" w:hAnsi="Arial Narrow" w:cs="Aptos"/>
          <w:sz w:val="22"/>
          <w:szCs w:val="22"/>
        </w:rPr>
        <w:t>La presente propuesta se enmarca en esta necesidad, planteando un enfoque integral que combina el análisis estructural avanzado, el modelamiento numérico, la optimización y el estudio de materiales no convencionales, con el fin de contribuir al desarrollo de una ingeniería estructural más robusta, crítica y adaptada a los desafíos contemporáneos del país.</w:t>
      </w:r>
    </w:p>
    <w:p w14:paraId="71E7C7E4" w14:textId="06D2243E" w:rsidR="6847C375" w:rsidRPr="00122437" w:rsidRDefault="6847C375" w:rsidP="00122437">
      <w:pPr>
        <w:pStyle w:val="Ttulo2"/>
        <w:numPr>
          <w:ilvl w:val="0"/>
          <w:numId w:val="12"/>
        </w:numPr>
        <w:spacing w:line="276" w:lineRule="auto"/>
        <w:jc w:val="both"/>
        <w:rPr>
          <w:rFonts w:ascii="Arial Narrow" w:eastAsia="Aptos" w:hAnsi="Arial Narrow" w:cs="Aptos"/>
          <w:bCs/>
          <w:color w:val="auto"/>
          <w:sz w:val="22"/>
          <w:szCs w:val="22"/>
        </w:rPr>
      </w:pPr>
      <w:r w:rsidRPr="00122437">
        <w:rPr>
          <w:rFonts w:ascii="Arial Narrow" w:hAnsi="Arial Narrow"/>
          <w:sz w:val="22"/>
          <w:szCs w:val="22"/>
        </w:rPr>
        <w:t>Objetivos</w:t>
      </w:r>
    </w:p>
    <w:p w14:paraId="5E565B13" w14:textId="7856E84E" w:rsidR="6847C375" w:rsidRPr="00122437" w:rsidRDefault="6847C375" w:rsidP="00122437">
      <w:pPr>
        <w:pStyle w:val="Ttulo3"/>
        <w:numPr>
          <w:ilvl w:val="1"/>
          <w:numId w:val="12"/>
        </w:numPr>
        <w:spacing w:line="276" w:lineRule="auto"/>
        <w:jc w:val="both"/>
        <w:rPr>
          <w:rFonts w:ascii="Arial Narrow" w:eastAsia="Aptos" w:hAnsi="Arial Narrow" w:cs="Aptos"/>
          <w:b/>
          <w:bCs/>
          <w:color w:val="auto"/>
          <w:sz w:val="22"/>
          <w:szCs w:val="22"/>
        </w:rPr>
      </w:pPr>
      <w:r w:rsidRPr="00122437">
        <w:rPr>
          <w:rFonts w:ascii="Arial Narrow" w:hAnsi="Arial Narrow"/>
          <w:sz w:val="22"/>
          <w:szCs w:val="22"/>
        </w:rPr>
        <w:t>Objetivo General</w:t>
      </w:r>
    </w:p>
    <w:p w14:paraId="2B02F4CB" w14:textId="722C85A5" w:rsidR="6847C375" w:rsidRPr="00122437" w:rsidRDefault="00CE5C04" w:rsidP="00CE5C04">
      <w:pPr>
        <w:pStyle w:val="Prrafodelista"/>
        <w:numPr>
          <w:ilvl w:val="0"/>
          <w:numId w:val="1"/>
        </w:numPr>
        <w:spacing w:before="240" w:after="240" w:line="276" w:lineRule="auto"/>
        <w:jc w:val="both"/>
        <w:rPr>
          <w:rFonts w:ascii="Arial Narrow" w:eastAsia="Aptos" w:hAnsi="Arial Narrow" w:cs="Aptos"/>
          <w:sz w:val="22"/>
          <w:szCs w:val="22"/>
        </w:rPr>
      </w:pPr>
      <w:r w:rsidRPr="00CE5C04">
        <w:rPr>
          <w:rFonts w:ascii="Arial Narrow" w:eastAsia="Aptos" w:hAnsi="Arial Narrow" w:cs="Aptos"/>
          <w:sz w:val="22"/>
          <w:szCs w:val="22"/>
        </w:rPr>
        <w:t>Fortalecer el análisis y diseño de estructuras mediante la integración de modelamiento numérico avanzado, análisis no lineal y el estudio de materiales no convencionales, articulando de manera efectiva las funciones de docencia, investigación y extensión</w:t>
      </w:r>
    </w:p>
    <w:p w14:paraId="7359EF59" w14:textId="5CED9FF3" w:rsidR="6847C375" w:rsidRPr="00122437" w:rsidRDefault="6847C375" w:rsidP="00122437">
      <w:pPr>
        <w:pStyle w:val="Ttulo3"/>
        <w:numPr>
          <w:ilvl w:val="1"/>
          <w:numId w:val="12"/>
        </w:numPr>
        <w:spacing w:line="276" w:lineRule="auto"/>
        <w:jc w:val="both"/>
        <w:rPr>
          <w:rFonts w:ascii="Arial Narrow" w:eastAsia="Aptos" w:hAnsi="Arial Narrow" w:cs="Aptos"/>
          <w:b/>
          <w:bCs/>
          <w:color w:val="auto"/>
          <w:sz w:val="22"/>
          <w:szCs w:val="22"/>
        </w:rPr>
      </w:pPr>
      <w:r w:rsidRPr="00122437">
        <w:rPr>
          <w:rFonts w:ascii="Arial Narrow" w:hAnsi="Arial Narrow"/>
          <w:sz w:val="22"/>
          <w:szCs w:val="22"/>
        </w:rPr>
        <w:t>Objetivos específicos</w:t>
      </w:r>
    </w:p>
    <w:p w14:paraId="0E7D0D10" w14:textId="77777777" w:rsidR="00CE5C04" w:rsidRDefault="00CE5C04" w:rsidP="00CE5C04">
      <w:pPr>
        <w:pStyle w:val="Prrafodelista"/>
        <w:numPr>
          <w:ilvl w:val="0"/>
          <w:numId w:val="2"/>
        </w:numPr>
        <w:spacing w:after="0" w:line="276" w:lineRule="auto"/>
        <w:jc w:val="both"/>
        <w:rPr>
          <w:rFonts w:ascii="Arial Narrow" w:eastAsia="Aptos" w:hAnsi="Arial Narrow" w:cs="Aptos"/>
          <w:sz w:val="22"/>
          <w:szCs w:val="22"/>
        </w:rPr>
      </w:pPr>
      <w:r w:rsidRPr="00CE5C04">
        <w:rPr>
          <w:rFonts w:ascii="Arial Narrow" w:eastAsia="Aptos" w:hAnsi="Arial Narrow" w:cs="Aptos"/>
          <w:sz w:val="22"/>
          <w:szCs w:val="22"/>
        </w:rPr>
        <w:t xml:space="preserve">Integrar metodologías de análisis estructural avanzado y herramientas computacionales en los procesos de formación en ingeniería estructural. </w:t>
      </w:r>
    </w:p>
    <w:p w14:paraId="4B17316D" w14:textId="63B900BD" w:rsidR="6847C375" w:rsidRPr="00122437" w:rsidRDefault="00CE5C04" w:rsidP="00CE5C04">
      <w:pPr>
        <w:pStyle w:val="Prrafodelista"/>
        <w:numPr>
          <w:ilvl w:val="0"/>
          <w:numId w:val="2"/>
        </w:numPr>
        <w:spacing w:after="0" w:line="276" w:lineRule="auto"/>
        <w:jc w:val="both"/>
        <w:rPr>
          <w:rFonts w:ascii="Arial Narrow" w:eastAsia="Aptos" w:hAnsi="Arial Narrow" w:cs="Aptos"/>
          <w:sz w:val="22"/>
          <w:szCs w:val="22"/>
        </w:rPr>
      </w:pPr>
      <w:r w:rsidRPr="00CE5C04">
        <w:rPr>
          <w:rFonts w:ascii="Arial Narrow" w:eastAsia="Aptos" w:hAnsi="Arial Narrow" w:cs="Aptos"/>
          <w:sz w:val="22"/>
          <w:szCs w:val="22"/>
        </w:rPr>
        <w:t>Desarrollar y validar líneas de investigación orientadas al estudio de materiales no convencionales y sistemas estructurales innovadores</w:t>
      </w:r>
      <w:r w:rsidR="6847C375" w:rsidRPr="00122437">
        <w:rPr>
          <w:rFonts w:ascii="Arial Narrow" w:eastAsia="Aptos" w:hAnsi="Arial Narrow" w:cs="Aptos"/>
          <w:sz w:val="22"/>
          <w:szCs w:val="22"/>
        </w:rPr>
        <w:t>.</w:t>
      </w:r>
    </w:p>
    <w:p w14:paraId="162C04D8" w14:textId="321CF38D" w:rsidR="6847C375" w:rsidRPr="00122437" w:rsidRDefault="00CE5C04" w:rsidP="00CE5C04">
      <w:pPr>
        <w:pStyle w:val="Prrafodelista"/>
        <w:numPr>
          <w:ilvl w:val="0"/>
          <w:numId w:val="2"/>
        </w:numPr>
        <w:spacing w:after="0" w:line="276" w:lineRule="auto"/>
        <w:jc w:val="both"/>
        <w:rPr>
          <w:rFonts w:ascii="Arial Narrow" w:eastAsia="Aptos" w:hAnsi="Arial Narrow" w:cs="Aptos"/>
          <w:sz w:val="22"/>
          <w:szCs w:val="22"/>
        </w:rPr>
      </w:pPr>
      <w:r w:rsidRPr="00CE5C04">
        <w:rPr>
          <w:rFonts w:ascii="Arial Narrow" w:eastAsia="Aptos" w:hAnsi="Arial Narrow" w:cs="Aptos"/>
          <w:sz w:val="22"/>
          <w:szCs w:val="22"/>
        </w:rPr>
        <w:t>Diseñar e implementar estrategias de transferencia de conocimiento hacia el sector productivo, enfocadas en la evaluación y m</w:t>
      </w:r>
      <w:r>
        <w:rPr>
          <w:rFonts w:ascii="Arial Narrow" w:eastAsia="Aptos" w:hAnsi="Arial Narrow" w:cs="Aptos"/>
          <w:sz w:val="22"/>
          <w:szCs w:val="22"/>
        </w:rPr>
        <w:t>ejora del desempeño estructural</w:t>
      </w:r>
      <w:r w:rsidR="6847C375" w:rsidRPr="00122437">
        <w:rPr>
          <w:rFonts w:ascii="Arial Narrow" w:eastAsia="Aptos" w:hAnsi="Arial Narrow" w:cs="Aptos"/>
          <w:sz w:val="22"/>
          <w:szCs w:val="22"/>
        </w:rPr>
        <w:t>.</w:t>
      </w:r>
    </w:p>
    <w:p w14:paraId="1A48003A" w14:textId="470DA92D" w:rsidR="6847C375" w:rsidRPr="00122437" w:rsidRDefault="00CE5C04" w:rsidP="00CE5C04">
      <w:pPr>
        <w:pStyle w:val="Prrafodelista"/>
        <w:numPr>
          <w:ilvl w:val="0"/>
          <w:numId w:val="2"/>
        </w:numPr>
        <w:spacing w:after="0" w:line="276" w:lineRule="auto"/>
        <w:jc w:val="both"/>
        <w:rPr>
          <w:rFonts w:ascii="Arial Narrow" w:eastAsia="Aptos" w:hAnsi="Arial Narrow" w:cs="Aptos"/>
          <w:sz w:val="22"/>
          <w:szCs w:val="22"/>
        </w:rPr>
      </w:pPr>
      <w:r w:rsidRPr="00CE5C04">
        <w:rPr>
          <w:rFonts w:ascii="Arial Narrow" w:eastAsia="Aptos" w:hAnsi="Arial Narrow" w:cs="Aptos"/>
          <w:sz w:val="22"/>
          <w:szCs w:val="22"/>
        </w:rPr>
        <w:t>Vincular activamente a estudiantes en procesos de investigación mediante su participación en semilleros y proyectos en modelamiento numérico y análisis estructural.</w:t>
      </w:r>
    </w:p>
    <w:p w14:paraId="372EADDB" w14:textId="529F975A" w:rsidR="7B3AB55F" w:rsidRPr="00122437" w:rsidRDefault="61D365F9" w:rsidP="00122437">
      <w:pPr>
        <w:pStyle w:val="Ttulo2"/>
        <w:numPr>
          <w:ilvl w:val="0"/>
          <w:numId w:val="12"/>
        </w:numPr>
        <w:spacing w:line="276" w:lineRule="auto"/>
        <w:rPr>
          <w:rFonts w:ascii="Arial Narrow" w:eastAsia="Aptos" w:hAnsi="Arial Narrow" w:cs="Aptos"/>
          <w:color w:val="auto"/>
          <w:sz w:val="22"/>
          <w:szCs w:val="22"/>
        </w:rPr>
      </w:pPr>
      <w:r w:rsidRPr="00122437">
        <w:rPr>
          <w:rFonts w:ascii="Arial Narrow" w:hAnsi="Arial Narrow"/>
          <w:sz w:val="22"/>
          <w:szCs w:val="22"/>
        </w:rPr>
        <w:t>Propuesta en el componente de docencia</w:t>
      </w:r>
    </w:p>
    <w:p w14:paraId="4A6800FD" w14:textId="4F899467" w:rsidR="3D773BF9" w:rsidRPr="00122437" w:rsidRDefault="00633C27" w:rsidP="00122437">
      <w:pPr>
        <w:spacing w:before="240" w:after="240" w:line="276" w:lineRule="auto"/>
        <w:jc w:val="both"/>
        <w:rPr>
          <w:rFonts w:ascii="Arial Narrow" w:eastAsia="Aptos" w:hAnsi="Arial Narrow" w:cs="Aptos"/>
          <w:sz w:val="22"/>
          <w:szCs w:val="22"/>
        </w:rPr>
      </w:pPr>
      <w:r>
        <w:rPr>
          <w:rFonts w:ascii="Arial Narrow" w:eastAsia="Aptos" w:hAnsi="Arial Narrow" w:cs="Aptos"/>
          <w:sz w:val="22"/>
          <w:szCs w:val="22"/>
        </w:rPr>
        <w:t>Est</w:t>
      </w:r>
      <w:r w:rsidR="45C4B550" w:rsidRPr="00122437">
        <w:rPr>
          <w:rFonts w:ascii="Arial Narrow" w:eastAsia="Aptos" w:hAnsi="Arial Narrow" w:cs="Aptos"/>
          <w:sz w:val="22"/>
          <w:szCs w:val="22"/>
        </w:rPr>
        <w:t>a propuesta docente se fundamenta en la integración de tres componentes esenciales: el dominio conceptual del comportamiento estructural, el desarrollo de capacidades de modelamiento numérico y la aplicación práctica en el diseño de edificaciones bajo normativa vigente. Este enfoque busca formar profesionales capaces no solo de utilizar herramientas existentes, sino de comprender sus fundamentos, evaluar sus limitaciones y desarrollar soluciones propias frente a problemas complejos.</w:t>
      </w:r>
      <w:r w:rsidR="00BE391E">
        <w:rPr>
          <w:rFonts w:ascii="Arial Narrow" w:eastAsia="Aptos" w:hAnsi="Arial Narrow" w:cs="Aptos"/>
          <w:sz w:val="22"/>
          <w:szCs w:val="22"/>
        </w:rPr>
        <w:t xml:space="preserve"> La propuesta se enfoca en tres pilares formativos.</w:t>
      </w:r>
    </w:p>
    <w:p w14:paraId="2196BBB5" w14:textId="00824B88" w:rsidR="3D773BF9" w:rsidRPr="00122437" w:rsidRDefault="00BE391E" w:rsidP="00122437">
      <w:pPr>
        <w:spacing w:before="240" w:after="240" w:line="276" w:lineRule="auto"/>
        <w:jc w:val="both"/>
        <w:rPr>
          <w:rFonts w:ascii="Arial Narrow" w:eastAsia="Aptos" w:hAnsi="Arial Narrow" w:cs="Aptos"/>
          <w:sz w:val="22"/>
          <w:szCs w:val="22"/>
        </w:rPr>
      </w:pPr>
      <w:r>
        <w:rPr>
          <w:rFonts w:ascii="Arial Narrow" w:eastAsia="Aptos" w:hAnsi="Arial Narrow" w:cs="Aptos"/>
          <w:sz w:val="22"/>
          <w:szCs w:val="22"/>
        </w:rPr>
        <w:t>En un primer pilar</w:t>
      </w:r>
      <w:r w:rsidR="45C4B550" w:rsidRPr="00122437">
        <w:rPr>
          <w:rFonts w:ascii="Arial Narrow" w:eastAsia="Aptos" w:hAnsi="Arial Narrow" w:cs="Aptos"/>
          <w:sz w:val="22"/>
          <w:szCs w:val="22"/>
        </w:rPr>
        <w:t xml:space="preserve"> de formación, se prioriza la consolidación de los principios fundamentales en asignaturas como Resistencia de Materiales y Análisis de Sistemas Estructurales. En este nivel, se enfatiza la comprensión de </w:t>
      </w:r>
      <w:r w:rsidR="45C4B550" w:rsidRPr="00122437">
        <w:rPr>
          <w:rFonts w:ascii="Arial Narrow" w:eastAsia="Aptos" w:hAnsi="Arial Narrow" w:cs="Aptos"/>
          <w:sz w:val="22"/>
          <w:szCs w:val="22"/>
        </w:rPr>
        <w:lastRenderedPageBreak/>
        <w:t>fenómenos como la relación esfuerzo-deformación, la estabilidad, la redistribución de esfuerzos y la respuesta ante cargas dinámicas. Esta base conceptual resulta indispensable para evitar una formación dependiente del uso mecánico de software.</w:t>
      </w:r>
    </w:p>
    <w:p w14:paraId="5AF01D74" w14:textId="09C216CD" w:rsidR="3D773BF9" w:rsidRPr="00122437" w:rsidRDefault="003F061F" w:rsidP="00122437">
      <w:pPr>
        <w:spacing w:before="240" w:after="240" w:line="276" w:lineRule="auto"/>
        <w:jc w:val="both"/>
        <w:rPr>
          <w:rFonts w:ascii="Arial Narrow" w:eastAsia="Aptos" w:hAnsi="Arial Narrow" w:cs="Aptos"/>
          <w:sz w:val="22"/>
          <w:szCs w:val="22"/>
        </w:rPr>
      </w:pPr>
      <w:r>
        <w:rPr>
          <w:rFonts w:ascii="Arial Narrow" w:eastAsia="Aptos" w:hAnsi="Arial Narrow" w:cs="Aptos"/>
          <w:sz w:val="22"/>
          <w:szCs w:val="22"/>
        </w:rPr>
        <w:t>E</w:t>
      </w:r>
      <w:r w:rsidR="00BE391E">
        <w:rPr>
          <w:rFonts w:ascii="Arial Narrow" w:eastAsia="Aptos" w:hAnsi="Arial Narrow" w:cs="Aptos"/>
          <w:sz w:val="22"/>
          <w:szCs w:val="22"/>
        </w:rPr>
        <w:t>l segundo pilar se enfoca en</w:t>
      </w:r>
      <w:r w:rsidR="45C4B550" w:rsidRPr="00122437">
        <w:rPr>
          <w:rFonts w:ascii="Arial Narrow" w:eastAsia="Aptos" w:hAnsi="Arial Narrow" w:cs="Aptos"/>
          <w:sz w:val="22"/>
          <w:szCs w:val="22"/>
        </w:rPr>
        <w:t xml:space="preserve"> el modelamiento numérico como herramienta de análisis. Se propone la incorporación progresiva de lenguajes de programación como Python o MATLAB, orientados a la implementación de algoritmos estructurales, así como el uso crítico de software especializado como SAP2000, ETABS, ABAQUS y OpenSees. El objetivo en esta fase es que el estudiante e</w:t>
      </w:r>
      <w:r w:rsidR="00FF7623">
        <w:rPr>
          <w:rFonts w:ascii="Arial Narrow" w:eastAsia="Aptos" w:hAnsi="Arial Narrow" w:cs="Aptos"/>
          <w:sz w:val="22"/>
          <w:szCs w:val="22"/>
        </w:rPr>
        <w:t>ntienda el proceso de modelamiento</w:t>
      </w:r>
      <w:r w:rsidR="45C4B550" w:rsidRPr="00122437">
        <w:rPr>
          <w:rFonts w:ascii="Arial Narrow" w:eastAsia="Aptos" w:hAnsi="Arial Narrow" w:cs="Aptos"/>
          <w:sz w:val="22"/>
          <w:szCs w:val="22"/>
        </w:rPr>
        <w:t>, desde la formulación del problema hasta la interpretación de resultados, evitando el uso de herramientas como “cajas negras”.</w:t>
      </w:r>
    </w:p>
    <w:p w14:paraId="3826AFA7" w14:textId="2E300D7F" w:rsidR="3D773BF9" w:rsidRPr="00122437" w:rsidRDefault="00BE391E" w:rsidP="00122437">
      <w:pPr>
        <w:spacing w:before="240" w:after="240" w:line="276" w:lineRule="auto"/>
        <w:jc w:val="both"/>
        <w:rPr>
          <w:rFonts w:ascii="Arial Narrow" w:eastAsia="Aptos" w:hAnsi="Arial Narrow" w:cs="Aptos"/>
          <w:sz w:val="22"/>
          <w:szCs w:val="22"/>
        </w:rPr>
      </w:pPr>
      <w:r>
        <w:rPr>
          <w:rFonts w:ascii="Arial Narrow" w:eastAsia="Aptos" w:hAnsi="Arial Narrow" w:cs="Aptos"/>
          <w:sz w:val="22"/>
          <w:szCs w:val="22"/>
        </w:rPr>
        <w:t>Fi</w:t>
      </w:r>
      <w:r w:rsidR="0088185B">
        <w:rPr>
          <w:rFonts w:ascii="Arial Narrow" w:eastAsia="Aptos" w:hAnsi="Arial Narrow" w:cs="Aptos"/>
          <w:sz w:val="22"/>
          <w:szCs w:val="22"/>
        </w:rPr>
        <w:t xml:space="preserve">nalmente, </w:t>
      </w:r>
      <w:r w:rsidR="003F061F">
        <w:rPr>
          <w:rFonts w:ascii="Arial Narrow" w:eastAsia="Aptos" w:hAnsi="Arial Narrow" w:cs="Aptos"/>
          <w:sz w:val="22"/>
          <w:szCs w:val="22"/>
        </w:rPr>
        <w:t xml:space="preserve">el tercer pilar concentra </w:t>
      </w:r>
      <w:r w:rsidR="0088185B">
        <w:rPr>
          <w:rFonts w:ascii="Arial Narrow" w:eastAsia="Aptos" w:hAnsi="Arial Narrow" w:cs="Aptos"/>
          <w:sz w:val="22"/>
          <w:szCs w:val="22"/>
        </w:rPr>
        <w:t xml:space="preserve">en </w:t>
      </w:r>
      <w:r w:rsidR="45C4B550" w:rsidRPr="00122437">
        <w:rPr>
          <w:rFonts w:ascii="Arial Narrow" w:eastAsia="Aptos" w:hAnsi="Arial Narrow" w:cs="Aptos"/>
          <w:sz w:val="22"/>
          <w:szCs w:val="22"/>
        </w:rPr>
        <w:t>problemas aplicados que integren análisis avanzado y normativa. En este nivel, se incorporan metodologías de análisis no lineal, incluyendo el análisis pushover y el análisis dinámico, permitiendo al estudiante comprender el comportamiento inelástico de las estructuras y su relación con el diseño basado en desempeño. Esto resulta especialmente relevante en el contexto colombiano, donde la evaluación de edificaciones existentes y la mitigación del riesgo sísmico requieren herramientas más allá del análisis lineal.</w:t>
      </w:r>
    </w:p>
    <w:p w14:paraId="5664E981" w14:textId="77777777" w:rsidR="00CE5C04" w:rsidRPr="00CE5C04" w:rsidRDefault="00CE5C04" w:rsidP="00CE5C04">
      <w:pPr>
        <w:spacing w:before="240" w:after="240" w:line="276" w:lineRule="auto"/>
        <w:jc w:val="both"/>
        <w:rPr>
          <w:rFonts w:ascii="Arial Narrow" w:eastAsia="Aptos" w:hAnsi="Arial Narrow" w:cs="Aptos"/>
          <w:sz w:val="22"/>
          <w:szCs w:val="22"/>
        </w:rPr>
      </w:pPr>
      <w:r w:rsidRPr="00CE5C04">
        <w:rPr>
          <w:rFonts w:ascii="Arial Narrow" w:eastAsia="Aptos" w:hAnsi="Arial Narrow" w:cs="Aptos"/>
          <w:sz w:val="22"/>
          <w:szCs w:val="22"/>
        </w:rPr>
        <w:t>Adicionalmente, se define la inclusión de módulos específicos sobre optimización estructural, desarrollo de redes neuronales y fundamentos de inteligencia artificial aplicada, orientados a la exploración de nuevas herramientas para el análisis y diseño. Estas temáticas se integran como complemento a los enfoques clásicos, ampliando la capacidad de análisis y la autonomía técnica del ingeniero frente a problemas complejos. En este marco, se impulsa la articulación entre docencia e investigación mediante la vinculación temprana de estudiantes a semilleros, como el semillero de modelamiento numérico SIMON, favoreciendo el desarrollo de competencias en simulación, programación y análisis estructural avanzado.</w:t>
      </w:r>
    </w:p>
    <w:p w14:paraId="4BFFED40" w14:textId="2E4E5FF4" w:rsidR="3D773BF9" w:rsidRPr="00122437" w:rsidRDefault="00CE5C04" w:rsidP="00CE5C04">
      <w:pPr>
        <w:spacing w:before="240" w:after="240" w:line="276" w:lineRule="auto"/>
        <w:jc w:val="both"/>
        <w:rPr>
          <w:rFonts w:ascii="Arial Narrow" w:eastAsia="Aptos" w:hAnsi="Arial Narrow" w:cs="Aptos"/>
          <w:sz w:val="22"/>
          <w:szCs w:val="22"/>
        </w:rPr>
      </w:pPr>
      <w:r w:rsidRPr="00CE5C04">
        <w:rPr>
          <w:rFonts w:ascii="Arial Narrow" w:eastAsia="Aptos" w:hAnsi="Arial Narrow" w:cs="Aptos"/>
          <w:sz w:val="22"/>
          <w:szCs w:val="22"/>
        </w:rPr>
        <w:t>De manera complementaria, se proyecta un proceso de actualización académica orientado a la revisión, ajuste y fortalecimiento de los contenidos programáticos y resultados de aprendizaje de las asignaturas, con el fin de incorporar metodologías contemporáneas y herramientas computacionales avanzadas. Esta estrategia permitirá no solo complementar los syllabus existentes, sino también consolidar una formación alineada con los avances recientes de la ingeniería estructural y las necesidades del contexto profes</w:t>
      </w:r>
      <w:r>
        <w:rPr>
          <w:rFonts w:ascii="Arial Narrow" w:eastAsia="Aptos" w:hAnsi="Arial Narrow" w:cs="Aptos"/>
          <w:sz w:val="22"/>
          <w:szCs w:val="22"/>
        </w:rPr>
        <w:t>ional</w:t>
      </w:r>
      <w:r w:rsidR="45C4B550" w:rsidRPr="00122437">
        <w:rPr>
          <w:rFonts w:ascii="Arial Narrow" w:eastAsia="Aptos" w:hAnsi="Arial Narrow" w:cs="Aptos"/>
          <w:sz w:val="22"/>
          <w:szCs w:val="22"/>
        </w:rPr>
        <w:t>.</w:t>
      </w:r>
    </w:p>
    <w:p w14:paraId="551165E2" w14:textId="148F2092" w:rsidR="3D773BF9" w:rsidRPr="00122437" w:rsidRDefault="61D365F9" w:rsidP="00122437">
      <w:pPr>
        <w:pStyle w:val="Ttulo2"/>
        <w:numPr>
          <w:ilvl w:val="0"/>
          <w:numId w:val="12"/>
        </w:numPr>
        <w:spacing w:line="276" w:lineRule="auto"/>
        <w:rPr>
          <w:rFonts w:ascii="Arial Narrow" w:eastAsia="Aptos" w:hAnsi="Arial Narrow" w:cs="Aptos"/>
          <w:color w:val="auto"/>
          <w:sz w:val="22"/>
          <w:szCs w:val="22"/>
        </w:rPr>
      </w:pPr>
      <w:r w:rsidRPr="00122437">
        <w:rPr>
          <w:rFonts w:ascii="Arial Narrow" w:hAnsi="Arial Narrow"/>
          <w:sz w:val="22"/>
          <w:szCs w:val="22"/>
        </w:rPr>
        <w:t>Propuesta en el componente de investigación</w:t>
      </w:r>
    </w:p>
    <w:p w14:paraId="039DB20E" w14:textId="18132CBA" w:rsidR="3D773BF9" w:rsidRPr="00122437" w:rsidRDefault="2FA5B7AA" w:rsidP="00122437">
      <w:pPr>
        <w:spacing w:before="240" w:after="240" w:line="276" w:lineRule="auto"/>
        <w:jc w:val="both"/>
        <w:rPr>
          <w:rFonts w:ascii="Arial Narrow" w:eastAsia="Aptos" w:hAnsi="Arial Narrow" w:cs="Aptos"/>
          <w:sz w:val="22"/>
          <w:szCs w:val="22"/>
        </w:rPr>
      </w:pPr>
      <w:r w:rsidRPr="00122437">
        <w:rPr>
          <w:rFonts w:ascii="Arial Narrow" w:eastAsia="Aptos" w:hAnsi="Arial Narrow" w:cs="Aptos"/>
          <w:sz w:val="22"/>
          <w:szCs w:val="22"/>
        </w:rPr>
        <w:t>La propuesta de investigación se orienta al desarrollo de soluciones estructurales avanzadas que respondan a los retos contemporáneos de la ingeniería civil, particularmente en lo relacionado con la mitigación del riesgo sísmico y la optimización del desempeño estructural en edificaciones.</w:t>
      </w:r>
      <w:r w:rsidR="006743E1">
        <w:rPr>
          <w:rFonts w:ascii="Arial Narrow" w:eastAsia="Aptos" w:hAnsi="Arial Narrow" w:cs="Aptos"/>
          <w:sz w:val="22"/>
          <w:szCs w:val="22"/>
        </w:rPr>
        <w:t xml:space="preserve"> </w:t>
      </w:r>
      <w:r w:rsidRPr="00122437">
        <w:rPr>
          <w:rFonts w:ascii="Arial Narrow" w:eastAsia="Aptos" w:hAnsi="Arial Narrow" w:cs="Aptos"/>
          <w:sz w:val="22"/>
          <w:szCs w:val="22"/>
        </w:rPr>
        <w:t>El eje central de la propuesta se basa en la integración entre materiales no convencionales, análisis estructural avanzado y herramientas de modelamiento numérico, con el propósito de generar conocimiento aplicable al contexto colombiano.</w:t>
      </w:r>
      <w:r w:rsidR="00BE391E">
        <w:rPr>
          <w:rFonts w:ascii="Arial Narrow" w:eastAsia="Aptos" w:hAnsi="Arial Narrow" w:cs="Aptos"/>
          <w:sz w:val="22"/>
          <w:szCs w:val="22"/>
        </w:rPr>
        <w:t xml:space="preserve"> En este componente, la propuesta se enfoca en tres líneas de investigación.</w:t>
      </w:r>
    </w:p>
    <w:p w14:paraId="521F8D3D" w14:textId="5E1B0951" w:rsidR="3D773BF9" w:rsidRPr="00122437" w:rsidRDefault="2FA5B7AA" w:rsidP="00122437">
      <w:pPr>
        <w:spacing w:before="240" w:after="240" w:line="276" w:lineRule="auto"/>
        <w:jc w:val="both"/>
        <w:rPr>
          <w:rFonts w:ascii="Arial Narrow" w:eastAsia="Aptos" w:hAnsi="Arial Narrow" w:cs="Aptos"/>
          <w:sz w:val="22"/>
          <w:szCs w:val="22"/>
        </w:rPr>
      </w:pPr>
      <w:r w:rsidRPr="00122437">
        <w:rPr>
          <w:rFonts w:ascii="Arial Narrow" w:eastAsia="Aptos" w:hAnsi="Arial Narrow" w:cs="Aptos"/>
          <w:sz w:val="22"/>
          <w:szCs w:val="22"/>
        </w:rPr>
        <w:t>En una primera línea, se plantea el estudio de sistemas estructurales con materiales no convencionales, incluyendo tanto materiales de carácter local como la madera estructural y la tapia, como sistemas más avanzados y emergentes. El objetivo es analizar su comportamiento estructural bajo solicitaciones estáticas y dinámicas, evaluando su capacidad de disipación de energía y su viabilidad en aplicaciones reales. Este enfoque permite no solo aportar al conocimiento técnico, sino también contribuir a estrategias de construcción más sostenibles y adaptadas al contexto regional</w:t>
      </w:r>
      <w:r w:rsidR="6C1AED62" w:rsidRPr="00122437">
        <w:rPr>
          <w:rFonts w:ascii="Arial Narrow" w:eastAsia="Aptos" w:hAnsi="Arial Narrow" w:cs="Aptos"/>
          <w:sz w:val="22"/>
          <w:szCs w:val="22"/>
        </w:rPr>
        <w:t xml:space="preserve"> (local)</w:t>
      </w:r>
      <w:r w:rsidRPr="00122437">
        <w:rPr>
          <w:rFonts w:ascii="Arial Narrow" w:eastAsia="Aptos" w:hAnsi="Arial Narrow" w:cs="Aptos"/>
          <w:sz w:val="22"/>
          <w:szCs w:val="22"/>
        </w:rPr>
        <w:t>.</w:t>
      </w:r>
    </w:p>
    <w:p w14:paraId="02A66E91" w14:textId="04827BCF" w:rsidR="3D773BF9" w:rsidRPr="00122437" w:rsidRDefault="00CE5C04" w:rsidP="00122437">
      <w:pPr>
        <w:spacing w:before="240" w:after="240" w:line="276" w:lineRule="auto"/>
        <w:jc w:val="both"/>
        <w:rPr>
          <w:rFonts w:ascii="Arial Narrow" w:eastAsia="Aptos" w:hAnsi="Arial Narrow" w:cs="Aptos"/>
          <w:sz w:val="22"/>
          <w:szCs w:val="22"/>
        </w:rPr>
      </w:pPr>
      <w:r>
        <w:rPr>
          <w:rFonts w:ascii="Arial Narrow" w:eastAsia="Aptos" w:hAnsi="Arial Narrow" w:cs="Aptos"/>
          <w:sz w:val="22"/>
          <w:szCs w:val="22"/>
        </w:rPr>
        <w:t>En una segunda línea, se orienta al</w:t>
      </w:r>
      <w:r w:rsidR="0692DA7B" w:rsidRPr="00122437">
        <w:rPr>
          <w:rFonts w:ascii="Arial Narrow" w:eastAsia="Aptos" w:hAnsi="Arial Narrow" w:cs="Aptos"/>
          <w:sz w:val="22"/>
          <w:szCs w:val="22"/>
        </w:rPr>
        <w:t xml:space="preserve"> desarrollo y aplicación de metodologías de análisis estructural avanzado </w:t>
      </w:r>
      <w:r>
        <w:rPr>
          <w:rFonts w:ascii="Arial Narrow" w:eastAsia="Aptos" w:hAnsi="Arial Narrow" w:cs="Aptos"/>
          <w:sz w:val="22"/>
          <w:szCs w:val="22"/>
        </w:rPr>
        <w:t>enfocadas</w:t>
      </w:r>
      <w:r w:rsidR="0692DA7B" w:rsidRPr="00122437">
        <w:rPr>
          <w:rFonts w:ascii="Arial Narrow" w:eastAsia="Aptos" w:hAnsi="Arial Narrow" w:cs="Aptos"/>
          <w:sz w:val="22"/>
          <w:szCs w:val="22"/>
        </w:rPr>
        <w:t xml:space="preserve"> al estudio del comportamiento no lineal de edificaciones. Se propone profundizar en el análisis de </w:t>
      </w:r>
      <w:r w:rsidR="0692DA7B" w:rsidRPr="00122437">
        <w:rPr>
          <w:rFonts w:ascii="Arial Narrow" w:eastAsia="Aptos" w:hAnsi="Arial Narrow" w:cs="Aptos"/>
          <w:sz w:val="22"/>
          <w:szCs w:val="22"/>
        </w:rPr>
        <w:lastRenderedPageBreak/>
        <w:t xml:space="preserve">metodologías como el análisis pushover y el análisis dinámico no lineal, no solo como herramientas de evaluación, sino como base para el estudio del desempeño estructural, la identificación de mecanismos de falla y la cuantificación de la vulnerabilidad sísmica. En este </w:t>
      </w:r>
      <w:r w:rsidR="003F061F">
        <w:rPr>
          <w:rFonts w:ascii="Arial Narrow" w:eastAsia="Aptos" w:hAnsi="Arial Narrow" w:cs="Aptos"/>
          <w:sz w:val="22"/>
          <w:szCs w:val="22"/>
        </w:rPr>
        <w:t>escenario</w:t>
      </w:r>
      <w:r w:rsidR="0692DA7B" w:rsidRPr="00122437">
        <w:rPr>
          <w:rFonts w:ascii="Arial Narrow" w:eastAsia="Aptos" w:hAnsi="Arial Narrow" w:cs="Aptos"/>
          <w:sz w:val="22"/>
          <w:szCs w:val="22"/>
        </w:rPr>
        <w:t>, se busca generar criterios que permitan evaluar las limitaciones de los enfoques simplificados y aportar al desarrollo de metodologías más representativas del comportamiento real de las estructuras.</w:t>
      </w:r>
      <w:r w:rsidR="6849FA6F" w:rsidRPr="00122437">
        <w:rPr>
          <w:rFonts w:ascii="Arial Narrow" w:eastAsia="Aptos" w:hAnsi="Arial Narrow" w:cs="Aptos"/>
          <w:sz w:val="22"/>
          <w:szCs w:val="22"/>
        </w:rPr>
        <w:t xml:space="preserve"> Adicionalmente, e</w:t>
      </w:r>
      <w:r w:rsidR="0692DA7B" w:rsidRPr="00122437">
        <w:rPr>
          <w:rFonts w:ascii="Arial Narrow" w:eastAsia="Aptos" w:hAnsi="Arial Narrow" w:cs="Aptos"/>
          <w:sz w:val="22"/>
          <w:szCs w:val="22"/>
        </w:rPr>
        <w:t>sta línea de trabajo tendrá aplicación directa en el análisis de edificaciones existentes y en la evaluación de estrategias de intervención, contribuyendo al mejoramiento del desempeño sísmico en el contexto colombiano</w:t>
      </w:r>
      <w:r w:rsidR="0088185B">
        <w:rPr>
          <w:rFonts w:ascii="Arial Narrow" w:eastAsia="Aptos" w:hAnsi="Arial Narrow" w:cs="Aptos"/>
          <w:sz w:val="22"/>
          <w:szCs w:val="22"/>
        </w:rPr>
        <w:t>.</w:t>
      </w:r>
    </w:p>
    <w:p w14:paraId="3C555C5B" w14:textId="6700C608" w:rsidR="3D773BF9" w:rsidRPr="00122437" w:rsidRDefault="2FA5B7AA" w:rsidP="00122437">
      <w:pPr>
        <w:spacing w:before="240" w:after="240" w:line="276" w:lineRule="auto"/>
        <w:jc w:val="both"/>
        <w:rPr>
          <w:rFonts w:ascii="Arial Narrow" w:eastAsia="Aptos" w:hAnsi="Arial Narrow" w:cs="Aptos"/>
          <w:sz w:val="22"/>
          <w:szCs w:val="22"/>
        </w:rPr>
      </w:pPr>
      <w:r w:rsidRPr="00122437">
        <w:rPr>
          <w:rFonts w:ascii="Arial Narrow" w:eastAsia="Aptos" w:hAnsi="Arial Narrow" w:cs="Aptos"/>
          <w:sz w:val="22"/>
          <w:szCs w:val="22"/>
        </w:rPr>
        <w:t>En una tercera línea, se plantea el uso de técnicas de optimización estructural y herramientas computacionales avanzadas como apoyo en el diseño. En este contexto, la inteligencia artificial puede ser utilizada para la calibración de modelos, la identificación de patrones en la respuesta estructural y la generación de configuraciones óptimas, especialmente en sistemas complejos donde los métodos tradicionales resultan limitados.</w:t>
      </w:r>
      <w:r w:rsidR="50724974" w:rsidRPr="00122437">
        <w:rPr>
          <w:rFonts w:ascii="Arial Narrow" w:eastAsia="Aptos" w:hAnsi="Arial Narrow" w:cs="Aptos"/>
          <w:sz w:val="22"/>
          <w:szCs w:val="22"/>
        </w:rPr>
        <w:t xml:space="preserve"> </w:t>
      </w:r>
      <w:r w:rsidRPr="00122437">
        <w:rPr>
          <w:rFonts w:ascii="Arial Narrow" w:eastAsia="Aptos" w:hAnsi="Arial Narrow" w:cs="Aptos"/>
          <w:sz w:val="22"/>
          <w:szCs w:val="22"/>
        </w:rPr>
        <w:t>De m</w:t>
      </w:r>
      <w:r w:rsidR="00FF7623">
        <w:rPr>
          <w:rFonts w:ascii="Arial Narrow" w:eastAsia="Aptos" w:hAnsi="Arial Narrow" w:cs="Aptos"/>
          <w:sz w:val="22"/>
          <w:szCs w:val="22"/>
        </w:rPr>
        <w:t>anera complementaria, se impulsa a</w:t>
      </w:r>
      <w:r w:rsidRPr="00122437">
        <w:rPr>
          <w:rFonts w:ascii="Arial Narrow" w:eastAsia="Aptos" w:hAnsi="Arial Narrow" w:cs="Aptos"/>
          <w:sz w:val="22"/>
          <w:szCs w:val="22"/>
        </w:rPr>
        <w:t xml:space="preserve"> explorar enfoques de investigación de frontera relacionados con el desarrollo de sistemas estructurales con propiedades diseñadas, tales como los metamateriales, orientados al control de vibraciones y la modificación de la propagación de ondas. Esta línea, si bien de carácter más prospectivo, permite posicionar la investigación en escenarios de innovación y contribuir al desarrollo de nuevas estrategias de mitigación del riesgo sísmico.</w:t>
      </w:r>
    </w:p>
    <w:p w14:paraId="29A813AE" w14:textId="0B50C003" w:rsidR="00CE5C04" w:rsidRPr="00CE5C04" w:rsidRDefault="00CE5C04" w:rsidP="00CE5C04">
      <w:pPr>
        <w:spacing w:before="240" w:after="240" w:line="276" w:lineRule="auto"/>
        <w:jc w:val="both"/>
        <w:rPr>
          <w:rFonts w:ascii="Arial Narrow" w:eastAsia="Aptos" w:hAnsi="Arial Narrow" w:cs="Aptos"/>
          <w:sz w:val="22"/>
          <w:szCs w:val="22"/>
        </w:rPr>
      </w:pPr>
      <w:r w:rsidRPr="00CE5C04">
        <w:rPr>
          <w:rFonts w:ascii="Arial Narrow" w:eastAsia="Aptos" w:hAnsi="Arial Narrow" w:cs="Aptos"/>
          <w:sz w:val="22"/>
          <w:szCs w:val="22"/>
        </w:rPr>
        <w:t xml:space="preserve">Estas líneas de investigación se conciben en estrecha </w:t>
      </w:r>
      <w:r>
        <w:rPr>
          <w:rFonts w:ascii="Arial Narrow" w:eastAsia="Aptos" w:hAnsi="Arial Narrow" w:cs="Aptos"/>
          <w:sz w:val="22"/>
          <w:szCs w:val="22"/>
        </w:rPr>
        <w:t>articulación con el grupo GIES (</w:t>
      </w:r>
      <w:r w:rsidRPr="00CE5C04">
        <w:rPr>
          <w:rFonts w:ascii="Arial Narrow" w:eastAsia="Aptos" w:hAnsi="Arial Narrow" w:cs="Aptos"/>
          <w:sz w:val="22"/>
          <w:szCs w:val="22"/>
        </w:rPr>
        <w:t>Análisis, Diseño y Materiales</w:t>
      </w:r>
      <w:r>
        <w:rPr>
          <w:rFonts w:ascii="Arial Narrow" w:eastAsia="Aptos" w:hAnsi="Arial Narrow" w:cs="Aptos"/>
          <w:sz w:val="22"/>
          <w:szCs w:val="22"/>
        </w:rPr>
        <w:t>)</w:t>
      </w:r>
      <w:r w:rsidRPr="00CE5C04">
        <w:rPr>
          <w:rFonts w:ascii="Arial Narrow" w:eastAsia="Aptos" w:hAnsi="Arial Narrow" w:cs="Aptos"/>
          <w:sz w:val="22"/>
          <w:szCs w:val="22"/>
        </w:rPr>
        <w:t>, con el propósito de fortalecer sus capacidades en modelamiento numérico, simulación avanzada y análisis dinámico, y de consolidar una agenda investigativa coherente con los desafíos actuales de la ingeniería estructural. En este contexto, se promueve la vinculación activa de estudiantes a través de semilleros como SIMON, favoreciendo la formación de nuevos investigadores con competencias en programación, simulación y análisis estructural avanzado.</w:t>
      </w:r>
    </w:p>
    <w:p w14:paraId="343523E6" w14:textId="36FA2AFA" w:rsidR="3D773BF9" w:rsidRPr="00122437" w:rsidRDefault="00CE5C04" w:rsidP="00CE5C04">
      <w:pPr>
        <w:spacing w:before="240" w:after="240" w:line="276" w:lineRule="auto"/>
        <w:jc w:val="both"/>
        <w:rPr>
          <w:rFonts w:ascii="Arial Narrow" w:eastAsia="Aptos" w:hAnsi="Arial Narrow" w:cs="Aptos"/>
          <w:sz w:val="22"/>
          <w:szCs w:val="22"/>
        </w:rPr>
      </w:pPr>
      <w:r w:rsidRPr="00CE5C04">
        <w:rPr>
          <w:rFonts w:ascii="Arial Narrow" w:eastAsia="Aptos" w:hAnsi="Arial Narrow" w:cs="Aptos"/>
          <w:sz w:val="22"/>
          <w:szCs w:val="22"/>
        </w:rPr>
        <w:t>De manera complementaria, se proyecta la consolidación de alianzas académicas con universidades de referencia a nivel nacional, como la Universidad Industrial de Santander, la Pontificia Universidad Javeriana, la Universidad de los Andes y la Universidad del Norte, orientadas al desarrollo de proyectos de investigación estratégicos y al fortalecimiento de capacidades conjuntas. Asimismo, se plantea el establecimiento de vínculos con instituciones internacionales como la</w:t>
      </w:r>
      <w:r w:rsidR="00337105">
        <w:rPr>
          <w:rFonts w:ascii="Arial Narrow" w:eastAsia="Aptos" w:hAnsi="Arial Narrow" w:cs="Aptos"/>
          <w:sz w:val="22"/>
          <w:szCs w:val="22"/>
        </w:rPr>
        <w:t xml:space="preserve"> </w:t>
      </w:r>
      <w:proofErr w:type="spellStart"/>
      <w:r w:rsidR="0088185B">
        <w:rPr>
          <w:rFonts w:ascii="Arial Narrow" w:eastAsia="Aptos" w:hAnsi="Arial Narrow" w:cs="Aptos"/>
          <w:sz w:val="22"/>
          <w:szCs w:val="22"/>
        </w:rPr>
        <w:t>Lulea</w:t>
      </w:r>
      <w:proofErr w:type="spellEnd"/>
      <w:r w:rsidR="0088185B">
        <w:rPr>
          <w:rFonts w:ascii="Arial Narrow" w:eastAsia="Aptos" w:hAnsi="Arial Narrow" w:cs="Aptos"/>
          <w:sz w:val="22"/>
          <w:szCs w:val="22"/>
        </w:rPr>
        <w:t xml:space="preserve"> </w:t>
      </w:r>
      <w:proofErr w:type="spellStart"/>
      <w:r w:rsidR="0088185B">
        <w:rPr>
          <w:rFonts w:ascii="Arial Narrow" w:eastAsia="Aptos" w:hAnsi="Arial Narrow" w:cs="Aptos"/>
          <w:sz w:val="22"/>
          <w:szCs w:val="22"/>
        </w:rPr>
        <w:t>University</w:t>
      </w:r>
      <w:proofErr w:type="spellEnd"/>
      <w:r w:rsidR="0088185B">
        <w:rPr>
          <w:rFonts w:ascii="Arial Narrow" w:eastAsia="Aptos" w:hAnsi="Arial Narrow" w:cs="Aptos"/>
          <w:sz w:val="22"/>
          <w:szCs w:val="22"/>
        </w:rPr>
        <w:t xml:space="preserve"> of </w:t>
      </w:r>
      <w:proofErr w:type="spellStart"/>
      <w:r w:rsidR="0088185B">
        <w:rPr>
          <w:rFonts w:ascii="Arial Narrow" w:eastAsia="Aptos" w:hAnsi="Arial Narrow" w:cs="Aptos"/>
          <w:sz w:val="22"/>
          <w:szCs w:val="22"/>
        </w:rPr>
        <w:t>T</w:t>
      </w:r>
      <w:r w:rsidR="00337105" w:rsidRPr="00337105">
        <w:rPr>
          <w:rFonts w:ascii="Arial Narrow" w:eastAsia="Aptos" w:hAnsi="Arial Narrow" w:cs="Aptos"/>
          <w:sz w:val="22"/>
          <w:szCs w:val="22"/>
        </w:rPr>
        <w:t>echnology</w:t>
      </w:r>
      <w:proofErr w:type="spellEnd"/>
      <w:r w:rsidR="00337105">
        <w:rPr>
          <w:rFonts w:ascii="Arial Narrow" w:eastAsia="Aptos" w:hAnsi="Arial Narrow" w:cs="Aptos"/>
          <w:sz w:val="22"/>
          <w:szCs w:val="22"/>
        </w:rPr>
        <w:t>,</w:t>
      </w:r>
      <w:r w:rsidRPr="00CE5C04">
        <w:rPr>
          <w:rFonts w:ascii="Arial Narrow" w:eastAsia="Aptos" w:hAnsi="Arial Narrow" w:cs="Aptos"/>
          <w:sz w:val="22"/>
          <w:szCs w:val="22"/>
        </w:rPr>
        <w:t xml:space="preserve"> </w:t>
      </w:r>
      <w:proofErr w:type="spellStart"/>
      <w:r w:rsidRPr="00CE5C04">
        <w:rPr>
          <w:rFonts w:ascii="Arial Narrow" w:eastAsia="Aptos" w:hAnsi="Arial Narrow" w:cs="Aptos"/>
          <w:sz w:val="22"/>
          <w:szCs w:val="22"/>
        </w:rPr>
        <w:t>Universidade</w:t>
      </w:r>
      <w:proofErr w:type="spellEnd"/>
      <w:r w:rsidRPr="00CE5C04">
        <w:rPr>
          <w:rFonts w:ascii="Arial Narrow" w:eastAsia="Aptos" w:hAnsi="Arial Narrow" w:cs="Aptos"/>
          <w:sz w:val="22"/>
          <w:szCs w:val="22"/>
        </w:rPr>
        <w:t xml:space="preserve"> de São Paulo, la </w:t>
      </w:r>
      <w:proofErr w:type="spellStart"/>
      <w:r w:rsidRPr="00CE5C04">
        <w:rPr>
          <w:rFonts w:ascii="Arial Narrow" w:eastAsia="Aptos" w:hAnsi="Arial Narrow" w:cs="Aptos"/>
          <w:sz w:val="22"/>
          <w:szCs w:val="22"/>
        </w:rPr>
        <w:t>Univers</w:t>
      </w:r>
      <w:r w:rsidR="00337105">
        <w:rPr>
          <w:rFonts w:ascii="Arial Narrow" w:eastAsia="Aptos" w:hAnsi="Arial Narrow" w:cs="Aptos"/>
          <w:sz w:val="22"/>
          <w:szCs w:val="22"/>
        </w:rPr>
        <w:t>idade</w:t>
      </w:r>
      <w:proofErr w:type="spellEnd"/>
      <w:r w:rsidR="00337105">
        <w:rPr>
          <w:rFonts w:ascii="Arial Narrow" w:eastAsia="Aptos" w:hAnsi="Arial Narrow" w:cs="Aptos"/>
          <w:sz w:val="22"/>
          <w:szCs w:val="22"/>
        </w:rPr>
        <w:t xml:space="preserve"> Federal de Minas Gerais, </w:t>
      </w:r>
      <w:r w:rsidRPr="00CE5C04">
        <w:rPr>
          <w:rFonts w:ascii="Arial Narrow" w:eastAsia="Aptos" w:hAnsi="Arial Narrow" w:cs="Aptos"/>
          <w:sz w:val="22"/>
          <w:szCs w:val="22"/>
        </w:rPr>
        <w:t xml:space="preserve">la </w:t>
      </w:r>
      <w:proofErr w:type="spellStart"/>
      <w:r w:rsidRPr="00CE5C04">
        <w:rPr>
          <w:rFonts w:ascii="Arial Narrow" w:eastAsia="Aptos" w:hAnsi="Arial Narrow" w:cs="Aptos"/>
          <w:sz w:val="22"/>
          <w:szCs w:val="22"/>
        </w:rPr>
        <w:t>Universidade</w:t>
      </w:r>
      <w:proofErr w:type="spellEnd"/>
      <w:r w:rsidRPr="00CE5C04">
        <w:rPr>
          <w:rFonts w:ascii="Arial Narrow" w:eastAsia="Aptos" w:hAnsi="Arial Narrow" w:cs="Aptos"/>
          <w:sz w:val="22"/>
          <w:szCs w:val="22"/>
        </w:rPr>
        <w:t xml:space="preserve"> Federal de </w:t>
      </w:r>
      <w:proofErr w:type="spellStart"/>
      <w:r w:rsidRPr="00CE5C04">
        <w:rPr>
          <w:rFonts w:ascii="Arial Narrow" w:eastAsia="Aptos" w:hAnsi="Arial Narrow" w:cs="Aptos"/>
          <w:sz w:val="22"/>
          <w:szCs w:val="22"/>
        </w:rPr>
        <w:t>Itajubá</w:t>
      </w:r>
      <w:proofErr w:type="spellEnd"/>
      <w:r w:rsidR="00337105">
        <w:rPr>
          <w:rFonts w:ascii="Arial Narrow" w:eastAsia="Aptos" w:hAnsi="Arial Narrow" w:cs="Aptos"/>
          <w:sz w:val="22"/>
          <w:szCs w:val="22"/>
        </w:rPr>
        <w:t>, entre otras</w:t>
      </w:r>
      <w:r w:rsidRPr="00CE5C04">
        <w:rPr>
          <w:rFonts w:ascii="Arial Narrow" w:eastAsia="Aptos" w:hAnsi="Arial Narrow" w:cs="Aptos"/>
          <w:sz w:val="22"/>
          <w:szCs w:val="22"/>
        </w:rPr>
        <w:t>, con el fin de promover la cooperación científica, la movilidad académica y la formulación de proyectos conjuntos en temas de frontera.</w:t>
      </w:r>
    </w:p>
    <w:p w14:paraId="60C90495" w14:textId="4F817192" w:rsidR="3D773BF9" w:rsidRPr="00122437" w:rsidRDefault="61D365F9" w:rsidP="00122437">
      <w:pPr>
        <w:pStyle w:val="Ttulo2"/>
        <w:numPr>
          <w:ilvl w:val="0"/>
          <w:numId w:val="12"/>
        </w:numPr>
        <w:spacing w:line="276" w:lineRule="auto"/>
        <w:rPr>
          <w:rFonts w:ascii="Arial Narrow" w:eastAsia="Aptos" w:hAnsi="Arial Narrow" w:cs="Aptos"/>
          <w:color w:val="auto"/>
          <w:sz w:val="22"/>
          <w:szCs w:val="22"/>
        </w:rPr>
      </w:pPr>
      <w:r w:rsidRPr="00122437">
        <w:rPr>
          <w:rFonts w:ascii="Arial Narrow" w:hAnsi="Arial Narrow"/>
          <w:sz w:val="22"/>
          <w:szCs w:val="22"/>
        </w:rPr>
        <w:t>Propuesta en el componente de extensión</w:t>
      </w:r>
    </w:p>
    <w:p w14:paraId="63FA3DFE" w14:textId="786400E9" w:rsidR="3D773BF9" w:rsidRPr="00122437" w:rsidRDefault="1D867941" w:rsidP="00122437">
      <w:pPr>
        <w:spacing w:before="240" w:after="240" w:line="276" w:lineRule="auto"/>
        <w:jc w:val="both"/>
        <w:rPr>
          <w:rFonts w:ascii="Arial Narrow" w:eastAsia="Aptos" w:hAnsi="Arial Narrow" w:cs="Aptos"/>
          <w:sz w:val="22"/>
          <w:szCs w:val="22"/>
        </w:rPr>
      </w:pPr>
      <w:r w:rsidRPr="00122437">
        <w:rPr>
          <w:rFonts w:ascii="Arial Narrow" w:eastAsia="Aptos" w:hAnsi="Arial Narrow" w:cs="Aptos"/>
          <w:sz w:val="22"/>
          <w:szCs w:val="22"/>
        </w:rPr>
        <w:t>El componente de extensión se plantea como un mecanismo fundamental para la transferencia del conocimiento generado en la academia hacia el entorno profesional y social, permitiendo la aplicación directa de herramientas avanzadas de análisis estructural en la solución de problemáticas reales.</w:t>
      </w:r>
    </w:p>
    <w:p w14:paraId="1FA187F1" w14:textId="3CE5BB1F" w:rsidR="3D773BF9" w:rsidRPr="00122437" w:rsidRDefault="1D867941" w:rsidP="00122437">
      <w:pPr>
        <w:spacing w:before="240" w:after="240" w:line="276" w:lineRule="auto"/>
        <w:jc w:val="both"/>
        <w:rPr>
          <w:rFonts w:ascii="Arial Narrow" w:eastAsia="Aptos" w:hAnsi="Arial Narrow" w:cs="Aptos"/>
          <w:sz w:val="22"/>
          <w:szCs w:val="22"/>
        </w:rPr>
      </w:pPr>
      <w:r w:rsidRPr="00122437">
        <w:rPr>
          <w:rFonts w:ascii="Arial Narrow" w:eastAsia="Aptos" w:hAnsi="Arial Narrow" w:cs="Aptos"/>
          <w:sz w:val="22"/>
          <w:szCs w:val="22"/>
        </w:rPr>
        <w:t>En este sentido, se propone el desarrollo de actividades de consultoría y asesoría especializada en análisis y diseño estructural, con énfasis en la evaluación del desempeño sísmico de edificaciones existentes. Estas actividades incluyen la aplicación de metodologías de análisis no lineal, la identificación de vulnerabilidades estructurales y la formulación de estrategias de reforzamiento, contribuyendo a la reducción del riesgo sísmico en el entorno construido.</w:t>
      </w:r>
    </w:p>
    <w:p w14:paraId="2513DFD6" w14:textId="4CEB698E" w:rsidR="3D773BF9" w:rsidRPr="00122437" w:rsidRDefault="1D867941" w:rsidP="00122437">
      <w:pPr>
        <w:spacing w:before="240" w:after="240" w:line="276" w:lineRule="auto"/>
        <w:jc w:val="both"/>
        <w:rPr>
          <w:rFonts w:ascii="Arial Narrow" w:eastAsia="Aptos" w:hAnsi="Arial Narrow" w:cs="Aptos"/>
          <w:sz w:val="22"/>
          <w:szCs w:val="22"/>
        </w:rPr>
      </w:pPr>
      <w:r w:rsidRPr="00122437">
        <w:rPr>
          <w:rFonts w:ascii="Arial Narrow" w:eastAsia="Aptos" w:hAnsi="Arial Narrow" w:cs="Aptos"/>
          <w:sz w:val="22"/>
          <w:szCs w:val="22"/>
        </w:rPr>
        <w:t>Adicionalmente, se plantea el desarrollo de herramientas computacionales aplicadas al análisis estructural, orientadas a la automatización de procesos, la evaluación rápida de estructuras y la implementación de metodologías avanzadas en contextos profesionales. Este tipo de desarrollos permite transferir no solo conocimiento teórico, sino también capacidades técnicas directamente aplicables en la práctica de la ingeniería.</w:t>
      </w:r>
    </w:p>
    <w:p w14:paraId="318BD642" w14:textId="364F86D2" w:rsidR="3D773BF9" w:rsidRPr="00122437" w:rsidRDefault="00337105" w:rsidP="00122437">
      <w:pPr>
        <w:spacing w:before="240" w:after="240" w:line="276" w:lineRule="auto"/>
        <w:jc w:val="both"/>
        <w:rPr>
          <w:rFonts w:ascii="Arial Narrow" w:eastAsia="Aptos" w:hAnsi="Arial Narrow" w:cs="Aptos"/>
          <w:sz w:val="22"/>
          <w:szCs w:val="22"/>
        </w:rPr>
      </w:pPr>
      <w:r w:rsidRPr="00337105">
        <w:rPr>
          <w:rFonts w:ascii="Arial Narrow" w:eastAsia="Aptos" w:hAnsi="Arial Narrow" w:cs="Aptos"/>
          <w:sz w:val="22"/>
          <w:szCs w:val="22"/>
        </w:rPr>
        <w:lastRenderedPageBreak/>
        <w:t xml:space="preserve">Otro </w:t>
      </w:r>
      <w:r>
        <w:rPr>
          <w:rFonts w:ascii="Arial Narrow" w:eastAsia="Aptos" w:hAnsi="Arial Narrow" w:cs="Aptos"/>
          <w:sz w:val="22"/>
          <w:szCs w:val="22"/>
        </w:rPr>
        <w:t>foco</w:t>
      </w:r>
      <w:r w:rsidRPr="00337105">
        <w:rPr>
          <w:rFonts w:ascii="Arial Narrow" w:eastAsia="Aptos" w:hAnsi="Arial Narrow" w:cs="Aptos"/>
          <w:sz w:val="22"/>
          <w:szCs w:val="22"/>
        </w:rPr>
        <w:t xml:space="preserve"> relevante es la capacitación de profesionales del sector en temas de análisis estructural avanzado, modelamiento numérico y uso crítico de software especializado. En este sentido, se contempla el diseño e implementación de programas de formación</w:t>
      </w:r>
      <w:r>
        <w:rPr>
          <w:rFonts w:ascii="Arial Narrow" w:eastAsia="Aptos" w:hAnsi="Arial Narrow" w:cs="Aptos"/>
          <w:sz w:val="22"/>
          <w:szCs w:val="22"/>
        </w:rPr>
        <w:t xml:space="preserve"> (educación</w:t>
      </w:r>
      <w:r w:rsidRPr="00337105">
        <w:rPr>
          <w:rFonts w:ascii="Arial Narrow" w:eastAsia="Aptos" w:hAnsi="Arial Narrow" w:cs="Aptos"/>
          <w:sz w:val="22"/>
          <w:szCs w:val="22"/>
        </w:rPr>
        <w:t xml:space="preserve"> continua</w:t>
      </w:r>
      <w:r>
        <w:rPr>
          <w:rFonts w:ascii="Arial Narrow" w:eastAsia="Aptos" w:hAnsi="Arial Narrow" w:cs="Aptos"/>
          <w:sz w:val="22"/>
          <w:szCs w:val="22"/>
        </w:rPr>
        <w:t>)</w:t>
      </w:r>
      <w:r w:rsidRPr="00337105">
        <w:rPr>
          <w:rFonts w:ascii="Arial Narrow" w:eastAsia="Aptos" w:hAnsi="Arial Narrow" w:cs="Aptos"/>
          <w:sz w:val="22"/>
          <w:szCs w:val="22"/>
        </w:rPr>
        <w:t>, tales como cursos especializados, diplomados y programas de educación permanente, orientados a la actualización técnica y al fortalecimiento de competencias en el ejercicio profesional. De manera complementaria, se proyecta el desarrollo de iniciativas de transferencia tecnológica, incluyendo la creación de herramientas computacionales aplicadas y la posible consolidación de spin-</w:t>
      </w:r>
      <w:proofErr w:type="spellStart"/>
      <w:r w:rsidRPr="00337105">
        <w:rPr>
          <w:rFonts w:ascii="Arial Narrow" w:eastAsia="Aptos" w:hAnsi="Arial Narrow" w:cs="Aptos"/>
          <w:sz w:val="22"/>
          <w:szCs w:val="22"/>
        </w:rPr>
        <w:t>offs</w:t>
      </w:r>
      <w:proofErr w:type="spellEnd"/>
      <w:r w:rsidRPr="00337105">
        <w:rPr>
          <w:rFonts w:ascii="Arial Narrow" w:eastAsia="Aptos" w:hAnsi="Arial Narrow" w:cs="Aptos"/>
          <w:sz w:val="22"/>
          <w:szCs w:val="22"/>
        </w:rPr>
        <w:t xml:space="preserve"> universitarias enfocadas en la prestación de servicios de ingeniería especializada. Estas estrategias contribuyen a cerrar la brecha entre el desarrollo académico y la práctica profesional, promoviendo una ingeniería estructural más rigurosa, fundamentada y con impacto </w:t>
      </w:r>
      <w:r>
        <w:rPr>
          <w:rFonts w:ascii="Arial Narrow" w:eastAsia="Aptos" w:hAnsi="Arial Narrow" w:cs="Aptos"/>
          <w:sz w:val="22"/>
          <w:szCs w:val="22"/>
        </w:rPr>
        <w:t>directo en el sector productivo</w:t>
      </w:r>
      <w:r w:rsidR="1D867941" w:rsidRPr="00122437">
        <w:rPr>
          <w:rFonts w:ascii="Arial Narrow" w:eastAsia="Aptos" w:hAnsi="Arial Narrow" w:cs="Aptos"/>
          <w:sz w:val="22"/>
          <w:szCs w:val="22"/>
        </w:rPr>
        <w:t>.</w:t>
      </w:r>
    </w:p>
    <w:p w14:paraId="1E6F69B5" w14:textId="07E9E193" w:rsidR="3D773BF9" w:rsidRPr="00122437" w:rsidRDefault="1D867941" w:rsidP="00122437">
      <w:pPr>
        <w:spacing w:before="240" w:after="240" w:line="276" w:lineRule="auto"/>
        <w:jc w:val="both"/>
        <w:rPr>
          <w:rFonts w:ascii="Arial Narrow" w:eastAsia="Aptos" w:hAnsi="Arial Narrow" w:cs="Aptos"/>
          <w:sz w:val="22"/>
          <w:szCs w:val="22"/>
        </w:rPr>
      </w:pPr>
      <w:r w:rsidRPr="00122437">
        <w:rPr>
          <w:rFonts w:ascii="Arial Narrow" w:eastAsia="Aptos" w:hAnsi="Arial Narrow" w:cs="Aptos"/>
          <w:sz w:val="22"/>
          <w:szCs w:val="22"/>
        </w:rPr>
        <w:t xml:space="preserve">Asimismo, se </w:t>
      </w:r>
      <w:r w:rsidR="00FF7623">
        <w:rPr>
          <w:rFonts w:ascii="Arial Narrow" w:eastAsia="Aptos" w:hAnsi="Arial Narrow" w:cs="Aptos"/>
          <w:sz w:val="22"/>
          <w:szCs w:val="22"/>
        </w:rPr>
        <w:t>enmarca</w:t>
      </w:r>
      <w:r w:rsidRPr="00122437">
        <w:rPr>
          <w:rFonts w:ascii="Arial Narrow" w:eastAsia="Aptos" w:hAnsi="Arial Narrow" w:cs="Aptos"/>
          <w:sz w:val="22"/>
          <w:szCs w:val="22"/>
        </w:rPr>
        <w:t xml:space="preserve"> la articulación con el sector productivo mediante el desarrollo de proyectos conjuntos con la industria, particularmente en sectores como el energético, industrial y de infraestructura, donde existe una alta demanda de soluciones estructurales especializadas. Finalmente, el </w:t>
      </w:r>
      <w:r w:rsidR="00337105">
        <w:rPr>
          <w:rFonts w:ascii="Arial Narrow" w:eastAsia="Aptos" w:hAnsi="Arial Narrow" w:cs="Aptos"/>
          <w:sz w:val="22"/>
          <w:szCs w:val="22"/>
        </w:rPr>
        <w:t xml:space="preserve">componente de extensión también </w:t>
      </w:r>
      <w:r w:rsidRPr="00122437">
        <w:rPr>
          <w:rFonts w:ascii="Arial Narrow" w:eastAsia="Aptos" w:hAnsi="Arial Narrow" w:cs="Aptos"/>
          <w:sz w:val="22"/>
          <w:szCs w:val="22"/>
        </w:rPr>
        <w:t xml:space="preserve">puede contribuir a la formulación de proyectos orientados a la gestión del riesgo, incluyendo la evaluación de vulnerabilidad sísmica en comunidades y el desarrollo de estrategias de intervención en edificaciones existentes, </w:t>
      </w:r>
      <w:r w:rsidR="0088185B">
        <w:rPr>
          <w:rFonts w:ascii="Arial Narrow" w:eastAsia="Aptos" w:hAnsi="Arial Narrow" w:cs="Aptos"/>
          <w:sz w:val="22"/>
          <w:szCs w:val="22"/>
        </w:rPr>
        <w:t xml:space="preserve">fortaleciendo </w:t>
      </w:r>
      <w:r w:rsidR="0088185B" w:rsidRPr="0088185B">
        <w:rPr>
          <w:rFonts w:ascii="Arial Narrow" w:eastAsia="Aptos" w:hAnsi="Arial Narrow" w:cs="Aptos"/>
          <w:sz w:val="22"/>
          <w:szCs w:val="22"/>
        </w:rPr>
        <w:t>el rol de la universidad como actor clave en la solución de problemáticas estructurales del país</w:t>
      </w:r>
      <w:r w:rsidRPr="00122437">
        <w:rPr>
          <w:rFonts w:ascii="Arial Narrow" w:eastAsia="Aptos" w:hAnsi="Arial Narrow" w:cs="Aptos"/>
          <w:sz w:val="22"/>
          <w:szCs w:val="22"/>
        </w:rPr>
        <w:t>.</w:t>
      </w:r>
      <w:bookmarkStart w:id="0" w:name="_GoBack"/>
      <w:bookmarkEnd w:id="0"/>
    </w:p>
    <w:p w14:paraId="34980964" w14:textId="77777777" w:rsidR="0091357C" w:rsidRPr="00122437" w:rsidRDefault="0091357C" w:rsidP="00122437">
      <w:pPr>
        <w:spacing w:line="276" w:lineRule="auto"/>
        <w:rPr>
          <w:rFonts w:ascii="Arial Narrow" w:eastAsiaTheme="majorEastAsia" w:hAnsi="Arial Narrow" w:cstheme="majorBidi"/>
          <w:color w:val="0F4761" w:themeColor="accent1" w:themeShade="BF"/>
          <w:sz w:val="22"/>
          <w:szCs w:val="22"/>
        </w:rPr>
      </w:pPr>
      <w:r w:rsidRPr="00122437">
        <w:rPr>
          <w:rFonts w:ascii="Arial Narrow" w:hAnsi="Arial Narrow"/>
          <w:sz w:val="22"/>
          <w:szCs w:val="22"/>
        </w:rPr>
        <w:br w:type="page"/>
      </w:r>
    </w:p>
    <w:sdt>
      <w:sdtPr>
        <w:rPr>
          <w:rFonts w:ascii="Arial Narrow" w:eastAsiaTheme="minorHAnsi" w:hAnsi="Arial Narrow" w:cstheme="minorBidi"/>
          <w:color w:val="auto"/>
          <w:sz w:val="22"/>
          <w:szCs w:val="22"/>
        </w:rPr>
        <w:id w:val="765577295"/>
        <w:docPartObj>
          <w:docPartGallery w:val="Bibliographies"/>
          <w:docPartUnique/>
        </w:docPartObj>
      </w:sdtPr>
      <w:sdtEndPr/>
      <w:sdtContent>
        <w:p w14:paraId="5E804CC9" w14:textId="36F01D12" w:rsidR="0091357C" w:rsidRPr="00122437" w:rsidRDefault="0091357C" w:rsidP="00122437">
          <w:pPr>
            <w:pStyle w:val="Ttulo1"/>
            <w:spacing w:line="276" w:lineRule="auto"/>
            <w:rPr>
              <w:rFonts w:ascii="Arial Narrow" w:hAnsi="Arial Narrow"/>
              <w:sz w:val="22"/>
              <w:szCs w:val="22"/>
            </w:rPr>
          </w:pPr>
          <w:r w:rsidRPr="00122437">
            <w:rPr>
              <w:rFonts w:ascii="Arial Narrow" w:hAnsi="Arial Narrow"/>
              <w:sz w:val="22"/>
              <w:szCs w:val="22"/>
            </w:rPr>
            <w:t>Bibliografía</w:t>
          </w:r>
        </w:p>
        <w:sdt>
          <w:sdtPr>
            <w:rPr>
              <w:rFonts w:ascii="Arial Narrow" w:hAnsi="Arial Narrow"/>
              <w:sz w:val="22"/>
              <w:szCs w:val="22"/>
            </w:rPr>
            <w:id w:val="111145805"/>
            <w:bibliography/>
          </w:sdtPr>
          <w:sdtEndPr/>
          <w:sdtContent>
            <w:p w14:paraId="74DF55EB" w14:textId="77777777" w:rsidR="0091357C" w:rsidRPr="00122437" w:rsidRDefault="0091357C" w:rsidP="00122437">
              <w:pPr>
                <w:spacing w:line="276" w:lineRule="auto"/>
                <w:rPr>
                  <w:rFonts w:ascii="Arial Narrow" w:hAnsi="Arial Narrow"/>
                  <w:noProof/>
                  <w:sz w:val="22"/>
                  <w:szCs w:val="22"/>
                </w:rPr>
              </w:pPr>
              <w:r w:rsidRPr="00122437">
                <w:rPr>
                  <w:rFonts w:ascii="Arial Narrow" w:hAnsi="Arial Narrow"/>
                  <w:sz w:val="22"/>
                  <w:szCs w:val="22"/>
                </w:rPr>
                <w:fldChar w:fldCharType="begin"/>
              </w:r>
              <w:r w:rsidRPr="00122437">
                <w:rPr>
                  <w:rFonts w:ascii="Arial Narrow" w:hAnsi="Arial Narrow"/>
                  <w:sz w:val="22"/>
                  <w:szCs w:val="22"/>
                </w:rPr>
                <w:instrText>BIBLIOGRAPHY</w:instrText>
              </w:r>
              <w:r w:rsidRPr="00122437">
                <w:rPr>
                  <w:rFonts w:ascii="Arial Narrow" w:hAnsi="Arial Narrow"/>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6"/>
                <w:gridCol w:w="8650"/>
              </w:tblGrid>
              <w:tr w:rsidR="0091357C" w:rsidRPr="00122437" w14:paraId="2BB7E5E0" w14:textId="77777777">
                <w:trPr>
                  <w:divId w:val="1305084161"/>
                  <w:tblCellSpacing w:w="15" w:type="dxa"/>
                </w:trPr>
                <w:tc>
                  <w:tcPr>
                    <w:tcW w:w="50" w:type="pct"/>
                    <w:hideMark/>
                  </w:tcPr>
                  <w:p w14:paraId="02B706CE" w14:textId="3FB3EEDC"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[1] </w:t>
                    </w:r>
                  </w:p>
                </w:tc>
                <w:tc>
                  <w:tcPr>
                    <w:tcW w:w="0" w:type="auto"/>
                    <w:hideMark/>
                  </w:tcPr>
                  <w:p w14:paraId="428CB992"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T. Kunberger, S. J. Burian, W. A. Lutey, A. N. Morse, R. O'Neill, K. L. Sanford y A. L. Welker, «Twenty-first century civil engineering: an overview of who, what, and where,» de </w:t>
                    </w:r>
                    <w:r w:rsidRPr="00122437">
                      <w:rPr>
                        <w:rFonts w:ascii="Arial Narrow" w:hAnsi="Arial Narrow"/>
                        <w:i/>
                        <w:iCs/>
                        <w:noProof/>
                        <w:sz w:val="22"/>
                        <w:szCs w:val="22"/>
                      </w:rPr>
                      <w:t>2011 ASEE Annual Conference &amp; Exposition</w:t>
                    </w:r>
                    <w:r w:rsidRPr="00122437">
                      <w:rPr>
                        <w:rFonts w:ascii="Arial Narrow" w:hAnsi="Arial Narrow"/>
                        <w:noProof/>
                        <w:sz w:val="22"/>
                        <w:szCs w:val="22"/>
                      </w:rPr>
                      <w:t xml:space="preserve">, 2011. </w:t>
                    </w:r>
                  </w:p>
                </w:tc>
              </w:tr>
              <w:tr w:rsidR="0091357C" w:rsidRPr="00122437" w14:paraId="27061870" w14:textId="77777777">
                <w:trPr>
                  <w:divId w:val="1305084161"/>
                  <w:tblCellSpacing w:w="15" w:type="dxa"/>
                </w:trPr>
                <w:tc>
                  <w:tcPr>
                    <w:tcW w:w="50" w:type="pct"/>
                    <w:hideMark/>
                  </w:tcPr>
                  <w:p w14:paraId="48FA86B6"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[2] </w:t>
                    </w:r>
                  </w:p>
                </w:tc>
                <w:tc>
                  <w:tcPr>
                    <w:tcW w:w="0" w:type="auto"/>
                    <w:hideMark/>
                  </w:tcPr>
                  <w:p w14:paraId="4E0EC0C5"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M. Zaqout, F. Martins, M. Koch, M. Hansford y P. Parikh, «Engineering knowledge: the Institution of Civil Engineers and the UN Sustainable Development Goals,» de </w:t>
                    </w:r>
                    <w:r w:rsidRPr="00122437">
                      <w:rPr>
                        <w:rFonts w:ascii="Arial Narrow" w:hAnsi="Arial Narrow"/>
                        <w:i/>
                        <w:iCs/>
                        <w:noProof/>
                        <w:sz w:val="22"/>
                        <w:szCs w:val="22"/>
                      </w:rPr>
                      <w:t>Proceedings of the Institution of Civil Engineers-Civil Engineering</w:t>
                    </w:r>
                    <w:r w:rsidRPr="00122437">
                      <w:rPr>
                        <w:rFonts w:ascii="Arial Narrow" w:hAnsi="Arial Narrow"/>
                        <w:noProof/>
                        <w:sz w:val="22"/>
                        <w:szCs w:val="22"/>
                      </w:rPr>
                      <w:t xml:space="preserve">, 2025. </w:t>
                    </w:r>
                  </w:p>
                </w:tc>
              </w:tr>
              <w:tr w:rsidR="0091357C" w:rsidRPr="00122437" w14:paraId="71D3F5C5" w14:textId="77777777">
                <w:trPr>
                  <w:divId w:val="1305084161"/>
                  <w:tblCellSpacing w:w="15" w:type="dxa"/>
                </w:trPr>
                <w:tc>
                  <w:tcPr>
                    <w:tcW w:w="50" w:type="pct"/>
                    <w:hideMark/>
                  </w:tcPr>
                  <w:p w14:paraId="2FE4567B"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[3] </w:t>
                    </w:r>
                  </w:p>
                </w:tc>
                <w:tc>
                  <w:tcPr>
                    <w:tcW w:w="0" w:type="auto"/>
                    <w:hideMark/>
                  </w:tcPr>
                  <w:p w14:paraId="65D685B2"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C. y. T. Ministerio de Vivienda, Reglamento Colombiano de Construcción Sismo Resistente NSR-10, Bogotá D.C.: Asociación Colombiana de Ingeniería Sísmica, 2010. </w:t>
                    </w:r>
                  </w:p>
                </w:tc>
              </w:tr>
              <w:tr w:rsidR="0091357C" w:rsidRPr="00122437" w14:paraId="6F748ADA" w14:textId="77777777">
                <w:trPr>
                  <w:divId w:val="1305084161"/>
                  <w:tblCellSpacing w:w="15" w:type="dxa"/>
                </w:trPr>
                <w:tc>
                  <w:tcPr>
                    <w:tcW w:w="50" w:type="pct"/>
                    <w:hideMark/>
                  </w:tcPr>
                  <w:p w14:paraId="6B888D49"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[4] </w:t>
                    </w:r>
                  </w:p>
                </w:tc>
                <w:tc>
                  <w:tcPr>
                    <w:tcW w:w="0" w:type="auto"/>
                    <w:hideMark/>
                  </w:tcPr>
                  <w:p w14:paraId="70A11A22"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M. Salgado, D. Zuloaga, G. Bernal, C. Vargas, O. Cardona y otros, «Implications on seismic hazard and risk assessment of two cities of Colombia as a result of a lithospheric tear proposal in the NW South America,» de </w:t>
                    </w:r>
                    <w:r w:rsidRPr="00122437">
                      <w:rPr>
                        <w:rFonts w:ascii="Arial Narrow" w:hAnsi="Arial Narrow"/>
                        <w:i/>
                        <w:iCs/>
                        <w:noProof/>
                        <w:sz w:val="22"/>
                        <w:szCs w:val="22"/>
                      </w:rPr>
                      <w:t>10th US National Conference on earthquake engineering</w:t>
                    </w:r>
                    <w:r w:rsidRPr="00122437">
                      <w:rPr>
                        <w:rFonts w:ascii="Arial Narrow" w:hAnsi="Arial Narrow"/>
                        <w:noProof/>
                        <w:sz w:val="22"/>
                        <w:szCs w:val="22"/>
                      </w:rPr>
                      <w:t xml:space="preserve">, 2014. </w:t>
                    </w:r>
                  </w:p>
                </w:tc>
              </w:tr>
              <w:tr w:rsidR="0091357C" w:rsidRPr="00122437" w14:paraId="66376AF2" w14:textId="77777777">
                <w:trPr>
                  <w:divId w:val="1305084161"/>
                  <w:tblCellSpacing w:w="15" w:type="dxa"/>
                </w:trPr>
                <w:tc>
                  <w:tcPr>
                    <w:tcW w:w="50" w:type="pct"/>
                    <w:hideMark/>
                  </w:tcPr>
                  <w:p w14:paraId="64FFBAD0"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[5] </w:t>
                    </w:r>
                  </w:p>
                </w:tc>
                <w:tc>
                  <w:tcPr>
                    <w:tcW w:w="0" w:type="auto"/>
                    <w:hideMark/>
                  </w:tcPr>
                  <w:p w14:paraId="41AEB3E0"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D. Largo, C. Hidalgo y J. Olarte, «Comparison of invasive and non-invasive methods in site response, case study: Soil deposits of La estrella,» de </w:t>
                    </w:r>
                    <w:r w:rsidRPr="00122437">
                      <w:rPr>
                        <w:rFonts w:ascii="Arial Narrow" w:hAnsi="Arial Narrow"/>
                        <w:i/>
                        <w:iCs/>
                        <w:noProof/>
                        <w:sz w:val="22"/>
                        <w:szCs w:val="22"/>
                      </w:rPr>
                      <w:t>IOP conference series: Earth and environmental science</w:t>
                    </w:r>
                    <w:r w:rsidRPr="00122437">
                      <w:rPr>
                        <w:rFonts w:ascii="Arial Narrow" w:hAnsi="Arial Narrow"/>
                        <w:noProof/>
                        <w:sz w:val="22"/>
                        <w:szCs w:val="22"/>
                      </w:rPr>
                      <w:t xml:space="preserve">, 2021. </w:t>
                    </w:r>
                  </w:p>
                </w:tc>
              </w:tr>
              <w:tr w:rsidR="0091357C" w:rsidRPr="00122437" w14:paraId="1DE80B02" w14:textId="77777777">
                <w:trPr>
                  <w:divId w:val="1305084161"/>
                  <w:tblCellSpacing w:w="15" w:type="dxa"/>
                </w:trPr>
                <w:tc>
                  <w:tcPr>
                    <w:tcW w:w="50" w:type="pct"/>
                    <w:hideMark/>
                  </w:tcPr>
                  <w:p w14:paraId="770EA632"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[6] </w:t>
                    </w:r>
                  </w:p>
                </w:tc>
                <w:tc>
                  <w:tcPr>
                    <w:tcW w:w="0" w:type="auto"/>
                    <w:hideMark/>
                  </w:tcPr>
                  <w:p w14:paraId="080AB5AB"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A. C. d. I. S. AIS, «Evaluación y reducción de la vulnerabilidad sísmica en viviendas de mampostería AIS 410-23,» Publicaciones técnicas AIS, Bogotá, 2023.</w:t>
                    </w:r>
                  </w:p>
                </w:tc>
              </w:tr>
              <w:tr w:rsidR="0091357C" w:rsidRPr="00122437" w14:paraId="3BC010A3" w14:textId="77777777">
                <w:trPr>
                  <w:divId w:val="1305084161"/>
                  <w:tblCellSpacing w:w="15" w:type="dxa"/>
                </w:trPr>
                <w:tc>
                  <w:tcPr>
                    <w:tcW w:w="50" w:type="pct"/>
                    <w:hideMark/>
                  </w:tcPr>
                  <w:p w14:paraId="69FB13CE"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[7] </w:t>
                    </w:r>
                  </w:p>
                </w:tc>
                <w:tc>
                  <w:tcPr>
                    <w:tcW w:w="0" w:type="auto"/>
                    <w:hideMark/>
                  </w:tcPr>
                  <w:p w14:paraId="6033BBFF"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A. Hemmati, «Static nonlinear analysis in concrete structures,» de </w:t>
                    </w:r>
                    <w:r w:rsidRPr="00122437">
                      <w:rPr>
                        <w:rFonts w:ascii="Arial Narrow" w:hAnsi="Arial Narrow"/>
                        <w:i/>
                        <w:iCs/>
                        <w:noProof/>
                        <w:sz w:val="22"/>
                        <w:szCs w:val="22"/>
                      </w:rPr>
                      <w:t>AIP Conference Proceedings</w:t>
                    </w:r>
                    <w:r w:rsidRPr="00122437">
                      <w:rPr>
                        <w:rFonts w:ascii="Arial Narrow" w:hAnsi="Arial Narrow"/>
                        <w:noProof/>
                        <w:sz w:val="22"/>
                        <w:szCs w:val="22"/>
                      </w:rPr>
                      <w:t xml:space="preserve">, 2008. </w:t>
                    </w:r>
                  </w:p>
                </w:tc>
              </w:tr>
              <w:tr w:rsidR="0091357C" w:rsidRPr="00122437" w14:paraId="3D56476B" w14:textId="77777777">
                <w:trPr>
                  <w:divId w:val="1305084161"/>
                  <w:tblCellSpacing w:w="15" w:type="dxa"/>
                </w:trPr>
                <w:tc>
                  <w:tcPr>
                    <w:tcW w:w="50" w:type="pct"/>
                    <w:hideMark/>
                  </w:tcPr>
                  <w:p w14:paraId="524AFF60"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[8] </w:t>
                    </w:r>
                  </w:p>
                </w:tc>
                <w:tc>
                  <w:tcPr>
                    <w:tcW w:w="0" w:type="auto"/>
                    <w:hideMark/>
                  </w:tcPr>
                  <w:p w14:paraId="2233EEA0"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R. K. Goel y A. K. Chopra, «Evaluation of modal and FEMA pushover analyses: SAC buildings,» </w:t>
                    </w:r>
                    <w:r w:rsidRPr="00122437">
                      <w:rPr>
                        <w:rFonts w:ascii="Arial Narrow" w:hAnsi="Arial Narrow"/>
                        <w:i/>
                        <w:iCs/>
                        <w:noProof/>
                        <w:sz w:val="22"/>
                        <w:szCs w:val="22"/>
                      </w:rPr>
                      <w:t xml:space="preserve">Earthquake spectra, </w:t>
                    </w:r>
                    <w:r w:rsidRPr="00122437">
                      <w:rPr>
                        <w:rFonts w:ascii="Arial Narrow" w:hAnsi="Arial Narrow"/>
                        <w:noProof/>
                        <w:sz w:val="22"/>
                        <w:szCs w:val="22"/>
                      </w:rPr>
                      <w:t xml:space="preserve">pp. 225-254, 2004. </w:t>
                    </w:r>
                  </w:p>
                </w:tc>
              </w:tr>
              <w:tr w:rsidR="0091357C" w:rsidRPr="00122437" w14:paraId="0D17FE89" w14:textId="77777777">
                <w:trPr>
                  <w:divId w:val="1305084161"/>
                  <w:tblCellSpacing w:w="15" w:type="dxa"/>
                </w:trPr>
                <w:tc>
                  <w:tcPr>
                    <w:tcW w:w="50" w:type="pct"/>
                    <w:hideMark/>
                  </w:tcPr>
                  <w:p w14:paraId="31FE9ECD"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[9] </w:t>
                    </w:r>
                  </w:p>
                </w:tc>
                <w:tc>
                  <w:tcPr>
                    <w:tcW w:w="0" w:type="auto"/>
                    <w:hideMark/>
                  </w:tcPr>
                  <w:p w14:paraId="101EEA87"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D. Zebua y otros, «Performance Evaluation of Highrise Building Structure Based on Pushover Analysis with ATC-40 Method,» </w:t>
                    </w:r>
                    <w:r w:rsidRPr="00122437">
                      <w:rPr>
                        <w:rFonts w:ascii="Arial Narrow" w:hAnsi="Arial Narrow"/>
                        <w:i/>
                        <w:iCs/>
                        <w:noProof/>
                        <w:sz w:val="22"/>
                        <w:szCs w:val="22"/>
                      </w:rPr>
                      <w:t xml:space="preserve">Applied Research on Civil Engineering and Environment (ARCEE), </w:t>
                    </w:r>
                    <w:r w:rsidRPr="00122437">
                      <w:rPr>
                        <w:rFonts w:ascii="Arial Narrow" w:hAnsi="Arial Narrow"/>
                        <w:noProof/>
                        <w:sz w:val="22"/>
                        <w:szCs w:val="22"/>
                      </w:rPr>
                      <w:t xml:space="preserve">pp. 54-63, 2022. </w:t>
                    </w:r>
                  </w:p>
                </w:tc>
              </w:tr>
              <w:tr w:rsidR="0091357C" w:rsidRPr="00122437" w14:paraId="2DEA6C1E" w14:textId="77777777">
                <w:trPr>
                  <w:divId w:val="1305084161"/>
                  <w:tblCellSpacing w:w="15" w:type="dxa"/>
                </w:trPr>
                <w:tc>
                  <w:tcPr>
                    <w:tcW w:w="50" w:type="pct"/>
                    <w:hideMark/>
                  </w:tcPr>
                  <w:p w14:paraId="6C8C77CD"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[10] </w:t>
                    </w:r>
                  </w:p>
                </w:tc>
                <w:tc>
                  <w:tcPr>
                    <w:tcW w:w="0" w:type="auto"/>
                    <w:hideMark/>
                  </w:tcPr>
                  <w:p w14:paraId="63DCEFDA"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H. Krawinkler y G. Seneviratna, «Pros and cons of a pushover analysis of seismic performance evaluation,» </w:t>
                    </w:r>
                    <w:r w:rsidRPr="00122437">
                      <w:rPr>
                        <w:rFonts w:ascii="Arial Narrow" w:hAnsi="Arial Narrow"/>
                        <w:i/>
                        <w:iCs/>
                        <w:noProof/>
                        <w:sz w:val="22"/>
                        <w:szCs w:val="22"/>
                      </w:rPr>
                      <w:t xml:space="preserve">Engineering structures, </w:t>
                    </w:r>
                    <w:r w:rsidRPr="00122437">
                      <w:rPr>
                        <w:rFonts w:ascii="Arial Narrow" w:hAnsi="Arial Narrow"/>
                        <w:noProof/>
                        <w:sz w:val="22"/>
                        <w:szCs w:val="22"/>
                      </w:rPr>
                      <w:t xml:space="preserve">pp. 452-464, 1998. </w:t>
                    </w:r>
                  </w:p>
                </w:tc>
              </w:tr>
              <w:tr w:rsidR="0091357C" w:rsidRPr="00122437" w14:paraId="3FD6F21E" w14:textId="77777777">
                <w:trPr>
                  <w:divId w:val="1305084161"/>
                  <w:tblCellSpacing w:w="15" w:type="dxa"/>
                </w:trPr>
                <w:tc>
                  <w:tcPr>
                    <w:tcW w:w="50" w:type="pct"/>
                    <w:hideMark/>
                  </w:tcPr>
                  <w:p w14:paraId="15428049"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[11] </w:t>
                    </w:r>
                  </w:p>
                </w:tc>
                <w:tc>
                  <w:tcPr>
                    <w:tcW w:w="0" w:type="auto"/>
                    <w:hideMark/>
                  </w:tcPr>
                  <w:p w14:paraId="33402BA4"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D. A. Joshi y M. Shewale, «Structural Engineering: Trends, Applications, and Advances,» </w:t>
                    </w:r>
                    <w:r w:rsidRPr="00122437">
                      <w:rPr>
                        <w:rFonts w:ascii="Arial Narrow" w:hAnsi="Arial Narrow"/>
                        <w:i/>
                        <w:iCs/>
                        <w:noProof/>
                        <w:sz w:val="22"/>
                        <w:szCs w:val="22"/>
                      </w:rPr>
                      <w:t xml:space="preserve">Data Science for Civil Engineering, </w:t>
                    </w:r>
                    <w:r w:rsidRPr="00122437">
                      <w:rPr>
                        <w:rFonts w:ascii="Arial Narrow" w:hAnsi="Arial Narrow"/>
                        <w:noProof/>
                        <w:sz w:val="22"/>
                        <w:szCs w:val="22"/>
                      </w:rPr>
                      <w:t xml:space="preserve">pp. 89-123, 2023. </w:t>
                    </w:r>
                  </w:p>
                </w:tc>
              </w:tr>
              <w:tr w:rsidR="0091357C" w:rsidRPr="00122437" w14:paraId="51A31A85" w14:textId="77777777">
                <w:trPr>
                  <w:divId w:val="1305084161"/>
                  <w:tblCellSpacing w:w="15" w:type="dxa"/>
                </w:trPr>
                <w:tc>
                  <w:tcPr>
                    <w:tcW w:w="50" w:type="pct"/>
                    <w:hideMark/>
                  </w:tcPr>
                  <w:p w14:paraId="341343F0"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[12] </w:t>
                    </w:r>
                  </w:p>
                </w:tc>
                <w:tc>
                  <w:tcPr>
                    <w:tcW w:w="0" w:type="auto"/>
                    <w:hideMark/>
                  </w:tcPr>
                  <w:p w14:paraId="62221C43"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M. M. Zhang, «On the Intelligent Optimization Design of Building Structure,» </w:t>
                    </w:r>
                    <w:r w:rsidRPr="00122437">
                      <w:rPr>
                        <w:rFonts w:ascii="Arial Narrow" w:hAnsi="Arial Narrow"/>
                        <w:i/>
                        <w:iCs/>
                        <w:noProof/>
                        <w:sz w:val="22"/>
                        <w:szCs w:val="22"/>
                      </w:rPr>
                      <w:t xml:space="preserve">Applied Mechanics and Materials, </w:t>
                    </w:r>
                    <w:r w:rsidRPr="00122437">
                      <w:rPr>
                        <w:rFonts w:ascii="Arial Narrow" w:hAnsi="Arial Narrow"/>
                        <w:noProof/>
                        <w:sz w:val="22"/>
                        <w:szCs w:val="22"/>
                      </w:rPr>
                      <w:t xml:space="preserve">pp. 759-762, 2014. </w:t>
                    </w:r>
                  </w:p>
                </w:tc>
              </w:tr>
              <w:tr w:rsidR="0091357C" w:rsidRPr="00122437" w14:paraId="180DB88F" w14:textId="77777777">
                <w:trPr>
                  <w:divId w:val="1305084161"/>
                  <w:tblCellSpacing w:w="15" w:type="dxa"/>
                </w:trPr>
                <w:tc>
                  <w:tcPr>
                    <w:tcW w:w="50" w:type="pct"/>
                    <w:hideMark/>
                  </w:tcPr>
                  <w:p w14:paraId="793D3488"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[13] </w:t>
                    </w:r>
                  </w:p>
                </w:tc>
                <w:tc>
                  <w:tcPr>
                    <w:tcW w:w="0" w:type="auto"/>
                    <w:hideMark/>
                  </w:tcPr>
                  <w:p w14:paraId="3C154BE7"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X. Luo, A. Suksuwan, S. M. Spence y A. Kareem, «Topology optimization and performance-based design of tall buildings: A spatial framework,» de </w:t>
                    </w:r>
                    <w:r w:rsidRPr="00122437">
                      <w:rPr>
                        <w:rFonts w:ascii="Arial Narrow" w:hAnsi="Arial Narrow"/>
                        <w:i/>
                        <w:iCs/>
                        <w:noProof/>
                        <w:sz w:val="22"/>
                        <w:szCs w:val="22"/>
                      </w:rPr>
                      <w:t>Structures Congress 2017</w:t>
                    </w:r>
                    <w:r w:rsidRPr="00122437">
                      <w:rPr>
                        <w:rFonts w:ascii="Arial Narrow" w:hAnsi="Arial Narrow"/>
                        <w:noProof/>
                        <w:sz w:val="22"/>
                        <w:szCs w:val="22"/>
                      </w:rPr>
                      <w:t xml:space="preserve">, 2017. </w:t>
                    </w:r>
                  </w:p>
                </w:tc>
              </w:tr>
              <w:tr w:rsidR="0091357C" w:rsidRPr="00122437" w14:paraId="0E46E242" w14:textId="77777777">
                <w:trPr>
                  <w:divId w:val="1305084161"/>
                  <w:tblCellSpacing w:w="15" w:type="dxa"/>
                </w:trPr>
                <w:tc>
                  <w:tcPr>
                    <w:tcW w:w="50" w:type="pct"/>
                    <w:hideMark/>
                  </w:tcPr>
                  <w:p w14:paraId="616DFF0B"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[14] </w:t>
                    </w:r>
                  </w:p>
                </w:tc>
                <w:tc>
                  <w:tcPr>
                    <w:tcW w:w="0" w:type="auto"/>
                    <w:hideMark/>
                  </w:tcPr>
                  <w:p w14:paraId="53DE3292"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H. Y. Jaramillo, A. Castrillón y J. Gomez, «Mechanical properties of an earth block compressed with cementitious material,» </w:t>
                    </w:r>
                    <w:r w:rsidRPr="00122437">
                      <w:rPr>
                        <w:rFonts w:ascii="Arial Narrow" w:hAnsi="Arial Narrow"/>
                        <w:i/>
                        <w:iCs/>
                        <w:noProof/>
                        <w:sz w:val="22"/>
                        <w:szCs w:val="22"/>
                      </w:rPr>
                      <w:t xml:space="preserve">Civil Engineering and Architecture, </w:t>
                    </w:r>
                    <w:r w:rsidRPr="00122437">
                      <w:rPr>
                        <w:rFonts w:ascii="Arial Narrow" w:hAnsi="Arial Narrow"/>
                        <w:noProof/>
                        <w:sz w:val="22"/>
                        <w:szCs w:val="22"/>
                      </w:rPr>
                      <w:t xml:space="preserve">pp. 2858-2865, 2022. </w:t>
                    </w:r>
                  </w:p>
                </w:tc>
              </w:tr>
              <w:tr w:rsidR="0091357C" w:rsidRPr="00122437" w14:paraId="3E6384E6" w14:textId="77777777">
                <w:trPr>
                  <w:divId w:val="1305084161"/>
                  <w:tblCellSpacing w:w="15" w:type="dxa"/>
                </w:trPr>
                <w:tc>
                  <w:tcPr>
                    <w:tcW w:w="50" w:type="pct"/>
                    <w:hideMark/>
                  </w:tcPr>
                  <w:p w14:paraId="5062C1F0"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[15] </w:t>
                    </w:r>
                  </w:p>
                </w:tc>
                <w:tc>
                  <w:tcPr>
                    <w:tcW w:w="0" w:type="auto"/>
                    <w:hideMark/>
                  </w:tcPr>
                  <w:p w14:paraId="77B6E45C"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X. Nieto-Cárdenas, C. Takeuchi, J. Carrillo y C. Cobos, «Performance of non-structural masonry retrofitted with welded wire mesh and steel fibers under axial compression load,» </w:t>
                    </w:r>
                    <w:r w:rsidRPr="00122437">
                      <w:rPr>
                        <w:rFonts w:ascii="Arial Narrow" w:hAnsi="Arial Narrow"/>
                        <w:i/>
                        <w:iCs/>
                        <w:noProof/>
                        <w:sz w:val="22"/>
                        <w:szCs w:val="22"/>
                      </w:rPr>
                      <w:t xml:space="preserve">AIP Conference Proceedings, </w:t>
                    </w:r>
                    <w:r w:rsidRPr="00122437">
                      <w:rPr>
                        <w:rFonts w:ascii="Arial Narrow" w:hAnsi="Arial Narrow"/>
                        <w:noProof/>
                        <w:sz w:val="22"/>
                        <w:szCs w:val="22"/>
                      </w:rPr>
                      <w:t xml:space="preserve">p. 150034, 2023. </w:t>
                    </w:r>
                  </w:p>
                </w:tc>
              </w:tr>
              <w:tr w:rsidR="0091357C" w:rsidRPr="00122437" w14:paraId="7A0B56B3" w14:textId="77777777">
                <w:trPr>
                  <w:divId w:val="1305084161"/>
                  <w:tblCellSpacing w:w="15" w:type="dxa"/>
                </w:trPr>
                <w:tc>
                  <w:tcPr>
                    <w:tcW w:w="50" w:type="pct"/>
                    <w:hideMark/>
                  </w:tcPr>
                  <w:p w14:paraId="0AEE3F8E"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lastRenderedPageBreak/>
                      <w:t xml:space="preserve">[16] </w:t>
                    </w:r>
                  </w:p>
                </w:tc>
                <w:tc>
                  <w:tcPr>
                    <w:tcW w:w="0" w:type="auto"/>
                    <w:hideMark/>
                  </w:tcPr>
                  <w:p w14:paraId="7108CF73"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S.-H. Kim y M. P. Das, «Understanding metamaterials in the realm of smart materials,» de </w:t>
                    </w:r>
                    <w:r w:rsidRPr="00122437">
                      <w:rPr>
                        <w:rFonts w:ascii="Arial Narrow" w:hAnsi="Arial Narrow"/>
                        <w:i/>
                        <w:iCs/>
                        <w:noProof/>
                        <w:sz w:val="22"/>
                        <w:szCs w:val="22"/>
                      </w:rPr>
                      <w:t>AIP Conference Proceedings</w:t>
                    </w:r>
                    <w:r w:rsidRPr="00122437">
                      <w:rPr>
                        <w:rFonts w:ascii="Arial Narrow" w:hAnsi="Arial Narrow"/>
                        <w:noProof/>
                        <w:sz w:val="22"/>
                        <w:szCs w:val="22"/>
                      </w:rPr>
                      <w:t xml:space="preserve">, 2018. </w:t>
                    </w:r>
                  </w:p>
                </w:tc>
              </w:tr>
              <w:tr w:rsidR="0091357C" w:rsidRPr="00122437" w14:paraId="25AF4692" w14:textId="77777777">
                <w:trPr>
                  <w:divId w:val="1305084161"/>
                  <w:tblCellSpacing w:w="15" w:type="dxa"/>
                </w:trPr>
                <w:tc>
                  <w:tcPr>
                    <w:tcW w:w="50" w:type="pct"/>
                    <w:hideMark/>
                  </w:tcPr>
                  <w:p w14:paraId="200A0ED6"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[17] </w:t>
                    </w:r>
                  </w:p>
                </w:tc>
                <w:tc>
                  <w:tcPr>
                    <w:tcW w:w="0" w:type="auto"/>
                    <w:hideMark/>
                  </w:tcPr>
                  <w:p w14:paraId="3CE7DA52"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A. Banerjee y K. K. Bera, An Introduction to Waves in Mechanical Periodic Structures and Metamaterials, CRC Press, 2025. </w:t>
                    </w:r>
                  </w:p>
                </w:tc>
              </w:tr>
              <w:tr w:rsidR="0091357C" w:rsidRPr="00122437" w14:paraId="1647B6FE" w14:textId="77777777">
                <w:trPr>
                  <w:divId w:val="1305084161"/>
                  <w:tblCellSpacing w:w="15" w:type="dxa"/>
                </w:trPr>
                <w:tc>
                  <w:tcPr>
                    <w:tcW w:w="50" w:type="pct"/>
                    <w:hideMark/>
                  </w:tcPr>
                  <w:p w14:paraId="50330D27"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[18] </w:t>
                    </w:r>
                  </w:p>
                </w:tc>
                <w:tc>
                  <w:tcPr>
                    <w:tcW w:w="0" w:type="auto"/>
                    <w:hideMark/>
                  </w:tcPr>
                  <w:p w14:paraId="518C8143" w14:textId="77777777" w:rsidR="0091357C" w:rsidRPr="00122437" w:rsidRDefault="0091357C" w:rsidP="00122437">
                    <w:pPr>
                      <w:pStyle w:val="Bibliografa"/>
                      <w:spacing w:line="276" w:lineRule="auto"/>
                      <w:rPr>
                        <w:rFonts w:ascii="Arial Narrow" w:hAnsi="Arial Narrow"/>
                        <w:noProof/>
                        <w:sz w:val="22"/>
                        <w:szCs w:val="22"/>
                      </w:rPr>
                    </w:pPr>
                    <w:r w:rsidRPr="00122437">
                      <w:rPr>
                        <w:rFonts w:ascii="Arial Narrow" w:hAnsi="Arial Narrow"/>
                        <w:noProof/>
                        <w:sz w:val="22"/>
                        <w:szCs w:val="22"/>
                      </w:rPr>
                      <w:t xml:space="preserve">L. Jin, C. Shang, X. Zhai, X. Fu, L. Liu y otros, «Advances in intelligent design of metamaterials,» </w:t>
                    </w:r>
                    <w:r w:rsidRPr="00122437">
                      <w:rPr>
                        <w:rFonts w:ascii="Arial Narrow" w:hAnsi="Arial Narrow"/>
                        <w:i/>
                        <w:iCs/>
                        <w:noProof/>
                        <w:sz w:val="22"/>
                        <w:szCs w:val="22"/>
                      </w:rPr>
                      <w:t xml:space="preserve">Journal of Computer-Aided Design &amp; Computer Graphics, </w:t>
                    </w:r>
                    <w:r w:rsidRPr="00122437">
                      <w:rPr>
                        <w:rFonts w:ascii="Arial Narrow" w:hAnsi="Arial Narrow"/>
                        <w:noProof/>
                        <w:sz w:val="22"/>
                        <w:szCs w:val="22"/>
                      </w:rPr>
                      <w:t xml:space="preserve">pp. 1-27, 2025. </w:t>
                    </w:r>
                  </w:p>
                </w:tc>
              </w:tr>
            </w:tbl>
            <w:p w14:paraId="5843E4F8" w14:textId="77777777" w:rsidR="0091357C" w:rsidRPr="00122437" w:rsidRDefault="0091357C" w:rsidP="00122437">
              <w:pPr>
                <w:spacing w:line="276" w:lineRule="auto"/>
                <w:divId w:val="1305084161"/>
                <w:rPr>
                  <w:rFonts w:ascii="Arial Narrow" w:eastAsia="Times New Roman" w:hAnsi="Arial Narrow"/>
                  <w:noProof/>
                  <w:sz w:val="22"/>
                  <w:szCs w:val="22"/>
                </w:rPr>
              </w:pPr>
            </w:p>
            <w:p w14:paraId="7B0E95FB" w14:textId="33AEA775" w:rsidR="0091357C" w:rsidRPr="00122437" w:rsidRDefault="0091357C" w:rsidP="00122437">
              <w:pPr>
                <w:spacing w:line="276" w:lineRule="auto"/>
                <w:rPr>
                  <w:rFonts w:ascii="Arial Narrow" w:hAnsi="Arial Narrow"/>
                  <w:sz w:val="22"/>
                  <w:szCs w:val="22"/>
                </w:rPr>
              </w:pPr>
              <w:r w:rsidRPr="00122437">
                <w:rPr>
                  <w:rFonts w:ascii="Arial Narrow" w:hAnsi="Arial Narrow"/>
                  <w:b/>
                  <w:bCs/>
                  <w:sz w:val="22"/>
                  <w:szCs w:val="22"/>
                </w:rPr>
                <w:fldChar w:fldCharType="end"/>
              </w:r>
            </w:p>
          </w:sdtContent>
        </w:sdt>
      </w:sdtContent>
    </w:sdt>
    <w:p w14:paraId="54D79547" w14:textId="0C296671" w:rsidR="3D773BF9" w:rsidRPr="00122437" w:rsidRDefault="3D773BF9" w:rsidP="00122437">
      <w:pPr>
        <w:spacing w:before="241" w:after="241" w:line="276" w:lineRule="auto"/>
        <w:jc w:val="both"/>
        <w:rPr>
          <w:rFonts w:ascii="Arial Narrow" w:eastAsia="Aptos" w:hAnsi="Arial Narrow" w:cs="Aptos"/>
          <w:color w:val="2E2E2E"/>
          <w:sz w:val="22"/>
          <w:szCs w:val="22"/>
        </w:rPr>
      </w:pPr>
    </w:p>
    <w:sectPr w:rsidR="3D773BF9" w:rsidRPr="0012243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3415"/>
    <w:multiLevelType w:val="hybridMultilevel"/>
    <w:tmpl w:val="2A380E58"/>
    <w:lvl w:ilvl="0" w:tplc="AD120132">
      <w:start w:val="1"/>
      <w:numFmt w:val="bullet"/>
      <w:lvlText w:val=""/>
      <w:lvlJc w:val="left"/>
      <w:pPr>
        <w:ind w:left="720" w:hanging="360"/>
      </w:pPr>
      <w:rPr>
        <w:rFonts w:ascii="Symbol" w:hAnsi="Symbol" w:hint="default"/>
      </w:rPr>
    </w:lvl>
    <w:lvl w:ilvl="1" w:tplc="407C378C">
      <w:start w:val="1"/>
      <w:numFmt w:val="bullet"/>
      <w:lvlText w:val="o"/>
      <w:lvlJc w:val="left"/>
      <w:pPr>
        <w:ind w:left="1440" w:hanging="360"/>
      </w:pPr>
      <w:rPr>
        <w:rFonts w:ascii="Courier New" w:hAnsi="Courier New" w:hint="default"/>
      </w:rPr>
    </w:lvl>
    <w:lvl w:ilvl="2" w:tplc="44C4976C">
      <w:start w:val="1"/>
      <w:numFmt w:val="bullet"/>
      <w:lvlText w:val=""/>
      <w:lvlJc w:val="left"/>
      <w:pPr>
        <w:ind w:left="2160" w:hanging="360"/>
      </w:pPr>
      <w:rPr>
        <w:rFonts w:ascii="Wingdings" w:hAnsi="Wingdings" w:hint="default"/>
      </w:rPr>
    </w:lvl>
    <w:lvl w:ilvl="3" w:tplc="B4024E16">
      <w:start w:val="1"/>
      <w:numFmt w:val="bullet"/>
      <w:lvlText w:val=""/>
      <w:lvlJc w:val="left"/>
      <w:pPr>
        <w:ind w:left="2880" w:hanging="360"/>
      </w:pPr>
      <w:rPr>
        <w:rFonts w:ascii="Symbol" w:hAnsi="Symbol" w:hint="default"/>
      </w:rPr>
    </w:lvl>
    <w:lvl w:ilvl="4" w:tplc="2F9A8668">
      <w:start w:val="1"/>
      <w:numFmt w:val="bullet"/>
      <w:lvlText w:val="o"/>
      <w:lvlJc w:val="left"/>
      <w:pPr>
        <w:ind w:left="3600" w:hanging="360"/>
      </w:pPr>
      <w:rPr>
        <w:rFonts w:ascii="Courier New" w:hAnsi="Courier New" w:hint="default"/>
      </w:rPr>
    </w:lvl>
    <w:lvl w:ilvl="5" w:tplc="DE4A444C">
      <w:start w:val="1"/>
      <w:numFmt w:val="bullet"/>
      <w:lvlText w:val=""/>
      <w:lvlJc w:val="left"/>
      <w:pPr>
        <w:ind w:left="4320" w:hanging="360"/>
      </w:pPr>
      <w:rPr>
        <w:rFonts w:ascii="Wingdings" w:hAnsi="Wingdings" w:hint="default"/>
      </w:rPr>
    </w:lvl>
    <w:lvl w:ilvl="6" w:tplc="77465970">
      <w:start w:val="1"/>
      <w:numFmt w:val="bullet"/>
      <w:lvlText w:val=""/>
      <w:lvlJc w:val="left"/>
      <w:pPr>
        <w:ind w:left="5040" w:hanging="360"/>
      </w:pPr>
      <w:rPr>
        <w:rFonts w:ascii="Symbol" w:hAnsi="Symbol" w:hint="default"/>
      </w:rPr>
    </w:lvl>
    <w:lvl w:ilvl="7" w:tplc="99D04E52">
      <w:start w:val="1"/>
      <w:numFmt w:val="bullet"/>
      <w:lvlText w:val="o"/>
      <w:lvlJc w:val="left"/>
      <w:pPr>
        <w:ind w:left="5760" w:hanging="360"/>
      </w:pPr>
      <w:rPr>
        <w:rFonts w:ascii="Courier New" w:hAnsi="Courier New" w:hint="default"/>
      </w:rPr>
    </w:lvl>
    <w:lvl w:ilvl="8" w:tplc="393AEF76">
      <w:start w:val="1"/>
      <w:numFmt w:val="bullet"/>
      <w:lvlText w:val=""/>
      <w:lvlJc w:val="left"/>
      <w:pPr>
        <w:ind w:left="6480" w:hanging="360"/>
      </w:pPr>
      <w:rPr>
        <w:rFonts w:ascii="Wingdings" w:hAnsi="Wingdings" w:hint="default"/>
      </w:rPr>
    </w:lvl>
  </w:abstractNum>
  <w:abstractNum w:abstractNumId="1" w15:restartNumberingAfterBreak="0">
    <w:nsid w:val="075C9DCC"/>
    <w:multiLevelType w:val="hybridMultilevel"/>
    <w:tmpl w:val="3E0E2156"/>
    <w:lvl w:ilvl="0" w:tplc="44F01DC4">
      <w:start w:val="1"/>
      <w:numFmt w:val="bullet"/>
      <w:lvlText w:val=""/>
      <w:lvlJc w:val="left"/>
      <w:pPr>
        <w:ind w:left="720" w:hanging="360"/>
      </w:pPr>
      <w:rPr>
        <w:rFonts w:ascii="Symbol" w:hAnsi="Symbol" w:hint="default"/>
      </w:rPr>
    </w:lvl>
    <w:lvl w:ilvl="1" w:tplc="47D412C2">
      <w:start w:val="1"/>
      <w:numFmt w:val="bullet"/>
      <w:lvlText w:val="o"/>
      <w:lvlJc w:val="left"/>
      <w:pPr>
        <w:ind w:left="1440" w:hanging="360"/>
      </w:pPr>
      <w:rPr>
        <w:rFonts w:ascii="Courier New" w:hAnsi="Courier New" w:hint="default"/>
      </w:rPr>
    </w:lvl>
    <w:lvl w:ilvl="2" w:tplc="DA243AC6">
      <w:start w:val="1"/>
      <w:numFmt w:val="bullet"/>
      <w:lvlText w:val=""/>
      <w:lvlJc w:val="left"/>
      <w:pPr>
        <w:ind w:left="2160" w:hanging="360"/>
      </w:pPr>
      <w:rPr>
        <w:rFonts w:ascii="Wingdings" w:hAnsi="Wingdings" w:hint="default"/>
      </w:rPr>
    </w:lvl>
    <w:lvl w:ilvl="3" w:tplc="4170B75E">
      <w:start w:val="1"/>
      <w:numFmt w:val="bullet"/>
      <w:lvlText w:val=""/>
      <w:lvlJc w:val="left"/>
      <w:pPr>
        <w:ind w:left="2880" w:hanging="360"/>
      </w:pPr>
      <w:rPr>
        <w:rFonts w:ascii="Symbol" w:hAnsi="Symbol" w:hint="default"/>
      </w:rPr>
    </w:lvl>
    <w:lvl w:ilvl="4" w:tplc="1A2A3544">
      <w:start w:val="1"/>
      <w:numFmt w:val="bullet"/>
      <w:lvlText w:val="o"/>
      <w:lvlJc w:val="left"/>
      <w:pPr>
        <w:ind w:left="3600" w:hanging="360"/>
      </w:pPr>
      <w:rPr>
        <w:rFonts w:ascii="Courier New" w:hAnsi="Courier New" w:hint="default"/>
      </w:rPr>
    </w:lvl>
    <w:lvl w:ilvl="5" w:tplc="FF66AA00">
      <w:start w:val="1"/>
      <w:numFmt w:val="bullet"/>
      <w:lvlText w:val=""/>
      <w:lvlJc w:val="left"/>
      <w:pPr>
        <w:ind w:left="4320" w:hanging="360"/>
      </w:pPr>
      <w:rPr>
        <w:rFonts w:ascii="Wingdings" w:hAnsi="Wingdings" w:hint="default"/>
      </w:rPr>
    </w:lvl>
    <w:lvl w:ilvl="6" w:tplc="672449F2">
      <w:start w:val="1"/>
      <w:numFmt w:val="bullet"/>
      <w:lvlText w:val=""/>
      <w:lvlJc w:val="left"/>
      <w:pPr>
        <w:ind w:left="5040" w:hanging="360"/>
      </w:pPr>
      <w:rPr>
        <w:rFonts w:ascii="Symbol" w:hAnsi="Symbol" w:hint="default"/>
      </w:rPr>
    </w:lvl>
    <w:lvl w:ilvl="7" w:tplc="4D0897AA">
      <w:start w:val="1"/>
      <w:numFmt w:val="bullet"/>
      <w:lvlText w:val="o"/>
      <w:lvlJc w:val="left"/>
      <w:pPr>
        <w:ind w:left="5760" w:hanging="360"/>
      </w:pPr>
      <w:rPr>
        <w:rFonts w:ascii="Courier New" w:hAnsi="Courier New" w:hint="default"/>
      </w:rPr>
    </w:lvl>
    <w:lvl w:ilvl="8" w:tplc="CD56D40C">
      <w:start w:val="1"/>
      <w:numFmt w:val="bullet"/>
      <w:lvlText w:val=""/>
      <w:lvlJc w:val="left"/>
      <w:pPr>
        <w:ind w:left="6480" w:hanging="360"/>
      </w:pPr>
      <w:rPr>
        <w:rFonts w:ascii="Wingdings" w:hAnsi="Wingdings" w:hint="default"/>
      </w:rPr>
    </w:lvl>
  </w:abstractNum>
  <w:abstractNum w:abstractNumId="2" w15:restartNumberingAfterBreak="0">
    <w:nsid w:val="0CDC257D"/>
    <w:multiLevelType w:val="hybridMultilevel"/>
    <w:tmpl w:val="50649FBA"/>
    <w:lvl w:ilvl="0" w:tplc="08EA4764">
      <w:start w:val="1"/>
      <w:numFmt w:val="bullet"/>
      <w:lvlText w:val=""/>
      <w:lvlJc w:val="left"/>
      <w:pPr>
        <w:ind w:left="720" w:hanging="360"/>
      </w:pPr>
      <w:rPr>
        <w:rFonts w:ascii="Symbol" w:hAnsi="Symbol" w:hint="default"/>
      </w:rPr>
    </w:lvl>
    <w:lvl w:ilvl="1" w:tplc="3A7407F6">
      <w:start w:val="1"/>
      <w:numFmt w:val="bullet"/>
      <w:lvlText w:val="o"/>
      <w:lvlJc w:val="left"/>
      <w:pPr>
        <w:ind w:left="1440" w:hanging="360"/>
      </w:pPr>
      <w:rPr>
        <w:rFonts w:ascii="Courier New" w:hAnsi="Courier New" w:hint="default"/>
      </w:rPr>
    </w:lvl>
    <w:lvl w:ilvl="2" w:tplc="B20AC038">
      <w:start w:val="1"/>
      <w:numFmt w:val="bullet"/>
      <w:lvlText w:val=""/>
      <w:lvlJc w:val="left"/>
      <w:pPr>
        <w:ind w:left="2160" w:hanging="360"/>
      </w:pPr>
      <w:rPr>
        <w:rFonts w:ascii="Wingdings" w:hAnsi="Wingdings" w:hint="default"/>
      </w:rPr>
    </w:lvl>
    <w:lvl w:ilvl="3" w:tplc="ACD63DFE">
      <w:start w:val="1"/>
      <w:numFmt w:val="bullet"/>
      <w:lvlText w:val=""/>
      <w:lvlJc w:val="left"/>
      <w:pPr>
        <w:ind w:left="2880" w:hanging="360"/>
      </w:pPr>
      <w:rPr>
        <w:rFonts w:ascii="Symbol" w:hAnsi="Symbol" w:hint="default"/>
      </w:rPr>
    </w:lvl>
    <w:lvl w:ilvl="4" w:tplc="9724E212">
      <w:start w:val="1"/>
      <w:numFmt w:val="bullet"/>
      <w:lvlText w:val="o"/>
      <w:lvlJc w:val="left"/>
      <w:pPr>
        <w:ind w:left="3600" w:hanging="360"/>
      </w:pPr>
      <w:rPr>
        <w:rFonts w:ascii="Courier New" w:hAnsi="Courier New" w:hint="default"/>
      </w:rPr>
    </w:lvl>
    <w:lvl w:ilvl="5" w:tplc="7EE23614">
      <w:start w:val="1"/>
      <w:numFmt w:val="bullet"/>
      <w:lvlText w:val=""/>
      <w:lvlJc w:val="left"/>
      <w:pPr>
        <w:ind w:left="4320" w:hanging="360"/>
      </w:pPr>
      <w:rPr>
        <w:rFonts w:ascii="Wingdings" w:hAnsi="Wingdings" w:hint="default"/>
      </w:rPr>
    </w:lvl>
    <w:lvl w:ilvl="6" w:tplc="FD00B654">
      <w:start w:val="1"/>
      <w:numFmt w:val="bullet"/>
      <w:lvlText w:val=""/>
      <w:lvlJc w:val="left"/>
      <w:pPr>
        <w:ind w:left="5040" w:hanging="360"/>
      </w:pPr>
      <w:rPr>
        <w:rFonts w:ascii="Symbol" w:hAnsi="Symbol" w:hint="default"/>
      </w:rPr>
    </w:lvl>
    <w:lvl w:ilvl="7" w:tplc="37DC5200">
      <w:start w:val="1"/>
      <w:numFmt w:val="bullet"/>
      <w:lvlText w:val="o"/>
      <w:lvlJc w:val="left"/>
      <w:pPr>
        <w:ind w:left="5760" w:hanging="360"/>
      </w:pPr>
      <w:rPr>
        <w:rFonts w:ascii="Courier New" w:hAnsi="Courier New" w:hint="default"/>
      </w:rPr>
    </w:lvl>
    <w:lvl w:ilvl="8" w:tplc="4EC2E18A">
      <w:start w:val="1"/>
      <w:numFmt w:val="bullet"/>
      <w:lvlText w:val=""/>
      <w:lvlJc w:val="left"/>
      <w:pPr>
        <w:ind w:left="6480" w:hanging="360"/>
      </w:pPr>
      <w:rPr>
        <w:rFonts w:ascii="Wingdings" w:hAnsi="Wingdings" w:hint="default"/>
      </w:rPr>
    </w:lvl>
  </w:abstractNum>
  <w:abstractNum w:abstractNumId="3" w15:restartNumberingAfterBreak="0">
    <w:nsid w:val="17A9219A"/>
    <w:multiLevelType w:val="hybridMultilevel"/>
    <w:tmpl w:val="D46CDA52"/>
    <w:lvl w:ilvl="0" w:tplc="3E7A32EA">
      <w:start w:val="1"/>
      <w:numFmt w:val="bullet"/>
      <w:lvlText w:val=""/>
      <w:lvlJc w:val="left"/>
      <w:pPr>
        <w:ind w:left="720" w:hanging="360"/>
      </w:pPr>
      <w:rPr>
        <w:rFonts w:ascii="Symbol" w:hAnsi="Symbol" w:hint="default"/>
      </w:rPr>
    </w:lvl>
    <w:lvl w:ilvl="1" w:tplc="9050F736">
      <w:start w:val="1"/>
      <w:numFmt w:val="bullet"/>
      <w:lvlText w:val="o"/>
      <w:lvlJc w:val="left"/>
      <w:pPr>
        <w:ind w:left="1440" w:hanging="360"/>
      </w:pPr>
      <w:rPr>
        <w:rFonts w:ascii="Courier New" w:hAnsi="Courier New" w:hint="default"/>
      </w:rPr>
    </w:lvl>
    <w:lvl w:ilvl="2" w:tplc="5596C73A">
      <w:start w:val="1"/>
      <w:numFmt w:val="bullet"/>
      <w:lvlText w:val=""/>
      <w:lvlJc w:val="left"/>
      <w:pPr>
        <w:ind w:left="2160" w:hanging="360"/>
      </w:pPr>
      <w:rPr>
        <w:rFonts w:ascii="Wingdings" w:hAnsi="Wingdings" w:hint="default"/>
      </w:rPr>
    </w:lvl>
    <w:lvl w:ilvl="3" w:tplc="B59CB3B0">
      <w:start w:val="1"/>
      <w:numFmt w:val="bullet"/>
      <w:lvlText w:val=""/>
      <w:lvlJc w:val="left"/>
      <w:pPr>
        <w:ind w:left="2880" w:hanging="360"/>
      </w:pPr>
      <w:rPr>
        <w:rFonts w:ascii="Symbol" w:hAnsi="Symbol" w:hint="default"/>
      </w:rPr>
    </w:lvl>
    <w:lvl w:ilvl="4" w:tplc="1206EB08">
      <w:start w:val="1"/>
      <w:numFmt w:val="bullet"/>
      <w:lvlText w:val="o"/>
      <w:lvlJc w:val="left"/>
      <w:pPr>
        <w:ind w:left="3600" w:hanging="360"/>
      </w:pPr>
      <w:rPr>
        <w:rFonts w:ascii="Courier New" w:hAnsi="Courier New" w:hint="default"/>
      </w:rPr>
    </w:lvl>
    <w:lvl w:ilvl="5" w:tplc="58CCEE00">
      <w:start w:val="1"/>
      <w:numFmt w:val="bullet"/>
      <w:lvlText w:val=""/>
      <w:lvlJc w:val="left"/>
      <w:pPr>
        <w:ind w:left="4320" w:hanging="360"/>
      </w:pPr>
      <w:rPr>
        <w:rFonts w:ascii="Wingdings" w:hAnsi="Wingdings" w:hint="default"/>
      </w:rPr>
    </w:lvl>
    <w:lvl w:ilvl="6" w:tplc="12AE0C9A">
      <w:start w:val="1"/>
      <w:numFmt w:val="bullet"/>
      <w:lvlText w:val=""/>
      <w:lvlJc w:val="left"/>
      <w:pPr>
        <w:ind w:left="5040" w:hanging="360"/>
      </w:pPr>
      <w:rPr>
        <w:rFonts w:ascii="Symbol" w:hAnsi="Symbol" w:hint="default"/>
      </w:rPr>
    </w:lvl>
    <w:lvl w:ilvl="7" w:tplc="B01A8B1E">
      <w:start w:val="1"/>
      <w:numFmt w:val="bullet"/>
      <w:lvlText w:val="o"/>
      <w:lvlJc w:val="left"/>
      <w:pPr>
        <w:ind w:left="5760" w:hanging="360"/>
      </w:pPr>
      <w:rPr>
        <w:rFonts w:ascii="Courier New" w:hAnsi="Courier New" w:hint="default"/>
      </w:rPr>
    </w:lvl>
    <w:lvl w:ilvl="8" w:tplc="81A4E704">
      <w:start w:val="1"/>
      <w:numFmt w:val="bullet"/>
      <w:lvlText w:val=""/>
      <w:lvlJc w:val="left"/>
      <w:pPr>
        <w:ind w:left="6480" w:hanging="360"/>
      </w:pPr>
      <w:rPr>
        <w:rFonts w:ascii="Wingdings" w:hAnsi="Wingdings" w:hint="default"/>
      </w:rPr>
    </w:lvl>
  </w:abstractNum>
  <w:abstractNum w:abstractNumId="4" w15:restartNumberingAfterBreak="0">
    <w:nsid w:val="21515E86"/>
    <w:multiLevelType w:val="hybridMultilevel"/>
    <w:tmpl w:val="F35A57A0"/>
    <w:lvl w:ilvl="0" w:tplc="F92CBFCE">
      <w:start w:val="1"/>
      <w:numFmt w:val="decimal"/>
      <w:lvlText w:val="%1."/>
      <w:lvlJc w:val="left"/>
      <w:pPr>
        <w:ind w:left="720" w:hanging="360"/>
      </w:pPr>
    </w:lvl>
    <w:lvl w:ilvl="1" w:tplc="C3041A5E">
      <w:start w:val="1"/>
      <w:numFmt w:val="lowerLetter"/>
      <w:lvlText w:val="%2."/>
      <w:lvlJc w:val="left"/>
      <w:pPr>
        <w:ind w:left="1440" w:hanging="360"/>
      </w:pPr>
    </w:lvl>
    <w:lvl w:ilvl="2" w:tplc="F3604A78">
      <w:start w:val="1"/>
      <w:numFmt w:val="lowerRoman"/>
      <w:lvlText w:val="%3."/>
      <w:lvlJc w:val="right"/>
      <w:pPr>
        <w:ind w:left="2160" w:hanging="180"/>
      </w:pPr>
    </w:lvl>
    <w:lvl w:ilvl="3" w:tplc="495263F6">
      <w:start w:val="1"/>
      <w:numFmt w:val="decimal"/>
      <w:lvlText w:val="%4."/>
      <w:lvlJc w:val="left"/>
      <w:pPr>
        <w:ind w:left="2880" w:hanging="360"/>
      </w:pPr>
    </w:lvl>
    <w:lvl w:ilvl="4" w:tplc="69C62A14">
      <w:start w:val="1"/>
      <w:numFmt w:val="lowerLetter"/>
      <w:lvlText w:val="%5."/>
      <w:lvlJc w:val="left"/>
      <w:pPr>
        <w:ind w:left="3600" w:hanging="360"/>
      </w:pPr>
    </w:lvl>
    <w:lvl w:ilvl="5" w:tplc="D02A6B86">
      <w:start w:val="1"/>
      <w:numFmt w:val="lowerRoman"/>
      <w:lvlText w:val="%6."/>
      <w:lvlJc w:val="right"/>
      <w:pPr>
        <w:ind w:left="4320" w:hanging="180"/>
      </w:pPr>
    </w:lvl>
    <w:lvl w:ilvl="6" w:tplc="4A249408">
      <w:start w:val="1"/>
      <w:numFmt w:val="decimal"/>
      <w:lvlText w:val="%7."/>
      <w:lvlJc w:val="left"/>
      <w:pPr>
        <w:ind w:left="5040" w:hanging="360"/>
      </w:pPr>
    </w:lvl>
    <w:lvl w:ilvl="7" w:tplc="8EE8C9DC">
      <w:start w:val="1"/>
      <w:numFmt w:val="lowerLetter"/>
      <w:lvlText w:val="%8."/>
      <w:lvlJc w:val="left"/>
      <w:pPr>
        <w:ind w:left="5760" w:hanging="360"/>
      </w:pPr>
    </w:lvl>
    <w:lvl w:ilvl="8" w:tplc="75F6C14E">
      <w:start w:val="1"/>
      <w:numFmt w:val="lowerRoman"/>
      <w:lvlText w:val="%9."/>
      <w:lvlJc w:val="right"/>
      <w:pPr>
        <w:ind w:left="6480" w:hanging="180"/>
      </w:pPr>
    </w:lvl>
  </w:abstractNum>
  <w:abstractNum w:abstractNumId="5" w15:restartNumberingAfterBreak="0">
    <w:nsid w:val="301FB6D4"/>
    <w:multiLevelType w:val="hybridMultilevel"/>
    <w:tmpl w:val="353A6426"/>
    <w:lvl w:ilvl="0" w:tplc="7A1AA6E6">
      <w:start w:val="1"/>
      <w:numFmt w:val="bullet"/>
      <w:lvlText w:val=""/>
      <w:lvlJc w:val="left"/>
      <w:pPr>
        <w:ind w:left="720" w:hanging="360"/>
      </w:pPr>
      <w:rPr>
        <w:rFonts w:ascii="Symbol" w:hAnsi="Symbol" w:hint="default"/>
      </w:rPr>
    </w:lvl>
    <w:lvl w:ilvl="1" w:tplc="5F4E96AA">
      <w:start w:val="1"/>
      <w:numFmt w:val="bullet"/>
      <w:lvlText w:val="o"/>
      <w:lvlJc w:val="left"/>
      <w:pPr>
        <w:ind w:left="1440" w:hanging="360"/>
      </w:pPr>
      <w:rPr>
        <w:rFonts w:ascii="Courier New" w:hAnsi="Courier New" w:hint="default"/>
      </w:rPr>
    </w:lvl>
    <w:lvl w:ilvl="2" w:tplc="72EAEC5E">
      <w:start w:val="1"/>
      <w:numFmt w:val="bullet"/>
      <w:lvlText w:val=""/>
      <w:lvlJc w:val="left"/>
      <w:pPr>
        <w:ind w:left="2160" w:hanging="360"/>
      </w:pPr>
      <w:rPr>
        <w:rFonts w:ascii="Wingdings" w:hAnsi="Wingdings" w:hint="default"/>
      </w:rPr>
    </w:lvl>
    <w:lvl w:ilvl="3" w:tplc="6E7285BE">
      <w:start w:val="1"/>
      <w:numFmt w:val="bullet"/>
      <w:lvlText w:val=""/>
      <w:lvlJc w:val="left"/>
      <w:pPr>
        <w:ind w:left="2880" w:hanging="360"/>
      </w:pPr>
      <w:rPr>
        <w:rFonts w:ascii="Symbol" w:hAnsi="Symbol" w:hint="default"/>
      </w:rPr>
    </w:lvl>
    <w:lvl w:ilvl="4" w:tplc="5CD239E2">
      <w:start w:val="1"/>
      <w:numFmt w:val="bullet"/>
      <w:lvlText w:val="o"/>
      <w:lvlJc w:val="left"/>
      <w:pPr>
        <w:ind w:left="3600" w:hanging="360"/>
      </w:pPr>
      <w:rPr>
        <w:rFonts w:ascii="Courier New" w:hAnsi="Courier New" w:hint="default"/>
      </w:rPr>
    </w:lvl>
    <w:lvl w:ilvl="5" w:tplc="F6D633B4">
      <w:start w:val="1"/>
      <w:numFmt w:val="bullet"/>
      <w:lvlText w:val=""/>
      <w:lvlJc w:val="left"/>
      <w:pPr>
        <w:ind w:left="4320" w:hanging="360"/>
      </w:pPr>
      <w:rPr>
        <w:rFonts w:ascii="Wingdings" w:hAnsi="Wingdings" w:hint="default"/>
      </w:rPr>
    </w:lvl>
    <w:lvl w:ilvl="6" w:tplc="CA48B26C">
      <w:start w:val="1"/>
      <w:numFmt w:val="bullet"/>
      <w:lvlText w:val=""/>
      <w:lvlJc w:val="left"/>
      <w:pPr>
        <w:ind w:left="5040" w:hanging="360"/>
      </w:pPr>
      <w:rPr>
        <w:rFonts w:ascii="Symbol" w:hAnsi="Symbol" w:hint="default"/>
      </w:rPr>
    </w:lvl>
    <w:lvl w:ilvl="7" w:tplc="51909BEA">
      <w:start w:val="1"/>
      <w:numFmt w:val="bullet"/>
      <w:lvlText w:val="o"/>
      <w:lvlJc w:val="left"/>
      <w:pPr>
        <w:ind w:left="5760" w:hanging="360"/>
      </w:pPr>
      <w:rPr>
        <w:rFonts w:ascii="Courier New" w:hAnsi="Courier New" w:hint="default"/>
      </w:rPr>
    </w:lvl>
    <w:lvl w:ilvl="8" w:tplc="D6866F32">
      <w:start w:val="1"/>
      <w:numFmt w:val="bullet"/>
      <w:lvlText w:val=""/>
      <w:lvlJc w:val="left"/>
      <w:pPr>
        <w:ind w:left="6480" w:hanging="360"/>
      </w:pPr>
      <w:rPr>
        <w:rFonts w:ascii="Wingdings" w:hAnsi="Wingdings" w:hint="default"/>
      </w:rPr>
    </w:lvl>
  </w:abstractNum>
  <w:abstractNum w:abstractNumId="6" w15:restartNumberingAfterBreak="0">
    <w:nsid w:val="47775355"/>
    <w:multiLevelType w:val="multilevel"/>
    <w:tmpl w:val="7234B0BC"/>
    <w:lvl w:ilvl="0">
      <w:start w:val="1"/>
      <w:numFmt w:val="decimal"/>
      <w:lvlText w:val="%1."/>
      <w:lvlJc w:val="left"/>
      <w:pPr>
        <w:ind w:left="720" w:hanging="360"/>
      </w:pPr>
      <w:rPr>
        <w:rFonts w:eastAsiaTheme="majorEastAsia" w:cstheme="majorBidi" w:hint="default"/>
        <w:color w:val="0F4761" w:themeColor="accent1" w:themeShade="BF"/>
      </w:rPr>
    </w:lvl>
    <w:lvl w:ilvl="1">
      <w:start w:val="1"/>
      <w:numFmt w:val="decimal"/>
      <w:isLgl/>
      <w:lvlText w:val="%1.%2."/>
      <w:lvlJc w:val="left"/>
      <w:pPr>
        <w:ind w:left="720" w:hanging="360"/>
      </w:pPr>
      <w:rPr>
        <w:rFonts w:eastAsiaTheme="majorEastAsia" w:cstheme="majorBidi" w:hint="default"/>
        <w:b w:val="0"/>
        <w:color w:val="0F4761" w:themeColor="accent1" w:themeShade="BF"/>
      </w:rPr>
    </w:lvl>
    <w:lvl w:ilvl="2">
      <w:start w:val="1"/>
      <w:numFmt w:val="decimal"/>
      <w:isLgl/>
      <w:lvlText w:val="%1.%2.%3."/>
      <w:lvlJc w:val="left"/>
      <w:pPr>
        <w:ind w:left="1080" w:hanging="720"/>
      </w:pPr>
      <w:rPr>
        <w:rFonts w:eastAsiaTheme="majorEastAsia" w:cstheme="majorBidi" w:hint="default"/>
        <w:b w:val="0"/>
        <w:color w:val="0F4761" w:themeColor="accent1" w:themeShade="BF"/>
      </w:rPr>
    </w:lvl>
    <w:lvl w:ilvl="3">
      <w:start w:val="1"/>
      <w:numFmt w:val="decimal"/>
      <w:isLgl/>
      <w:lvlText w:val="%1.%2.%3.%4."/>
      <w:lvlJc w:val="left"/>
      <w:pPr>
        <w:ind w:left="1080" w:hanging="720"/>
      </w:pPr>
      <w:rPr>
        <w:rFonts w:eastAsiaTheme="majorEastAsia" w:cstheme="majorBidi" w:hint="default"/>
        <w:b w:val="0"/>
        <w:color w:val="0F4761" w:themeColor="accent1" w:themeShade="BF"/>
      </w:rPr>
    </w:lvl>
    <w:lvl w:ilvl="4">
      <w:start w:val="1"/>
      <w:numFmt w:val="decimal"/>
      <w:isLgl/>
      <w:lvlText w:val="%1.%2.%3.%4.%5."/>
      <w:lvlJc w:val="left"/>
      <w:pPr>
        <w:ind w:left="1440" w:hanging="1080"/>
      </w:pPr>
      <w:rPr>
        <w:rFonts w:eastAsiaTheme="majorEastAsia" w:cstheme="majorBidi" w:hint="default"/>
        <w:b w:val="0"/>
        <w:color w:val="0F4761" w:themeColor="accent1" w:themeShade="BF"/>
      </w:rPr>
    </w:lvl>
    <w:lvl w:ilvl="5">
      <w:start w:val="1"/>
      <w:numFmt w:val="decimal"/>
      <w:isLgl/>
      <w:lvlText w:val="%1.%2.%3.%4.%5.%6."/>
      <w:lvlJc w:val="left"/>
      <w:pPr>
        <w:ind w:left="1440" w:hanging="1080"/>
      </w:pPr>
      <w:rPr>
        <w:rFonts w:eastAsiaTheme="majorEastAsia" w:cstheme="majorBidi" w:hint="default"/>
        <w:b w:val="0"/>
        <w:color w:val="0F4761" w:themeColor="accent1" w:themeShade="BF"/>
      </w:rPr>
    </w:lvl>
    <w:lvl w:ilvl="6">
      <w:start w:val="1"/>
      <w:numFmt w:val="decimal"/>
      <w:isLgl/>
      <w:lvlText w:val="%1.%2.%3.%4.%5.%6.%7."/>
      <w:lvlJc w:val="left"/>
      <w:pPr>
        <w:ind w:left="1440" w:hanging="1080"/>
      </w:pPr>
      <w:rPr>
        <w:rFonts w:eastAsiaTheme="majorEastAsia" w:cstheme="majorBidi" w:hint="default"/>
        <w:b w:val="0"/>
        <w:color w:val="0F4761" w:themeColor="accent1" w:themeShade="BF"/>
      </w:rPr>
    </w:lvl>
    <w:lvl w:ilvl="7">
      <w:start w:val="1"/>
      <w:numFmt w:val="decimal"/>
      <w:isLgl/>
      <w:lvlText w:val="%1.%2.%3.%4.%5.%6.%7.%8."/>
      <w:lvlJc w:val="left"/>
      <w:pPr>
        <w:ind w:left="1800" w:hanging="1440"/>
      </w:pPr>
      <w:rPr>
        <w:rFonts w:eastAsiaTheme="majorEastAsia" w:cstheme="majorBidi" w:hint="default"/>
        <w:b w:val="0"/>
        <w:color w:val="0F4761" w:themeColor="accent1" w:themeShade="BF"/>
      </w:rPr>
    </w:lvl>
    <w:lvl w:ilvl="8">
      <w:start w:val="1"/>
      <w:numFmt w:val="decimal"/>
      <w:isLgl/>
      <w:lvlText w:val="%1.%2.%3.%4.%5.%6.%7.%8.%9."/>
      <w:lvlJc w:val="left"/>
      <w:pPr>
        <w:ind w:left="1800" w:hanging="1440"/>
      </w:pPr>
      <w:rPr>
        <w:rFonts w:eastAsiaTheme="majorEastAsia" w:cstheme="majorBidi" w:hint="default"/>
        <w:b w:val="0"/>
        <w:color w:val="0F4761" w:themeColor="accent1" w:themeShade="BF"/>
      </w:rPr>
    </w:lvl>
  </w:abstractNum>
  <w:abstractNum w:abstractNumId="7" w15:restartNumberingAfterBreak="0">
    <w:nsid w:val="618E66CE"/>
    <w:multiLevelType w:val="hybridMultilevel"/>
    <w:tmpl w:val="EF9A66D4"/>
    <w:lvl w:ilvl="0" w:tplc="3818441E">
      <w:start w:val="1"/>
      <w:numFmt w:val="bullet"/>
      <w:lvlText w:val=""/>
      <w:lvlJc w:val="left"/>
      <w:pPr>
        <w:ind w:left="720" w:hanging="360"/>
      </w:pPr>
      <w:rPr>
        <w:rFonts w:ascii="Symbol" w:hAnsi="Symbol" w:hint="default"/>
      </w:rPr>
    </w:lvl>
    <w:lvl w:ilvl="1" w:tplc="92BA5E54">
      <w:start w:val="1"/>
      <w:numFmt w:val="bullet"/>
      <w:lvlText w:val="o"/>
      <w:lvlJc w:val="left"/>
      <w:pPr>
        <w:ind w:left="1440" w:hanging="360"/>
      </w:pPr>
      <w:rPr>
        <w:rFonts w:ascii="Courier New" w:hAnsi="Courier New" w:hint="default"/>
      </w:rPr>
    </w:lvl>
    <w:lvl w:ilvl="2" w:tplc="1240943E">
      <w:start w:val="1"/>
      <w:numFmt w:val="bullet"/>
      <w:lvlText w:val=""/>
      <w:lvlJc w:val="left"/>
      <w:pPr>
        <w:ind w:left="2160" w:hanging="360"/>
      </w:pPr>
      <w:rPr>
        <w:rFonts w:ascii="Wingdings" w:hAnsi="Wingdings" w:hint="default"/>
      </w:rPr>
    </w:lvl>
    <w:lvl w:ilvl="3" w:tplc="9FC26DCA">
      <w:start w:val="1"/>
      <w:numFmt w:val="bullet"/>
      <w:lvlText w:val=""/>
      <w:lvlJc w:val="left"/>
      <w:pPr>
        <w:ind w:left="2880" w:hanging="360"/>
      </w:pPr>
      <w:rPr>
        <w:rFonts w:ascii="Symbol" w:hAnsi="Symbol" w:hint="default"/>
      </w:rPr>
    </w:lvl>
    <w:lvl w:ilvl="4" w:tplc="5AEC65C2">
      <w:start w:val="1"/>
      <w:numFmt w:val="bullet"/>
      <w:lvlText w:val="o"/>
      <w:lvlJc w:val="left"/>
      <w:pPr>
        <w:ind w:left="3600" w:hanging="360"/>
      </w:pPr>
      <w:rPr>
        <w:rFonts w:ascii="Courier New" w:hAnsi="Courier New" w:hint="default"/>
      </w:rPr>
    </w:lvl>
    <w:lvl w:ilvl="5" w:tplc="5EEA96A2">
      <w:start w:val="1"/>
      <w:numFmt w:val="bullet"/>
      <w:lvlText w:val=""/>
      <w:lvlJc w:val="left"/>
      <w:pPr>
        <w:ind w:left="4320" w:hanging="360"/>
      </w:pPr>
      <w:rPr>
        <w:rFonts w:ascii="Wingdings" w:hAnsi="Wingdings" w:hint="default"/>
      </w:rPr>
    </w:lvl>
    <w:lvl w:ilvl="6" w:tplc="715C3F16">
      <w:start w:val="1"/>
      <w:numFmt w:val="bullet"/>
      <w:lvlText w:val=""/>
      <w:lvlJc w:val="left"/>
      <w:pPr>
        <w:ind w:left="5040" w:hanging="360"/>
      </w:pPr>
      <w:rPr>
        <w:rFonts w:ascii="Symbol" w:hAnsi="Symbol" w:hint="default"/>
      </w:rPr>
    </w:lvl>
    <w:lvl w:ilvl="7" w:tplc="A1BACAD6">
      <w:start w:val="1"/>
      <w:numFmt w:val="bullet"/>
      <w:lvlText w:val="o"/>
      <w:lvlJc w:val="left"/>
      <w:pPr>
        <w:ind w:left="5760" w:hanging="360"/>
      </w:pPr>
      <w:rPr>
        <w:rFonts w:ascii="Courier New" w:hAnsi="Courier New" w:hint="default"/>
      </w:rPr>
    </w:lvl>
    <w:lvl w:ilvl="8" w:tplc="020CD542">
      <w:start w:val="1"/>
      <w:numFmt w:val="bullet"/>
      <w:lvlText w:val=""/>
      <w:lvlJc w:val="left"/>
      <w:pPr>
        <w:ind w:left="6480" w:hanging="360"/>
      </w:pPr>
      <w:rPr>
        <w:rFonts w:ascii="Wingdings" w:hAnsi="Wingdings" w:hint="default"/>
      </w:rPr>
    </w:lvl>
  </w:abstractNum>
  <w:abstractNum w:abstractNumId="8" w15:restartNumberingAfterBreak="0">
    <w:nsid w:val="6A3350D9"/>
    <w:multiLevelType w:val="hybridMultilevel"/>
    <w:tmpl w:val="8452B02E"/>
    <w:lvl w:ilvl="0" w:tplc="688EAF06">
      <w:start w:val="1"/>
      <w:numFmt w:val="bullet"/>
      <w:lvlText w:val=""/>
      <w:lvlJc w:val="left"/>
      <w:pPr>
        <w:ind w:left="720" w:hanging="360"/>
      </w:pPr>
      <w:rPr>
        <w:rFonts w:ascii="Symbol" w:hAnsi="Symbol" w:hint="default"/>
      </w:rPr>
    </w:lvl>
    <w:lvl w:ilvl="1" w:tplc="244E219A">
      <w:start w:val="1"/>
      <w:numFmt w:val="bullet"/>
      <w:lvlText w:val="o"/>
      <w:lvlJc w:val="left"/>
      <w:pPr>
        <w:ind w:left="1440" w:hanging="360"/>
      </w:pPr>
      <w:rPr>
        <w:rFonts w:ascii="Courier New" w:hAnsi="Courier New" w:hint="default"/>
      </w:rPr>
    </w:lvl>
    <w:lvl w:ilvl="2" w:tplc="5DE8EE44">
      <w:start w:val="1"/>
      <w:numFmt w:val="bullet"/>
      <w:lvlText w:val=""/>
      <w:lvlJc w:val="left"/>
      <w:pPr>
        <w:ind w:left="2160" w:hanging="360"/>
      </w:pPr>
      <w:rPr>
        <w:rFonts w:ascii="Wingdings" w:hAnsi="Wingdings" w:hint="default"/>
      </w:rPr>
    </w:lvl>
    <w:lvl w:ilvl="3" w:tplc="471EC1D0">
      <w:start w:val="1"/>
      <w:numFmt w:val="bullet"/>
      <w:lvlText w:val=""/>
      <w:lvlJc w:val="left"/>
      <w:pPr>
        <w:ind w:left="2880" w:hanging="360"/>
      </w:pPr>
      <w:rPr>
        <w:rFonts w:ascii="Symbol" w:hAnsi="Symbol" w:hint="default"/>
      </w:rPr>
    </w:lvl>
    <w:lvl w:ilvl="4" w:tplc="F4AC0DCC">
      <w:start w:val="1"/>
      <w:numFmt w:val="bullet"/>
      <w:lvlText w:val="o"/>
      <w:lvlJc w:val="left"/>
      <w:pPr>
        <w:ind w:left="3600" w:hanging="360"/>
      </w:pPr>
      <w:rPr>
        <w:rFonts w:ascii="Courier New" w:hAnsi="Courier New" w:hint="default"/>
      </w:rPr>
    </w:lvl>
    <w:lvl w:ilvl="5" w:tplc="C416230C">
      <w:start w:val="1"/>
      <w:numFmt w:val="bullet"/>
      <w:lvlText w:val=""/>
      <w:lvlJc w:val="left"/>
      <w:pPr>
        <w:ind w:left="4320" w:hanging="360"/>
      </w:pPr>
      <w:rPr>
        <w:rFonts w:ascii="Wingdings" w:hAnsi="Wingdings" w:hint="default"/>
      </w:rPr>
    </w:lvl>
    <w:lvl w:ilvl="6" w:tplc="C4582144">
      <w:start w:val="1"/>
      <w:numFmt w:val="bullet"/>
      <w:lvlText w:val=""/>
      <w:lvlJc w:val="left"/>
      <w:pPr>
        <w:ind w:left="5040" w:hanging="360"/>
      </w:pPr>
      <w:rPr>
        <w:rFonts w:ascii="Symbol" w:hAnsi="Symbol" w:hint="default"/>
      </w:rPr>
    </w:lvl>
    <w:lvl w:ilvl="7" w:tplc="8AEE6320">
      <w:start w:val="1"/>
      <w:numFmt w:val="bullet"/>
      <w:lvlText w:val="o"/>
      <w:lvlJc w:val="left"/>
      <w:pPr>
        <w:ind w:left="5760" w:hanging="360"/>
      </w:pPr>
      <w:rPr>
        <w:rFonts w:ascii="Courier New" w:hAnsi="Courier New" w:hint="default"/>
      </w:rPr>
    </w:lvl>
    <w:lvl w:ilvl="8" w:tplc="2B0E2BD4">
      <w:start w:val="1"/>
      <w:numFmt w:val="bullet"/>
      <w:lvlText w:val=""/>
      <w:lvlJc w:val="left"/>
      <w:pPr>
        <w:ind w:left="6480" w:hanging="360"/>
      </w:pPr>
      <w:rPr>
        <w:rFonts w:ascii="Wingdings" w:hAnsi="Wingdings" w:hint="default"/>
      </w:rPr>
    </w:lvl>
  </w:abstractNum>
  <w:abstractNum w:abstractNumId="9" w15:restartNumberingAfterBreak="0">
    <w:nsid w:val="71AA942F"/>
    <w:multiLevelType w:val="hybridMultilevel"/>
    <w:tmpl w:val="52422F2A"/>
    <w:lvl w:ilvl="0" w:tplc="E8549F4E">
      <w:start w:val="1"/>
      <w:numFmt w:val="bullet"/>
      <w:lvlText w:val=""/>
      <w:lvlJc w:val="left"/>
      <w:pPr>
        <w:ind w:left="720" w:hanging="360"/>
      </w:pPr>
      <w:rPr>
        <w:rFonts w:ascii="Symbol" w:hAnsi="Symbol" w:hint="default"/>
      </w:rPr>
    </w:lvl>
    <w:lvl w:ilvl="1" w:tplc="08F8929A">
      <w:start w:val="1"/>
      <w:numFmt w:val="bullet"/>
      <w:lvlText w:val="o"/>
      <w:lvlJc w:val="left"/>
      <w:pPr>
        <w:ind w:left="1440" w:hanging="360"/>
      </w:pPr>
      <w:rPr>
        <w:rFonts w:ascii="Courier New" w:hAnsi="Courier New" w:hint="default"/>
      </w:rPr>
    </w:lvl>
    <w:lvl w:ilvl="2" w:tplc="9E54675A">
      <w:start w:val="1"/>
      <w:numFmt w:val="bullet"/>
      <w:lvlText w:val=""/>
      <w:lvlJc w:val="left"/>
      <w:pPr>
        <w:ind w:left="2160" w:hanging="360"/>
      </w:pPr>
      <w:rPr>
        <w:rFonts w:ascii="Wingdings" w:hAnsi="Wingdings" w:hint="default"/>
      </w:rPr>
    </w:lvl>
    <w:lvl w:ilvl="3" w:tplc="63D8AD9A">
      <w:start w:val="1"/>
      <w:numFmt w:val="bullet"/>
      <w:lvlText w:val=""/>
      <w:lvlJc w:val="left"/>
      <w:pPr>
        <w:ind w:left="2880" w:hanging="360"/>
      </w:pPr>
      <w:rPr>
        <w:rFonts w:ascii="Symbol" w:hAnsi="Symbol" w:hint="default"/>
      </w:rPr>
    </w:lvl>
    <w:lvl w:ilvl="4" w:tplc="9BBC04D0">
      <w:start w:val="1"/>
      <w:numFmt w:val="bullet"/>
      <w:lvlText w:val="o"/>
      <w:lvlJc w:val="left"/>
      <w:pPr>
        <w:ind w:left="3600" w:hanging="360"/>
      </w:pPr>
      <w:rPr>
        <w:rFonts w:ascii="Courier New" w:hAnsi="Courier New" w:hint="default"/>
      </w:rPr>
    </w:lvl>
    <w:lvl w:ilvl="5" w:tplc="ED80CA48">
      <w:start w:val="1"/>
      <w:numFmt w:val="bullet"/>
      <w:lvlText w:val=""/>
      <w:lvlJc w:val="left"/>
      <w:pPr>
        <w:ind w:left="4320" w:hanging="360"/>
      </w:pPr>
      <w:rPr>
        <w:rFonts w:ascii="Wingdings" w:hAnsi="Wingdings" w:hint="default"/>
      </w:rPr>
    </w:lvl>
    <w:lvl w:ilvl="6" w:tplc="CBD4F82E">
      <w:start w:val="1"/>
      <w:numFmt w:val="bullet"/>
      <w:lvlText w:val=""/>
      <w:lvlJc w:val="left"/>
      <w:pPr>
        <w:ind w:left="5040" w:hanging="360"/>
      </w:pPr>
      <w:rPr>
        <w:rFonts w:ascii="Symbol" w:hAnsi="Symbol" w:hint="default"/>
      </w:rPr>
    </w:lvl>
    <w:lvl w:ilvl="7" w:tplc="ACF0F0EA">
      <w:start w:val="1"/>
      <w:numFmt w:val="bullet"/>
      <w:lvlText w:val="o"/>
      <w:lvlJc w:val="left"/>
      <w:pPr>
        <w:ind w:left="5760" w:hanging="360"/>
      </w:pPr>
      <w:rPr>
        <w:rFonts w:ascii="Courier New" w:hAnsi="Courier New" w:hint="default"/>
      </w:rPr>
    </w:lvl>
    <w:lvl w:ilvl="8" w:tplc="FCD2BB42">
      <w:start w:val="1"/>
      <w:numFmt w:val="bullet"/>
      <w:lvlText w:val=""/>
      <w:lvlJc w:val="left"/>
      <w:pPr>
        <w:ind w:left="6480" w:hanging="360"/>
      </w:pPr>
      <w:rPr>
        <w:rFonts w:ascii="Wingdings" w:hAnsi="Wingdings" w:hint="default"/>
      </w:rPr>
    </w:lvl>
  </w:abstractNum>
  <w:abstractNum w:abstractNumId="10" w15:restartNumberingAfterBreak="0">
    <w:nsid w:val="76B4F6AA"/>
    <w:multiLevelType w:val="hybridMultilevel"/>
    <w:tmpl w:val="522CD00C"/>
    <w:lvl w:ilvl="0" w:tplc="F4200494">
      <w:start w:val="1"/>
      <w:numFmt w:val="bullet"/>
      <w:lvlText w:val=""/>
      <w:lvlJc w:val="left"/>
      <w:pPr>
        <w:ind w:left="720" w:hanging="360"/>
      </w:pPr>
      <w:rPr>
        <w:rFonts w:ascii="Symbol" w:hAnsi="Symbol" w:hint="default"/>
      </w:rPr>
    </w:lvl>
    <w:lvl w:ilvl="1" w:tplc="DC983B96">
      <w:start w:val="1"/>
      <w:numFmt w:val="bullet"/>
      <w:lvlText w:val="o"/>
      <w:lvlJc w:val="left"/>
      <w:pPr>
        <w:ind w:left="1440" w:hanging="360"/>
      </w:pPr>
      <w:rPr>
        <w:rFonts w:ascii="Courier New" w:hAnsi="Courier New" w:hint="default"/>
      </w:rPr>
    </w:lvl>
    <w:lvl w:ilvl="2" w:tplc="48A42562">
      <w:start w:val="1"/>
      <w:numFmt w:val="bullet"/>
      <w:lvlText w:val=""/>
      <w:lvlJc w:val="left"/>
      <w:pPr>
        <w:ind w:left="2160" w:hanging="360"/>
      </w:pPr>
      <w:rPr>
        <w:rFonts w:ascii="Wingdings" w:hAnsi="Wingdings" w:hint="default"/>
      </w:rPr>
    </w:lvl>
    <w:lvl w:ilvl="3" w:tplc="6F466A1C">
      <w:start w:val="1"/>
      <w:numFmt w:val="bullet"/>
      <w:lvlText w:val=""/>
      <w:lvlJc w:val="left"/>
      <w:pPr>
        <w:ind w:left="2880" w:hanging="360"/>
      </w:pPr>
      <w:rPr>
        <w:rFonts w:ascii="Symbol" w:hAnsi="Symbol" w:hint="default"/>
      </w:rPr>
    </w:lvl>
    <w:lvl w:ilvl="4" w:tplc="4000B166">
      <w:start w:val="1"/>
      <w:numFmt w:val="bullet"/>
      <w:lvlText w:val="o"/>
      <w:lvlJc w:val="left"/>
      <w:pPr>
        <w:ind w:left="3600" w:hanging="360"/>
      </w:pPr>
      <w:rPr>
        <w:rFonts w:ascii="Courier New" w:hAnsi="Courier New" w:hint="default"/>
      </w:rPr>
    </w:lvl>
    <w:lvl w:ilvl="5" w:tplc="4D368292">
      <w:start w:val="1"/>
      <w:numFmt w:val="bullet"/>
      <w:lvlText w:val=""/>
      <w:lvlJc w:val="left"/>
      <w:pPr>
        <w:ind w:left="4320" w:hanging="360"/>
      </w:pPr>
      <w:rPr>
        <w:rFonts w:ascii="Wingdings" w:hAnsi="Wingdings" w:hint="default"/>
      </w:rPr>
    </w:lvl>
    <w:lvl w:ilvl="6" w:tplc="A1ACCC22">
      <w:start w:val="1"/>
      <w:numFmt w:val="bullet"/>
      <w:lvlText w:val=""/>
      <w:lvlJc w:val="left"/>
      <w:pPr>
        <w:ind w:left="5040" w:hanging="360"/>
      </w:pPr>
      <w:rPr>
        <w:rFonts w:ascii="Symbol" w:hAnsi="Symbol" w:hint="default"/>
      </w:rPr>
    </w:lvl>
    <w:lvl w:ilvl="7" w:tplc="D9645DCA">
      <w:start w:val="1"/>
      <w:numFmt w:val="bullet"/>
      <w:lvlText w:val="o"/>
      <w:lvlJc w:val="left"/>
      <w:pPr>
        <w:ind w:left="5760" w:hanging="360"/>
      </w:pPr>
      <w:rPr>
        <w:rFonts w:ascii="Courier New" w:hAnsi="Courier New" w:hint="default"/>
      </w:rPr>
    </w:lvl>
    <w:lvl w:ilvl="8" w:tplc="6DA60868">
      <w:start w:val="1"/>
      <w:numFmt w:val="bullet"/>
      <w:lvlText w:val=""/>
      <w:lvlJc w:val="left"/>
      <w:pPr>
        <w:ind w:left="6480" w:hanging="360"/>
      </w:pPr>
      <w:rPr>
        <w:rFonts w:ascii="Wingdings" w:hAnsi="Wingdings" w:hint="default"/>
      </w:rPr>
    </w:lvl>
  </w:abstractNum>
  <w:abstractNum w:abstractNumId="11" w15:restartNumberingAfterBreak="0">
    <w:nsid w:val="771E2FA0"/>
    <w:multiLevelType w:val="hybridMultilevel"/>
    <w:tmpl w:val="14B2655A"/>
    <w:lvl w:ilvl="0" w:tplc="931C36D6">
      <w:start w:val="1"/>
      <w:numFmt w:val="decimal"/>
      <w:lvlText w:val="%1."/>
      <w:lvlJc w:val="left"/>
      <w:pPr>
        <w:ind w:left="720" w:hanging="360"/>
      </w:pPr>
    </w:lvl>
    <w:lvl w:ilvl="1" w:tplc="34E6BB1E">
      <w:start w:val="1"/>
      <w:numFmt w:val="lowerLetter"/>
      <w:lvlText w:val="%2."/>
      <w:lvlJc w:val="left"/>
      <w:pPr>
        <w:ind w:left="1440" w:hanging="360"/>
      </w:pPr>
    </w:lvl>
    <w:lvl w:ilvl="2" w:tplc="13E46D6A">
      <w:start w:val="1"/>
      <w:numFmt w:val="lowerRoman"/>
      <w:lvlText w:val="%3."/>
      <w:lvlJc w:val="right"/>
      <w:pPr>
        <w:ind w:left="2160" w:hanging="180"/>
      </w:pPr>
    </w:lvl>
    <w:lvl w:ilvl="3" w:tplc="F9B08AD4">
      <w:start w:val="1"/>
      <w:numFmt w:val="decimal"/>
      <w:lvlText w:val="%4."/>
      <w:lvlJc w:val="left"/>
      <w:pPr>
        <w:ind w:left="2880" w:hanging="360"/>
      </w:pPr>
    </w:lvl>
    <w:lvl w:ilvl="4" w:tplc="832CAEE0">
      <w:start w:val="1"/>
      <w:numFmt w:val="lowerLetter"/>
      <w:lvlText w:val="%5."/>
      <w:lvlJc w:val="left"/>
      <w:pPr>
        <w:ind w:left="3600" w:hanging="360"/>
      </w:pPr>
    </w:lvl>
    <w:lvl w:ilvl="5" w:tplc="728CDA84">
      <w:start w:val="1"/>
      <w:numFmt w:val="lowerRoman"/>
      <w:lvlText w:val="%6."/>
      <w:lvlJc w:val="right"/>
      <w:pPr>
        <w:ind w:left="4320" w:hanging="180"/>
      </w:pPr>
    </w:lvl>
    <w:lvl w:ilvl="6" w:tplc="87C2B6C4">
      <w:start w:val="1"/>
      <w:numFmt w:val="decimal"/>
      <w:lvlText w:val="%7."/>
      <w:lvlJc w:val="left"/>
      <w:pPr>
        <w:ind w:left="5040" w:hanging="360"/>
      </w:pPr>
    </w:lvl>
    <w:lvl w:ilvl="7" w:tplc="08563814">
      <w:start w:val="1"/>
      <w:numFmt w:val="lowerLetter"/>
      <w:lvlText w:val="%8."/>
      <w:lvlJc w:val="left"/>
      <w:pPr>
        <w:ind w:left="5760" w:hanging="360"/>
      </w:pPr>
    </w:lvl>
    <w:lvl w:ilvl="8" w:tplc="B5867620">
      <w:start w:val="1"/>
      <w:numFmt w:val="lowerRoman"/>
      <w:lvlText w:val="%9."/>
      <w:lvlJc w:val="right"/>
      <w:pPr>
        <w:ind w:left="6480" w:hanging="180"/>
      </w:pPr>
    </w:lvl>
  </w:abstractNum>
  <w:num w:numId="1">
    <w:abstractNumId w:val="3"/>
  </w:num>
  <w:num w:numId="2">
    <w:abstractNumId w:val="5"/>
  </w:num>
  <w:num w:numId="3">
    <w:abstractNumId w:val="9"/>
  </w:num>
  <w:num w:numId="4">
    <w:abstractNumId w:val="2"/>
  </w:num>
  <w:num w:numId="5">
    <w:abstractNumId w:val="0"/>
  </w:num>
  <w:num w:numId="6">
    <w:abstractNumId w:val="11"/>
  </w:num>
  <w:num w:numId="7">
    <w:abstractNumId w:val="1"/>
  </w:num>
  <w:num w:numId="8">
    <w:abstractNumId w:val="8"/>
  </w:num>
  <w:num w:numId="9">
    <w:abstractNumId w:val="7"/>
  </w:num>
  <w:num w:numId="10">
    <w:abstractNumId w:val="4"/>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BE204E"/>
    <w:rsid w:val="00122437"/>
    <w:rsid w:val="00337105"/>
    <w:rsid w:val="003647B0"/>
    <w:rsid w:val="003F061F"/>
    <w:rsid w:val="004608BE"/>
    <w:rsid w:val="00593B31"/>
    <w:rsid w:val="00633C27"/>
    <w:rsid w:val="006743E1"/>
    <w:rsid w:val="00792589"/>
    <w:rsid w:val="0088185B"/>
    <w:rsid w:val="0091357C"/>
    <w:rsid w:val="009968C3"/>
    <w:rsid w:val="00A310D6"/>
    <w:rsid w:val="00BE391E"/>
    <w:rsid w:val="00CE5C04"/>
    <w:rsid w:val="00FF7623"/>
    <w:rsid w:val="013731C4"/>
    <w:rsid w:val="027CB667"/>
    <w:rsid w:val="02C3FEF3"/>
    <w:rsid w:val="02CCEDAC"/>
    <w:rsid w:val="04020E97"/>
    <w:rsid w:val="04154038"/>
    <w:rsid w:val="06674F00"/>
    <w:rsid w:val="0692DA7B"/>
    <w:rsid w:val="08C0693F"/>
    <w:rsid w:val="0C90E846"/>
    <w:rsid w:val="0CE36179"/>
    <w:rsid w:val="0D253EE1"/>
    <w:rsid w:val="0D57CE6D"/>
    <w:rsid w:val="0D67B9E3"/>
    <w:rsid w:val="0D7C35F0"/>
    <w:rsid w:val="0FB58C24"/>
    <w:rsid w:val="10196A7E"/>
    <w:rsid w:val="108DEBC2"/>
    <w:rsid w:val="121F08BF"/>
    <w:rsid w:val="13FB4AAB"/>
    <w:rsid w:val="145514E5"/>
    <w:rsid w:val="163768AD"/>
    <w:rsid w:val="17BE204E"/>
    <w:rsid w:val="17E1C2EA"/>
    <w:rsid w:val="19F9079D"/>
    <w:rsid w:val="1B2D740D"/>
    <w:rsid w:val="1B5AA652"/>
    <w:rsid w:val="1C213CA3"/>
    <w:rsid w:val="1D1E6334"/>
    <w:rsid w:val="1D867941"/>
    <w:rsid w:val="2000BF3A"/>
    <w:rsid w:val="20F749DC"/>
    <w:rsid w:val="2282B97D"/>
    <w:rsid w:val="233F76E7"/>
    <w:rsid w:val="23C4B45F"/>
    <w:rsid w:val="25FF0259"/>
    <w:rsid w:val="26BFAFD4"/>
    <w:rsid w:val="28608892"/>
    <w:rsid w:val="28832215"/>
    <w:rsid w:val="28F6E3A2"/>
    <w:rsid w:val="2A013394"/>
    <w:rsid w:val="2A44B8FB"/>
    <w:rsid w:val="2A66078A"/>
    <w:rsid w:val="2B275BF6"/>
    <w:rsid w:val="2DD80EDA"/>
    <w:rsid w:val="2F505CD3"/>
    <w:rsid w:val="2FA5B7AA"/>
    <w:rsid w:val="2FDB6349"/>
    <w:rsid w:val="306C917E"/>
    <w:rsid w:val="307CFCD5"/>
    <w:rsid w:val="327DA5A4"/>
    <w:rsid w:val="33493469"/>
    <w:rsid w:val="3433CD5D"/>
    <w:rsid w:val="372BBFC9"/>
    <w:rsid w:val="37818EFE"/>
    <w:rsid w:val="393369E0"/>
    <w:rsid w:val="39E026D9"/>
    <w:rsid w:val="3B67BC12"/>
    <w:rsid w:val="3D773BF9"/>
    <w:rsid w:val="3D8B3EA3"/>
    <w:rsid w:val="3DDBB55F"/>
    <w:rsid w:val="43C3AC8B"/>
    <w:rsid w:val="45C4B550"/>
    <w:rsid w:val="46037CAD"/>
    <w:rsid w:val="46E3CCFE"/>
    <w:rsid w:val="46FC995C"/>
    <w:rsid w:val="4BA38CEA"/>
    <w:rsid w:val="4D1287DE"/>
    <w:rsid w:val="4ECBFA87"/>
    <w:rsid w:val="50724974"/>
    <w:rsid w:val="5081632D"/>
    <w:rsid w:val="52CB64C1"/>
    <w:rsid w:val="533D19C9"/>
    <w:rsid w:val="538D6C7D"/>
    <w:rsid w:val="53A8D574"/>
    <w:rsid w:val="54A1453D"/>
    <w:rsid w:val="54B74414"/>
    <w:rsid w:val="55433BED"/>
    <w:rsid w:val="5717558A"/>
    <w:rsid w:val="5885F3E2"/>
    <w:rsid w:val="59F38B61"/>
    <w:rsid w:val="5C740B6A"/>
    <w:rsid w:val="5C987CCF"/>
    <w:rsid w:val="5EC29F75"/>
    <w:rsid w:val="5F367947"/>
    <w:rsid w:val="5F41AEAF"/>
    <w:rsid w:val="61AA816C"/>
    <w:rsid w:val="61D365F9"/>
    <w:rsid w:val="62AC110F"/>
    <w:rsid w:val="62B8DC52"/>
    <w:rsid w:val="64A1940F"/>
    <w:rsid w:val="65ABEC8B"/>
    <w:rsid w:val="669792FE"/>
    <w:rsid w:val="66C43254"/>
    <w:rsid w:val="67067100"/>
    <w:rsid w:val="6742A3C3"/>
    <w:rsid w:val="6773F872"/>
    <w:rsid w:val="6847C375"/>
    <w:rsid w:val="6849FA6F"/>
    <w:rsid w:val="6883E8AB"/>
    <w:rsid w:val="6894AB24"/>
    <w:rsid w:val="690E33CF"/>
    <w:rsid w:val="695B2C17"/>
    <w:rsid w:val="6C1AED62"/>
    <w:rsid w:val="6C7BBE8D"/>
    <w:rsid w:val="6CBE538F"/>
    <w:rsid w:val="6EA3C3B1"/>
    <w:rsid w:val="6F783757"/>
    <w:rsid w:val="701C1DE0"/>
    <w:rsid w:val="70956CA4"/>
    <w:rsid w:val="71595483"/>
    <w:rsid w:val="717FA975"/>
    <w:rsid w:val="72747A4C"/>
    <w:rsid w:val="72EBDA7C"/>
    <w:rsid w:val="731314F0"/>
    <w:rsid w:val="732F9939"/>
    <w:rsid w:val="73E994B7"/>
    <w:rsid w:val="74DDC9E8"/>
    <w:rsid w:val="750FE970"/>
    <w:rsid w:val="7533FE62"/>
    <w:rsid w:val="76544E6E"/>
    <w:rsid w:val="783D0A59"/>
    <w:rsid w:val="79CC4BF3"/>
    <w:rsid w:val="7A4B32EA"/>
    <w:rsid w:val="7B3AB55F"/>
    <w:rsid w:val="7B3AFC61"/>
    <w:rsid w:val="7D57A972"/>
    <w:rsid w:val="7DF4D573"/>
    <w:rsid w:val="7F3C673B"/>
    <w:rsid w:val="7FB5FA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E204E"/>
  <w15:chartTrackingRefBased/>
  <w15:docId w15:val="{EB1DAA1F-AEBE-45BA-9329-FD93B20E5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6F7837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uiPriority w:val="9"/>
    <w:unhideWhenUsed/>
    <w:qFormat/>
    <w:rsid w:val="6F7837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uiPriority w:val="9"/>
    <w:unhideWhenUsed/>
    <w:qFormat/>
    <w:rsid w:val="6F78375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uiPriority w:val="9"/>
    <w:unhideWhenUsed/>
    <w:qFormat/>
    <w:rsid w:val="7B3AB55F"/>
    <w:pPr>
      <w:keepNext/>
      <w:keepLines/>
      <w:spacing w:before="80" w:after="40"/>
      <w:outlineLvl w:val="3"/>
    </w:pPr>
    <w:rPr>
      <w:rFonts w:eastAsiaTheme="majorEastAsia" w:cstheme="majorBidi"/>
      <w:i/>
      <w:iCs/>
      <w:color w:val="0F476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6F783757"/>
    <w:pPr>
      <w:ind w:left="720"/>
      <w:contextualSpacing/>
    </w:pPr>
  </w:style>
  <w:style w:type="character" w:customStyle="1" w:styleId="Ttulo1Car">
    <w:name w:val="Título 1 Car"/>
    <w:basedOn w:val="Fuentedeprrafopredeter"/>
    <w:link w:val="Ttulo1"/>
    <w:uiPriority w:val="9"/>
    <w:rsid w:val="0091357C"/>
    <w:rPr>
      <w:rFonts w:asciiTheme="majorHAnsi" w:eastAsiaTheme="majorEastAsia" w:hAnsiTheme="majorHAnsi" w:cstheme="majorBidi"/>
      <w:color w:val="0F4761" w:themeColor="accent1" w:themeShade="BF"/>
      <w:sz w:val="40"/>
      <w:szCs w:val="40"/>
    </w:rPr>
  </w:style>
  <w:style w:type="paragraph" w:styleId="Bibliografa">
    <w:name w:val="Bibliography"/>
    <w:basedOn w:val="Normal"/>
    <w:next w:val="Normal"/>
    <w:uiPriority w:val="37"/>
    <w:unhideWhenUsed/>
    <w:rsid w:val="00913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8374">
      <w:bodyDiv w:val="1"/>
      <w:marLeft w:val="0"/>
      <w:marRight w:val="0"/>
      <w:marTop w:val="0"/>
      <w:marBottom w:val="0"/>
      <w:divBdr>
        <w:top w:val="none" w:sz="0" w:space="0" w:color="auto"/>
        <w:left w:val="none" w:sz="0" w:space="0" w:color="auto"/>
        <w:bottom w:val="none" w:sz="0" w:space="0" w:color="auto"/>
        <w:right w:val="none" w:sz="0" w:space="0" w:color="auto"/>
      </w:divBdr>
    </w:div>
    <w:div w:id="51396211">
      <w:bodyDiv w:val="1"/>
      <w:marLeft w:val="0"/>
      <w:marRight w:val="0"/>
      <w:marTop w:val="0"/>
      <w:marBottom w:val="0"/>
      <w:divBdr>
        <w:top w:val="none" w:sz="0" w:space="0" w:color="auto"/>
        <w:left w:val="none" w:sz="0" w:space="0" w:color="auto"/>
        <w:bottom w:val="none" w:sz="0" w:space="0" w:color="auto"/>
        <w:right w:val="none" w:sz="0" w:space="0" w:color="auto"/>
      </w:divBdr>
    </w:div>
    <w:div w:id="55444692">
      <w:bodyDiv w:val="1"/>
      <w:marLeft w:val="0"/>
      <w:marRight w:val="0"/>
      <w:marTop w:val="0"/>
      <w:marBottom w:val="0"/>
      <w:divBdr>
        <w:top w:val="none" w:sz="0" w:space="0" w:color="auto"/>
        <w:left w:val="none" w:sz="0" w:space="0" w:color="auto"/>
        <w:bottom w:val="none" w:sz="0" w:space="0" w:color="auto"/>
        <w:right w:val="none" w:sz="0" w:space="0" w:color="auto"/>
      </w:divBdr>
    </w:div>
    <w:div w:id="62722844">
      <w:bodyDiv w:val="1"/>
      <w:marLeft w:val="0"/>
      <w:marRight w:val="0"/>
      <w:marTop w:val="0"/>
      <w:marBottom w:val="0"/>
      <w:divBdr>
        <w:top w:val="none" w:sz="0" w:space="0" w:color="auto"/>
        <w:left w:val="none" w:sz="0" w:space="0" w:color="auto"/>
        <w:bottom w:val="none" w:sz="0" w:space="0" w:color="auto"/>
        <w:right w:val="none" w:sz="0" w:space="0" w:color="auto"/>
      </w:divBdr>
    </w:div>
    <w:div w:id="131796974">
      <w:bodyDiv w:val="1"/>
      <w:marLeft w:val="0"/>
      <w:marRight w:val="0"/>
      <w:marTop w:val="0"/>
      <w:marBottom w:val="0"/>
      <w:divBdr>
        <w:top w:val="none" w:sz="0" w:space="0" w:color="auto"/>
        <w:left w:val="none" w:sz="0" w:space="0" w:color="auto"/>
        <w:bottom w:val="none" w:sz="0" w:space="0" w:color="auto"/>
        <w:right w:val="none" w:sz="0" w:space="0" w:color="auto"/>
      </w:divBdr>
    </w:div>
    <w:div w:id="136385123">
      <w:bodyDiv w:val="1"/>
      <w:marLeft w:val="0"/>
      <w:marRight w:val="0"/>
      <w:marTop w:val="0"/>
      <w:marBottom w:val="0"/>
      <w:divBdr>
        <w:top w:val="none" w:sz="0" w:space="0" w:color="auto"/>
        <w:left w:val="none" w:sz="0" w:space="0" w:color="auto"/>
        <w:bottom w:val="none" w:sz="0" w:space="0" w:color="auto"/>
        <w:right w:val="none" w:sz="0" w:space="0" w:color="auto"/>
      </w:divBdr>
    </w:div>
    <w:div w:id="136537186">
      <w:bodyDiv w:val="1"/>
      <w:marLeft w:val="0"/>
      <w:marRight w:val="0"/>
      <w:marTop w:val="0"/>
      <w:marBottom w:val="0"/>
      <w:divBdr>
        <w:top w:val="none" w:sz="0" w:space="0" w:color="auto"/>
        <w:left w:val="none" w:sz="0" w:space="0" w:color="auto"/>
        <w:bottom w:val="none" w:sz="0" w:space="0" w:color="auto"/>
        <w:right w:val="none" w:sz="0" w:space="0" w:color="auto"/>
      </w:divBdr>
    </w:div>
    <w:div w:id="137382258">
      <w:bodyDiv w:val="1"/>
      <w:marLeft w:val="0"/>
      <w:marRight w:val="0"/>
      <w:marTop w:val="0"/>
      <w:marBottom w:val="0"/>
      <w:divBdr>
        <w:top w:val="none" w:sz="0" w:space="0" w:color="auto"/>
        <w:left w:val="none" w:sz="0" w:space="0" w:color="auto"/>
        <w:bottom w:val="none" w:sz="0" w:space="0" w:color="auto"/>
        <w:right w:val="none" w:sz="0" w:space="0" w:color="auto"/>
      </w:divBdr>
    </w:div>
    <w:div w:id="171577184">
      <w:bodyDiv w:val="1"/>
      <w:marLeft w:val="0"/>
      <w:marRight w:val="0"/>
      <w:marTop w:val="0"/>
      <w:marBottom w:val="0"/>
      <w:divBdr>
        <w:top w:val="none" w:sz="0" w:space="0" w:color="auto"/>
        <w:left w:val="none" w:sz="0" w:space="0" w:color="auto"/>
        <w:bottom w:val="none" w:sz="0" w:space="0" w:color="auto"/>
        <w:right w:val="none" w:sz="0" w:space="0" w:color="auto"/>
      </w:divBdr>
    </w:div>
    <w:div w:id="208999931">
      <w:bodyDiv w:val="1"/>
      <w:marLeft w:val="0"/>
      <w:marRight w:val="0"/>
      <w:marTop w:val="0"/>
      <w:marBottom w:val="0"/>
      <w:divBdr>
        <w:top w:val="none" w:sz="0" w:space="0" w:color="auto"/>
        <w:left w:val="none" w:sz="0" w:space="0" w:color="auto"/>
        <w:bottom w:val="none" w:sz="0" w:space="0" w:color="auto"/>
        <w:right w:val="none" w:sz="0" w:space="0" w:color="auto"/>
      </w:divBdr>
    </w:div>
    <w:div w:id="285159292">
      <w:bodyDiv w:val="1"/>
      <w:marLeft w:val="0"/>
      <w:marRight w:val="0"/>
      <w:marTop w:val="0"/>
      <w:marBottom w:val="0"/>
      <w:divBdr>
        <w:top w:val="none" w:sz="0" w:space="0" w:color="auto"/>
        <w:left w:val="none" w:sz="0" w:space="0" w:color="auto"/>
        <w:bottom w:val="none" w:sz="0" w:space="0" w:color="auto"/>
        <w:right w:val="none" w:sz="0" w:space="0" w:color="auto"/>
      </w:divBdr>
    </w:div>
    <w:div w:id="308438367">
      <w:bodyDiv w:val="1"/>
      <w:marLeft w:val="0"/>
      <w:marRight w:val="0"/>
      <w:marTop w:val="0"/>
      <w:marBottom w:val="0"/>
      <w:divBdr>
        <w:top w:val="none" w:sz="0" w:space="0" w:color="auto"/>
        <w:left w:val="none" w:sz="0" w:space="0" w:color="auto"/>
        <w:bottom w:val="none" w:sz="0" w:space="0" w:color="auto"/>
        <w:right w:val="none" w:sz="0" w:space="0" w:color="auto"/>
      </w:divBdr>
    </w:div>
    <w:div w:id="316542007">
      <w:bodyDiv w:val="1"/>
      <w:marLeft w:val="0"/>
      <w:marRight w:val="0"/>
      <w:marTop w:val="0"/>
      <w:marBottom w:val="0"/>
      <w:divBdr>
        <w:top w:val="none" w:sz="0" w:space="0" w:color="auto"/>
        <w:left w:val="none" w:sz="0" w:space="0" w:color="auto"/>
        <w:bottom w:val="none" w:sz="0" w:space="0" w:color="auto"/>
        <w:right w:val="none" w:sz="0" w:space="0" w:color="auto"/>
      </w:divBdr>
    </w:div>
    <w:div w:id="335692012">
      <w:bodyDiv w:val="1"/>
      <w:marLeft w:val="0"/>
      <w:marRight w:val="0"/>
      <w:marTop w:val="0"/>
      <w:marBottom w:val="0"/>
      <w:divBdr>
        <w:top w:val="none" w:sz="0" w:space="0" w:color="auto"/>
        <w:left w:val="none" w:sz="0" w:space="0" w:color="auto"/>
        <w:bottom w:val="none" w:sz="0" w:space="0" w:color="auto"/>
        <w:right w:val="none" w:sz="0" w:space="0" w:color="auto"/>
      </w:divBdr>
    </w:div>
    <w:div w:id="340161226">
      <w:bodyDiv w:val="1"/>
      <w:marLeft w:val="0"/>
      <w:marRight w:val="0"/>
      <w:marTop w:val="0"/>
      <w:marBottom w:val="0"/>
      <w:divBdr>
        <w:top w:val="none" w:sz="0" w:space="0" w:color="auto"/>
        <w:left w:val="none" w:sz="0" w:space="0" w:color="auto"/>
        <w:bottom w:val="none" w:sz="0" w:space="0" w:color="auto"/>
        <w:right w:val="none" w:sz="0" w:space="0" w:color="auto"/>
      </w:divBdr>
    </w:div>
    <w:div w:id="370032358">
      <w:bodyDiv w:val="1"/>
      <w:marLeft w:val="0"/>
      <w:marRight w:val="0"/>
      <w:marTop w:val="0"/>
      <w:marBottom w:val="0"/>
      <w:divBdr>
        <w:top w:val="none" w:sz="0" w:space="0" w:color="auto"/>
        <w:left w:val="none" w:sz="0" w:space="0" w:color="auto"/>
        <w:bottom w:val="none" w:sz="0" w:space="0" w:color="auto"/>
        <w:right w:val="none" w:sz="0" w:space="0" w:color="auto"/>
      </w:divBdr>
    </w:div>
    <w:div w:id="377707039">
      <w:bodyDiv w:val="1"/>
      <w:marLeft w:val="0"/>
      <w:marRight w:val="0"/>
      <w:marTop w:val="0"/>
      <w:marBottom w:val="0"/>
      <w:divBdr>
        <w:top w:val="none" w:sz="0" w:space="0" w:color="auto"/>
        <w:left w:val="none" w:sz="0" w:space="0" w:color="auto"/>
        <w:bottom w:val="none" w:sz="0" w:space="0" w:color="auto"/>
        <w:right w:val="none" w:sz="0" w:space="0" w:color="auto"/>
      </w:divBdr>
    </w:div>
    <w:div w:id="420838771">
      <w:bodyDiv w:val="1"/>
      <w:marLeft w:val="0"/>
      <w:marRight w:val="0"/>
      <w:marTop w:val="0"/>
      <w:marBottom w:val="0"/>
      <w:divBdr>
        <w:top w:val="none" w:sz="0" w:space="0" w:color="auto"/>
        <w:left w:val="none" w:sz="0" w:space="0" w:color="auto"/>
        <w:bottom w:val="none" w:sz="0" w:space="0" w:color="auto"/>
        <w:right w:val="none" w:sz="0" w:space="0" w:color="auto"/>
      </w:divBdr>
    </w:div>
    <w:div w:id="426779656">
      <w:bodyDiv w:val="1"/>
      <w:marLeft w:val="0"/>
      <w:marRight w:val="0"/>
      <w:marTop w:val="0"/>
      <w:marBottom w:val="0"/>
      <w:divBdr>
        <w:top w:val="none" w:sz="0" w:space="0" w:color="auto"/>
        <w:left w:val="none" w:sz="0" w:space="0" w:color="auto"/>
        <w:bottom w:val="none" w:sz="0" w:space="0" w:color="auto"/>
        <w:right w:val="none" w:sz="0" w:space="0" w:color="auto"/>
      </w:divBdr>
    </w:div>
    <w:div w:id="429475144">
      <w:bodyDiv w:val="1"/>
      <w:marLeft w:val="0"/>
      <w:marRight w:val="0"/>
      <w:marTop w:val="0"/>
      <w:marBottom w:val="0"/>
      <w:divBdr>
        <w:top w:val="none" w:sz="0" w:space="0" w:color="auto"/>
        <w:left w:val="none" w:sz="0" w:space="0" w:color="auto"/>
        <w:bottom w:val="none" w:sz="0" w:space="0" w:color="auto"/>
        <w:right w:val="none" w:sz="0" w:space="0" w:color="auto"/>
      </w:divBdr>
    </w:div>
    <w:div w:id="447510521">
      <w:bodyDiv w:val="1"/>
      <w:marLeft w:val="0"/>
      <w:marRight w:val="0"/>
      <w:marTop w:val="0"/>
      <w:marBottom w:val="0"/>
      <w:divBdr>
        <w:top w:val="none" w:sz="0" w:space="0" w:color="auto"/>
        <w:left w:val="none" w:sz="0" w:space="0" w:color="auto"/>
        <w:bottom w:val="none" w:sz="0" w:space="0" w:color="auto"/>
        <w:right w:val="none" w:sz="0" w:space="0" w:color="auto"/>
      </w:divBdr>
    </w:div>
    <w:div w:id="449054516">
      <w:bodyDiv w:val="1"/>
      <w:marLeft w:val="0"/>
      <w:marRight w:val="0"/>
      <w:marTop w:val="0"/>
      <w:marBottom w:val="0"/>
      <w:divBdr>
        <w:top w:val="none" w:sz="0" w:space="0" w:color="auto"/>
        <w:left w:val="none" w:sz="0" w:space="0" w:color="auto"/>
        <w:bottom w:val="none" w:sz="0" w:space="0" w:color="auto"/>
        <w:right w:val="none" w:sz="0" w:space="0" w:color="auto"/>
      </w:divBdr>
    </w:div>
    <w:div w:id="511339941">
      <w:bodyDiv w:val="1"/>
      <w:marLeft w:val="0"/>
      <w:marRight w:val="0"/>
      <w:marTop w:val="0"/>
      <w:marBottom w:val="0"/>
      <w:divBdr>
        <w:top w:val="none" w:sz="0" w:space="0" w:color="auto"/>
        <w:left w:val="none" w:sz="0" w:space="0" w:color="auto"/>
        <w:bottom w:val="none" w:sz="0" w:space="0" w:color="auto"/>
        <w:right w:val="none" w:sz="0" w:space="0" w:color="auto"/>
      </w:divBdr>
    </w:div>
    <w:div w:id="526525007">
      <w:bodyDiv w:val="1"/>
      <w:marLeft w:val="0"/>
      <w:marRight w:val="0"/>
      <w:marTop w:val="0"/>
      <w:marBottom w:val="0"/>
      <w:divBdr>
        <w:top w:val="none" w:sz="0" w:space="0" w:color="auto"/>
        <w:left w:val="none" w:sz="0" w:space="0" w:color="auto"/>
        <w:bottom w:val="none" w:sz="0" w:space="0" w:color="auto"/>
        <w:right w:val="none" w:sz="0" w:space="0" w:color="auto"/>
      </w:divBdr>
    </w:div>
    <w:div w:id="541866038">
      <w:bodyDiv w:val="1"/>
      <w:marLeft w:val="0"/>
      <w:marRight w:val="0"/>
      <w:marTop w:val="0"/>
      <w:marBottom w:val="0"/>
      <w:divBdr>
        <w:top w:val="none" w:sz="0" w:space="0" w:color="auto"/>
        <w:left w:val="none" w:sz="0" w:space="0" w:color="auto"/>
        <w:bottom w:val="none" w:sz="0" w:space="0" w:color="auto"/>
        <w:right w:val="none" w:sz="0" w:space="0" w:color="auto"/>
      </w:divBdr>
    </w:div>
    <w:div w:id="606425453">
      <w:bodyDiv w:val="1"/>
      <w:marLeft w:val="0"/>
      <w:marRight w:val="0"/>
      <w:marTop w:val="0"/>
      <w:marBottom w:val="0"/>
      <w:divBdr>
        <w:top w:val="none" w:sz="0" w:space="0" w:color="auto"/>
        <w:left w:val="none" w:sz="0" w:space="0" w:color="auto"/>
        <w:bottom w:val="none" w:sz="0" w:space="0" w:color="auto"/>
        <w:right w:val="none" w:sz="0" w:space="0" w:color="auto"/>
      </w:divBdr>
    </w:div>
    <w:div w:id="618031145">
      <w:bodyDiv w:val="1"/>
      <w:marLeft w:val="0"/>
      <w:marRight w:val="0"/>
      <w:marTop w:val="0"/>
      <w:marBottom w:val="0"/>
      <w:divBdr>
        <w:top w:val="none" w:sz="0" w:space="0" w:color="auto"/>
        <w:left w:val="none" w:sz="0" w:space="0" w:color="auto"/>
        <w:bottom w:val="none" w:sz="0" w:space="0" w:color="auto"/>
        <w:right w:val="none" w:sz="0" w:space="0" w:color="auto"/>
      </w:divBdr>
    </w:div>
    <w:div w:id="630599622">
      <w:bodyDiv w:val="1"/>
      <w:marLeft w:val="0"/>
      <w:marRight w:val="0"/>
      <w:marTop w:val="0"/>
      <w:marBottom w:val="0"/>
      <w:divBdr>
        <w:top w:val="none" w:sz="0" w:space="0" w:color="auto"/>
        <w:left w:val="none" w:sz="0" w:space="0" w:color="auto"/>
        <w:bottom w:val="none" w:sz="0" w:space="0" w:color="auto"/>
        <w:right w:val="none" w:sz="0" w:space="0" w:color="auto"/>
      </w:divBdr>
    </w:div>
    <w:div w:id="636758844">
      <w:bodyDiv w:val="1"/>
      <w:marLeft w:val="0"/>
      <w:marRight w:val="0"/>
      <w:marTop w:val="0"/>
      <w:marBottom w:val="0"/>
      <w:divBdr>
        <w:top w:val="none" w:sz="0" w:space="0" w:color="auto"/>
        <w:left w:val="none" w:sz="0" w:space="0" w:color="auto"/>
        <w:bottom w:val="none" w:sz="0" w:space="0" w:color="auto"/>
        <w:right w:val="none" w:sz="0" w:space="0" w:color="auto"/>
      </w:divBdr>
    </w:div>
    <w:div w:id="652679242">
      <w:bodyDiv w:val="1"/>
      <w:marLeft w:val="0"/>
      <w:marRight w:val="0"/>
      <w:marTop w:val="0"/>
      <w:marBottom w:val="0"/>
      <w:divBdr>
        <w:top w:val="none" w:sz="0" w:space="0" w:color="auto"/>
        <w:left w:val="none" w:sz="0" w:space="0" w:color="auto"/>
        <w:bottom w:val="none" w:sz="0" w:space="0" w:color="auto"/>
        <w:right w:val="none" w:sz="0" w:space="0" w:color="auto"/>
      </w:divBdr>
    </w:div>
    <w:div w:id="659114303">
      <w:bodyDiv w:val="1"/>
      <w:marLeft w:val="0"/>
      <w:marRight w:val="0"/>
      <w:marTop w:val="0"/>
      <w:marBottom w:val="0"/>
      <w:divBdr>
        <w:top w:val="none" w:sz="0" w:space="0" w:color="auto"/>
        <w:left w:val="none" w:sz="0" w:space="0" w:color="auto"/>
        <w:bottom w:val="none" w:sz="0" w:space="0" w:color="auto"/>
        <w:right w:val="none" w:sz="0" w:space="0" w:color="auto"/>
      </w:divBdr>
    </w:div>
    <w:div w:id="665287800">
      <w:bodyDiv w:val="1"/>
      <w:marLeft w:val="0"/>
      <w:marRight w:val="0"/>
      <w:marTop w:val="0"/>
      <w:marBottom w:val="0"/>
      <w:divBdr>
        <w:top w:val="none" w:sz="0" w:space="0" w:color="auto"/>
        <w:left w:val="none" w:sz="0" w:space="0" w:color="auto"/>
        <w:bottom w:val="none" w:sz="0" w:space="0" w:color="auto"/>
        <w:right w:val="none" w:sz="0" w:space="0" w:color="auto"/>
      </w:divBdr>
    </w:div>
    <w:div w:id="696467055">
      <w:bodyDiv w:val="1"/>
      <w:marLeft w:val="0"/>
      <w:marRight w:val="0"/>
      <w:marTop w:val="0"/>
      <w:marBottom w:val="0"/>
      <w:divBdr>
        <w:top w:val="none" w:sz="0" w:space="0" w:color="auto"/>
        <w:left w:val="none" w:sz="0" w:space="0" w:color="auto"/>
        <w:bottom w:val="none" w:sz="0" w:space="0" w:color="auto"/>
        <w:right w:val="none" w:sz="0" w:space="0" w:color="auto"/>
      </w:divBdr>
    </w:div>
    <w:div w:id="720328618">
      <w:bodyDiv w:val="1"/>
      <w:marLeft w:val="0"/>
      <w:marRight w:val="0"/>
      <w:marTop w:val="0"/>
      <w:marBottom w:val="0"/>
      <w:divBdr>
        <w:top w:val="none" w:sz="0" w:space="0" w:color="auto"/>
        <w:left w:val="none" w:sz="0" w:space="0" w:color="auto"/>
        <w:bottom w:val="none" w:sz="0" w:space="0" w:color="auto"/>
        <w:right w:val="none" w:sz="0" w:space="0" w:color="auto"/>
      </w:divBdr>
    </w:div>
    <w:div w:id="758063000">
      <w:bodyDiv w:val="1"/>
      <w:marLeft w:val="0"/>
      <w:marRight w:val="0"/>
      <w:marTop w:val="0"/>
      <w:marBottom w:val="0"/>
      <w:divBdr>
        <w:top w:val="none" w:sz="0" w:space="0" w:color="auto"/>
        <w:left w:val="none" w:sz="0" w:space="0" w:color="auto"/>
        <w:bottom w:val="none" w:sz="0" w:space="0" w:color="auto"/>
        <w:right w:val="none" w:sz="0" w:space="0" w:color="auto"/>
      </w:divBdr>
    </w:div>
    <w:div w:id="793522348">
      <w:bodyDiv w:val="1"/>
      <w:marLeft w:val="0"/>
      <w:marRight w:val="0"/>
      <w:marTop w:val="0"/>
      <w:marBottom w:val="0"/>
      <w:divBdr>
        <w:top w:val="none" w:sz="0" w:space="0" w:color="auto"/>
        <w:left w:val="none" w:sz="0" w:space="0" w:color="auto"/>
        <w:bottom w:val="none" w:sz="0" w:space="0" w:color="auto"/>
        <w:right w:val="none" w:sz="0" w:space="0" w:color="auto"/>
      </w:divBdr>
    </w:div>
    <w:div w:id="796532339">
      <w:bodyDiv w:val="1"/>
      <w:marLeft w:val="0"/>
      <w:marRight w:val="0"/>
      <w:marTop w:val="0"/>
      <w:marBottom w:val="0"/>
      <w:divBdr>
        <w:top w:val="none" w:sz="0" w:space="0" w:color="auto"/>
        <w:left w:val="none" w:sz="0" w:space="0" w:color="auto"/>
        <w:bottom w:val="none" w:sz="0" w:space="0" w:color="auto"/>
        <w:right w:val="none" w:sz="0" w:space="0" w:color="auto"/>
      </w:divBdr>
    </w:div>
    <w:div w:id="816609742">
      <w:bodyDiv w:val="1"/>
      <w:marLeft w:val="0"/>
      <w:marRight w:val="0"/>
      <w:marTop w:val="0"/>
      <w:marBottom w:val="0"/>
      <w:divBdr>
        <w:top w:val="none" w:sz="0" w:space="0" w:color="auto"/>
        <w:left w:val="none" w:sz="0" w:space="0" w:color="auto"/>
        <w:bottom w:val="none" w:sz="0" w:space="0" w:color="auto"/>
        <w:right w:val="none" w:sz="0" w:space="0" w:color="auto"/>
      </w:divBdr>
    </w:div>
    <w:div w:id="832716711">
      <w:bodyDiv w:val="1"/>
      <w:marLeft w:val="0"/>
      <w:marRight w:val="0"/>
      <w:marTop w:val="0"/>
      <w:marBottom w:val="0"/>
      <w:divBdr>
        <w:top w:val="none" w:sz="0" w:space="0" w:color="auto"/>
        <w:left w:val="none" w:sz="0" w:space="0" w:color="auto"/>
        <w:bottom w:val="none" w:sz="0" w:space="0" w:color="auto"/>
        <w:right w:val="none" w:sz="0" w:space="0" w:color="auto"/>
      </w:divBdr>
    </w:div>
    <w:div w:id="865023038">
      <w:bodyDiv w:val="1"/>
      <w:marLeft w:val="0"/>
      <w:marRight w:val="0"/>
      <w:marTop w:val="0"/>
      <w:marBottom w:val="0"/>
      <w:divBdr>
        <w:top w:val="none" w:sz="0" w:space="0" w:color="auto"/>
        <w:left w:val="none" w:sz="0" w:space="0" w:color="auto"/>
        <w:bottom w:val="none" w:sz="0" w:space="0" w:color="auto"/>
        <w:right w:val="none" w:sz="0" w:space="0" w:color="auto"/>
      </w:divBdr>
    </w:div>
    <w:div w:id="906646309">
      <w:bodyDiv w:val="1"/>
      <w:marLeft w:val="0"/>
      <w:marRight w:val="0"/>
      <w:marTop w:val="0"/>
      <w:marBottom w:val="0"/>
      <w:divBdr>
        <w:top w:val="none" w:sz="0" w:space="0" w:color="auto"/>
        <w:left w:val="none" w:sz="0" w:space="0" w:color="auto"/>
        <w:bottom w:val="none" w:sz="0" w:space="0" w:color="auto"/>
        <w:right w:val="none" w:sz="0" w:space="0" w:color="auto"/>
      </w:divBdr>
    </w:div>
    <w:div w:id="921373402">
      <w:bodyDiv w:val="1"/>
      <w:marLeft w:val="0"/>
      <w:marRight w:val="0"/>
      <w:marTop w:val="0"/>
      <w:marBottom w:val="0"/>
      <w:divBdr>
        <w:top w:val="none" w:sz="0" w:space="0" w:color="auto"/>
        <w:left w:val="none" w:sz="0" w:space="0" w:color="auto"/>
        <w:bottom w:val="none" w:sz="0" w:space="0" w:color="auto"/>
        <w:right w:val="none" w:sz="0" w:space="0" w:color="auto"/>
      </w:divBdr>
    </w:div>
    <w:div w:id="925041210">
      <w:bodyDiv w:val="1"/>
      <w:marLeft w:val="0"/>
      <w:marRight w:val="0"/>
      <w:marTop w:val="0"/>
      <w:marBottom w:val="0"/>
      <w:divBdr>
        <w:top w:val="none" w:sz="0" w:space="0" w:color="auto"/>
        <w:left w:val="none" w:sz="0" w:space="0" w:color="auto"/>
        <w:bottom w:val="none" w:sz="0" w:space="0" w:color="auto"/>
        <w:right w:val="none" w:sz="0" w:space="0" w:color="auto"/>
      </w:divBdr>
    </w:div>
    <w:div w:id="955330709">
      <w:bodyDiv w:val="1"/>
      <w:marLeft w:val="0"/>
      <w:marRight w:val="0"/>
      <w:marTop w:val="0"/>
      <w:marBottom w:val="0"/>
      <w:divBdr>
        <w:top w:val="none" w:sz="0" w:space="0" w:color="auto"/>
        <w:left w:val="none" w:sz="0" w:space="0" w:color="auto"/>
        <w:bottom w:val="none" w:sz="0" w:space="0" w:color="auto"/>
        <w:right w:val="none" w:sz="0" w:space="0" w:color="auto"/>
      </w:divBdr>
    </w:div>
    <w:div w:id="965040888">
      <w:bodyDiv w:val="1"/>
      <w:marLeft w:val="0"/>
      <w:marRight w:val="0"/>
      <w:marTop w:val="0"/>
      <w:marBottom w:val="0"/>
      <w:divBdr>
        <w:top w:val="none" w:sz="0" w:space="0" w:color="auto"/>
        <w:left w:val="none" w:sz="0" w:space="0" w:color="auto"/>
        <w:bottom w:val="none" w:sz="0" w:space="0" w:color="auto"/>
        <w:right w:val="none" w:sz="0" w:space="0" w:color="auto"/>
      </w:divBdr>
    </w:div>
    <w:div w:id="980235387">
      <w:bodyDiv w:val="1"/>
      <w:marLeft w:val="0"/>
      <w:marRight w:val="0"/>
      <w:marTop w:val="0"/>
      <w:marBottom w:val="0"/>
      <w:divBdr>
        <w:top w:val="none" w:sz="0" w:space="0" w:color="auto"/>
        <w:left w:val="none" w:sz="0" w:space="0" w:color="auto"/>
        <w:bottom w:val="none" w:sz="0" w:space="0" w:color="auto"/>
        <w:right w:val="none" w:sz="0" w:space="0" w:color="auto"/>
      </w:divBdr>
    </w:div>
    <w:div w:id="989165285">
      <w:bodyDiv w:val="1"/>
      <w:marLeft w:val="0"/>
      <w:marRight w:val="0"/>
      <w:marTop w:val="0"/>
      <w:marBottom w:val="0"/>
      <w:divBdr>
        <w:top w:val="none" w:sz="0" w:space="0" w:color="auto"/>
        <w:left w:val="none" w:sz="0" w:space="0" w:color="auto"/>
        <w:bottom w:val="none" w:sz="0" w:space="0" w:color="auto"/>
        <w:right w:val="none" w:sz="0" w:space="0" w:color="auto"/>
      </w:divBdr>
    </w:div>
    <w:div w:id="1060177649">
      <w:bodyDiv w:val="1"/>
      <w:marLeft w:val="0"/>
      <w:marRight w:val="0"/>
      <w:marTop w:val="0"/>
      <w:marBottom w:val="0"/>
      <w:divBdr>
        <w:top w:val="none" w:sz="0" w:space="0" w:color="auto"/>
        <w:left w:val="none" w:sz="0" w:space="0" w:color="auto"/>
        <w:bottom w:val="none" w:sz="0" w:space="0" w:color="auto"/>
        <w:right w:val="none" w:sz="0" w:space="0" w:color="auto"/>
      </w:divBdr>
    </w:div>
    <w:div w:id="1065837834">
      <w:bodyDiv w:val="1"/>
      <w:marLeft w:val="0"/>
      <w:marRight w:val="0"/>
      <w:marTop w:val="0"/>
      <w:marBottom w:val="0"/>
      <w:divBdr>
        <w:top w:val="none" w:sz="0" w:space="0" w:color="auto"/>
        <w:left w:val="none" w:sz="0" w:space="0" w:color="auto"/>
        <w:bottom w:val="none" w:sz="0" w:space="0" w:color="auto"/>
        <w:right w:val="none" w:sz="0" w:space="0" w:color="auto"/>
      </w:divBdr>
    </w:div>
    <w:div w:id="1087266456">
      <w:bodyDiv w:val="1"/>
      <w:marLeft w:val="0"/>
      <w:marRight w:val="0"/>
      <w:marTop w:val="0"/>
      <w:marBottom w:val="0"/>
      <w:divBdr>
        <w:top w:val="none" w:sz="0" w:space="0" w:color="auto"/>
        <w:left w:val="none" w:sz="0" w:space="0" w:color="auto"/>
        <w:bottom w:val="none" w:sz="0" w:space="0" w:color="auto"/>
        <w:right w:val="none" w:sz="0" w:space="0" w:color="auto"/>
      </w:divBdr>
    </w:div>
    <w:div w:id="1107433458">
      <w:bodyDiv w:val="1"/>
      <w:marLeft w:val="0"/>
      <w:marRight w:val="0"/>
      <w:marTop w:val="0"/>
      <w:marBottom w:val="0"/>
      <w:divBdr>
        <w:top w:val="none" w:sz="0" w:space="0" w:color="auto"/>
        <w:left w:val="none" w:sz="0" w:space="0" w:color="auto"/>
        <w:bottom w:val="none" w:sz="0" w:space="0" w:color="auto"/>
        <w:right w:val="none" w:sz="0" w:space="0" w:color="auto"/>
      </w:divBdr>
    </w:div>
    <w:div w:id="1108550946">
      <w:bodyDiv w:val="1"/>
      <w:marLeft w:val="0"/>
      <w:marRight w:val="0"/>
      <w:marTop w:val="0"/>
      <w:marBottom w:val="0"/>
      <w:divBdr>
        <w:top w:val="none" w:sz="0" w:space="0" w:color="auto"/>
        <w:left w:val="none" w:sz="0" w:space="0" w:color="auto"/>
        <w:bottom w:val="none" w:sz="0" w:space="0" w:color="auto"/>
        <w:right w:val="none" w:sz="0" w:space="0" w:color="auto"/>
      </w:divBdr>
    </w:div>
    <w:div w:id="1125541886">
      <w:bodyDiv w:val="1"/>
      <w:marLeft w:val="0"/>
      <w:marRight w:val="0"/>
      <w:marTop w:val="0"/>
      <w:marBottom w:val="0"/>
      <w:divBdr>
        <w:top w:val="none" w:sz="0" w:space="0" w:color="auto"/>
        <w:left w:val="none" w:sz="0" w:space="0" w:color="auto"/>
        <w:bottom w:val="none" w:sz="0" w:space="0" w:color="auto"/>
        <w:right w:val="none" w:sz="0" w:space="0" w:color="auto"/>
      </w:divBdr>
    </w:div>
    <w:div w:id="1127891589">
      <w:bodyDiv w:val="1"/>
      <w:marLeft w:val="0"/>
      <w:marRight w:val="0"/>
      <w:marTop w:val="0"/>
      <w:marBottom w:val="0"/>
      <w:divBdr>
        <w:top w:val="none" w:sz="0" w:space="0" w:color="auto"/>
        <w:left w:val="none" w:sz="0" w:space="0" w:color="auto"/>
        <w:bottom w:val="none" w:sz="0" w:space="0" w:color="auto"/>
        <w:right w:val="none" w:sz="0" w:space="0" w:color="auto"/>
      </w:divBdr>
    </w:div>
    <w:div w:id="1199659447">
      <w:bodyDiv w:val="1"/>
      <w:marLeft w:val="0"/>
      <w:marRight w:val="0"/>
      <w:marTop w:val="0"/>
      <w:marBottom w:val="0"/>
      <w:divBdr>
        <w:top w:val="none" w:sz="0" w:space="0" w:color="auto"/>
        <w:left w:val="none" w:sz="0" w:space="0" w:color="auto"/>
        <w:bottom w:val="none" w:sz="0" w:space="0" w:color="auto"/>
        <w:right w:val="none" w:sz="0" w:space="0" w:color="auto"/>
      </w:divBdr>
    </w:div>
    <w:div w:id="1199707036">
      <w:bodyDiv w:val="1"/>
      <w:marLeft w:val="0"/>
      <w:marRight w:val="0"/>
      <w:marTop w:val="0"/>
      <w:marBottom w:val="0"/>
      <w:divBdr>
        <w:top w:val="none" w:sz="0" w:space="0" w:color="auto"/>
        <w:left w:val="none" w:sz="0" w:space="0" w:color="auto"/>
        <w:bottom w:val="none" w:sz="0" w:space="0" w:color="auto"/>
        <w:right w:val="none" w:sz="0" w:space="0" w:color="auto"/>
      </w:divBdr>
    </w:div>
    <w:div w:id="1241871578">
      <w:bodyDiv w:val="1"/>
      <w:marLeft w:val="0"/>
      <w:marRight w:val="0"/>
      <w:marTop w:val="0"/>
      <w:marBottom w:val="0"/>
      <w:divBdr>
        <w:top w:val="none" w:sz="0" w:space="0" w:color="auto"/>
        <w:left w:val="none" w:sz="0" w:space="0" w:color="auto"/>
        <w:bottom w:val="none" w:sz="0" w:space="0" w:color="auto"/>
        <w:right w:val="none" w:sz="0" w:space="0" w:color="auto"/>
      </w:divBdr>
    </w:div>
    <w:div w:id="1270812903">
      <w:bodyDiv w:val="1"/>
      <w:marLeft w:val="0"/>
      <w:marRight w:val="0"/>
      <w:marTop w:val="0"/>
      <w:marBottom w:val="0"/>
      <w:divBdr>
        <w:top w:val="none" w:sz="0" w:space="0" w:color="auto"/>
        <w:left w:val="none" w:sz="0" w:space="0" w:color="auto"/>
        <w:bottom w:val="none" w:sz="0" w:space="0" w:color="auto"/>
        <w:right w:val="none" w:sz="0" w:space="0" w:color="auto"/>
      </w:divBdr>
    </w:div>
    <w:div w:id="1275792126">
      <w:bodyDiv w:val="1"/>
      <w:marLeft w:val="0"/>
      <w:marRight w:val="0"/>
      <w:marTop w:val="0"/>
      <w:marBottom w:val="0"/>
      <w:divBdr>
        <w:top w:val="none" w:sz="0" w:space="0" w:color="auto"/>
        <w:left w:val="none" w:sz="0" w:space="0" w:color="auto"/>
        <w:bottom w:val="none" w:sz="0" w:space="0" w:color="auto"/>
        <w:right w:val="none" w:sz="0" w:space="0" w:color="auto"/>
      </w:divBdr>
    </w:div>
    <w:div w:id="1281692496">
      <w:bodyDiv w:val="1"/>
      <w:marLeft w:val="0"/>
      <w:marRight w:val="0"/>
      <w:marTop w:val="0"/>
      <w:marBottom w:val="0"/>
      <w:divBdr>
        <w:top w:val="none" w:sz="0" w:space="0" w:color="auto"/>
        <w:left w:val="none" w:sz="0" w:space="0" w:color="auto"/>
        <w:bottom w:val="none" w:sz="0" w:space="0" w:color="auto"/>
        <w:right w:val="none" w:sz="0" w:space="0" w:color="auto"/>
      </w:divBdr>
    </w:div>
    <w:div w:id="1305084161">
      <w:bodyDiv w:val="1"/>
      <w:marLeft w:val="0"/>
      <w:marRight w:val="0"/>
      <w:marTop w:val="0"/>
      <w:marBottom w:val="0"/>
      <w:divBdr>
        <w:top w:val="none" w:sz="0" w:space="0" w:color="auto"/>
        <w:left w:val="none" w:sz="0" w:space="0" w:color="auto"/>
        <w:bottom w:val="none" w:sz="0" w:space="0" w:color="auto"/>
        <w:right w:val="none" w:sz="0" w:space="0" w:color="auto"/>
      </w:divBdr>
    </w:div>
    <w:div w:id="1322931029">
      <w:bodyDiv w:val="1"/>
      <w:marLeft w:val="0"/>
      <w:marRight w:val="0"/>
      <w:marTop w:val="0"/>
      <w:marBottom w:val="0"/>
      <w:divBdr>
        <w:top w:val="none" w:sz="0" w:space="0" w:color="auto"/>
        <w:left w:val="none" w:sz="0" w:space="0" w:color="auto"/>
        <w:bottom w:val="none" w:sz="0" w:space="0" w:color="auto"/>
        <w:right w:val="none" w:sz="0" w:space="0" w:color="auto"/>
      </w:divBdr>
    </w:div>
    <w:div w:id="1351184379">
      <w:bodyDiv w:val="1"/>
      <w:marLeft w:val="0"/>
      <w:marRight w:val="0"/>
      <w:marTop w:val="0"/>
      <w:marBottom w:val="0"/>
      <w:divBdr>
        <w:top w:val="none" w:sz="0" w:space="0" w:color="auto"/>
        <w:left w:val="none" w:sz="0" w:space="0" w:color="auto"/>
        <w:bottom w:val="none" w:sz="0" w:space="0" w:color="auto"/>
        <w:right w:val="none" w:sz="0" w:space="0" w:color="auto"/>
      </w:divBdr>
    </w:div>
    <w:div w:id="1360667085">
      <w:bodyDiv w:val="1"/>
      <w:marLeft w:val="0"/>
      <w:marRight w:val="0"/>
      <w:marTop w:val="0"/>
      <w:marBottom w:val="0"/>
      <w:divBdr>
        <w:top w:val="none" w:sz="0" w:space="0" w:color="auto"/>
        <w:left w:val="none" w:sz="0" w:space="0" w:color="auto"/>
        <w:bottom w:val="none" w:sz="0" w:space="0" w:color="auto"/>
        <w:right w:val="none" w:sz="0" w:space="0" w:color="auto"/>
      </w:divBdr>
    </w:div>
    <w:div w:id="1371417555">
      <w:bodyDiv w:val="1"/>
      <w:marLeft w:val="0"/>
      <w:marRight w:val="0"/>
      <w:marTop w:val="0"/>
      <w:marBottom w:val="0"/>
      <w:divBdr>
        <w:top w:val="none" w:sz="0" w:space="0" w:color="auto"/>
        <w:left w:val="none" w:sz="0" w:space="0" w:color="auto"/>
        <w:bottom w:val="none" w:sz="0" w:space="0" w:color="auto"/>
        <w:right w:val="none" w:sz="0" w:space="0" w:color="auto"/>
      </w:divBdr>
    </w:div>
    <w:div w:id="1372877836">
      <w:bodyDiv w:val="1"/>
      <w:marLeft w:val="0"/>
      <w:marRight w:val="0"/>
      <w:marTop w:val="0"/>
      <w:marBottom w:val="0"/>
      <w:divBdr>
        <w:top w:val="none" w:sz="0" w:space="0" w:color="auto"/>
        <w:left w:val="none" w:sz="0" w:space="0" w:color="auto"/>
        <w:bottom w:val="none" w:sz="0" w:space="0" w:color="auto"/>
        <w:right w:val="none" w:sz="0" w:space="0" w:color="auto"/>
      </w:divBdr>
    </w:div>
    <w:div w:id="1386875237">
      <w:bodyDiv w:val="1"/>
      <w:marLeft w:val="0"/>
      <w:marRight w:val="0"/>
      <w:marTop w:val="0"/>
      <w:marBottom w:val="0"/>
      <w:divBdr>
        <w:top w:val="none" w:sz="0" w:space="0" w:color="auto"/>
        <w:left w:val="none" w:sz="0" w:space="0" w:color="auto"/>
        <w:bottom w:val="none" w:sz="0" w:space="0" w:color="auto"/>
        <w:right w:val="none" w:sz="0" w:space="0" w:color="auto"/>
      </w:divBdr>
    </w:div>
    <w:div w:id="1402483965">
      <w:bodyDiv w:val="1"/>
      <w:marLeft w:val="0"/>
      <w:marRight w:val="0"/>
      <w:marTop w:val="0"/>
      <w:marBottom w:val="0"/>
      <w:divBdr>
        <w:top w:val="none" w:sz="0" w:space="0" w:color="auto"/>
        <w:left w:val="none" w:sz="0" w:space="0" w:color="auto"/>
        <w:bottom w:val="none" w:sz="0" w:space="0" w:color="auto"/>
        <w:right w:val="none" w:sz="0" w:space="0" w:color="auto"/>
      </w:divBdr>
    </w:div>
    <w:div w:id="1416899737">
      <w:bodyDiv w:val="1"/>
      <w:marLeft w:val="0"/>
      <w:marRight w:val="0"/>
      <w:marTop w:val="0"/>
      <w:marBottom w:val="0"/>
      <w:divBdr>
        <w:top w:val="none" w:sz="0" w:space="0" w:color="auto"/>
        <w:left w:val="none" w:sz="0" w:space="0" w:color="auto"/>
        <w:bottom w:val="none" w:sz="0" w:space="0" w:color="auto"/>
        <w:right w:val="none" w:sz="0" w:space="0" w:color="auto"/>
      </w:divBdr>
    </w:div>
    <w:div w:id="1419596059">
      <w:bodyDiv w:val="1"/>
      <w:marLeft w:val="0"/>
      <w:marRight w:val="0"/>
      <w:marTop w:val="0"/>
      <w:marBottom w:val="0"/>
      <w:divBdr>
        <w:top w:val="none" w:sz="0" w:space="0" w:color="auto"/>
        <w:left w:val="none" w:sz="0" w:space="0" w:color="auto"/>
        <w:bottom w:val="none" w:sz="0" w:space="0" w:color="auto"/>
        <w:right w:val="none" w:sz="0" w:space="0" w:color="auto"/>
      </w:divBdr>
    </w:div>
    <w:div w:id="1484007684">
      <w:bodyDiv w:val="1"/>
      <w:marLeft w:val="0"/>
      <w:marRight w:val="0"/>
      <w:marTop w:val="0"/>
      <w:marBottom w:val="0"/>
      <w:divBdr>
        <w:top w:val="none" w:sz="0" w:space="0" w:color="auto"/>
        <w:left w:val="none" w:sz="0" w:space="0" w:color="auto"/>
        <w:bottom w:val="none" w:sz="0" w:space="0" w:color="auto"/>
        <w:right w:val="none" w:sz="0" w:space="0" w:color="auto"/>
      </w:divBdr>
    </w:div>
    <w:div w:id="1491482674">
      <w:bodyDiv w:val="1"/>
      <w:marLeft w:val="0"/>
      <w:marRight w:val="0"/>
      <w:marTop w:val="0"/>
      <w:marBottom w:val="0"/>
      <w:divBdr>
        <w:top w:val="none" w:sz="0" w:space="0" w:color="auto"/>
        <w:left w:val="none" w:sz="0" w:space="0" w:color="auto"/>
        <w:bottom w:val="none" w:sz="0" w:space="0" w:color="auto"/>
        <w:right w:val="none" w:sz="0" w:space="0" w:color="auto"/>
      </w:divBdr>
    </w:div>
    <w:div w:id="1509443296">
      <w:bodyDiv w:val="1"/>
      <w:marLeft w:val="0"/>
      <w:marRight w:val="0"/>
      <w:marTop w:val="0"/>
      <w:marBottom w:val="0"/>
      <w:divBdr>
        <w:top w:val="none" w:sz="0" w:space="0" w:color="auto"/>
        <w:left w:val="none" w:sz="0" w:space="0" w:color="auto"/>
        <w:bottom w:val="none" w:sz="0" w:space="0" w:color="auto"/>
        <w:right w:val="none" w:sz="0" w:space="0" w:color="auto"/>
      </w:divBdr>
    </w:div>
    <w:div w:id="1526098335">
      <w:bodyDiv w:val="1"/>
      <w:marLeft w:val="0"/>
      <w:marRight w:val="0"/>
      <w:marTop w:val="0"/>
      <w:marBottom w:val="0"/>
      <w:divBdr>
        <w:top w:val="none" w:sz="0" w:space="0" w:color="auto"/>
        <w:left w:val="none" w:sz="0" w:space="0" w:color="auto"/>
        <w:bottom w:val="none" w:sz="0" w:space="0" w:color="auto"/>
        <w:right w:val="none" w:sz="0" w:space="0" w:color="auto"/>
      </w:divBdr>
    </w:div>
    <w:div w:id="1544058845">
      <w:bodyDiv w:val="1"/>
      <w:marLeft w:val="0"/>
      <w:marRight w:val="0"/>
      <w:marTop w:val="0"/>
      <w:marBottom w:val="0"/>
      <w:divBdr>
        <w:top w:val="none" w:sz="0" w:space="0" w:color="auto"/>
        <w:left w:val="none" w:sz="0" w:space="0" w:color="auto"/>
        <w:bottom w:val="none" w:sz="0" w:space="0" w:color="auto"/>
        <w:right w:val="none" w:sz="0" w:space="0" w:color="auto"/>
      </w:divBdr>
    </w:div>
    <w:div w:id="1598443606">
      <w:bodyDiv w:val="1"/>
      <w:marLeft w:val="0"/>
      <w:marRight w:val="0"/>
      <w:marTop w:val="0"/>
      <w:marBottom w:val="0"/>
      <w:divBdr>
        <w:top w:val="none" w:sz="0" w:space="0" w:color="auto"/>
        <w:left w:val="none" w:sz="0" w:space="0" w:color="auto"/>
        <w:bottom w:val="none" w:sz="0" w:space="0" w:color="auto"/>
        <w:right w:val="none" w:sz="0" w:space="0" w:color="auto"/>
      </w:divBdr>
    </w:div>
    <w:div w:id="1659336974">
      <w:bodyDiv w:val="1"/>
      <w:marLeft w:val="0"/>
      <w:marRight w:val="0"/>
      <w:marTop w:val="0"/>
      <w:marBottom w:val="0"/>
      <w:divBdr>
        <w:top w:val="none" w:sz="0" w:space="0" w:color="auto"/>
        <w:left w:val="none" w:sz="0" w:space="0" w:color="auto"/>
        <w:bottom w:val="none" w:sz="0" w:space="0" w:color="auto"/>
        <w:right w:val="none" w:sz="0" w:space="0" w:color="auto"/>
      </w:divBdr>
    </w:div>
    <w:div w:id="1715350235">
      <w:bodyDiv w:val="1"/>
      <w:marLeft w:val="0"/>
      <w:marRight w:val="0"/>
      <w:marTop w:val="0"/>
      <w:marBottom w:val="0"/>
      <w:divBdr>
        <w:top w:val="none" w:sz="0" w:space="0" w:color="auto"/>
        <w:left w:val="none" w:sz="0" w:space="0" w:color="auto"/>
        <w:bottom w:val="none" w:sz="0" w:space="0" w:color="auto"/>
        <w:right w:val="none" w:sz="0" w:space="0" w:color="auto"/>
      </w:divBdr>
    </w:div>
    <w:div w:id="1745104855">
      <w:bodyDiv w:val="1"/>
      <w:marLeft w:val="0"/>
      <w:marRight w:val="0"/>
      <w:marTop w:val="0"/>
      <w:marBottom w:val="0"/>
      <w:divBdr>
        <w:top w:val="none" w:sz="0" w:space="0" w:color="auto"/>
        <w:left w:val="none" w:sz="0" w:space="0" w:color="auto"/>
        <w:bottom w:val="none" w:sz="0" w:space="0" w:color="auto"/>
        <w:right w:val="none" w:sz="0" w:space="0" w:color="auto"/>
      </w:divBdr>
    </w:div>
    <w:div w:id="1752384001">
      <w:bodyDiv w:val="1"/>
      <w:marLeft w:val="0"/>
      <w:marRight w:val="0"/>
      <w:marTop w:val="0"/>
      <w:marBottom w:val="0"/>
      <w:divBdr>
        <w:top w:val="none" w:sz="0" w:space="0" w:color="auto"/>
        <w:left w:val="none" w:sz="0" w:space="0" w:color="auto"/>
        <w:bottom w:val="none" w:sz="0" w:space="0" w:color="auto"/>
        <w:right w:val="none" w:sz="0" w:space="0" w:color="auto"/>
      </w:divBdr>
    </w:div>
    <w:div w:id="1757359130">
      <w:bodyDiv w:val="1"/>
      <w:marLeft w:val="0"/>
      <w:marRight w:val="0"/>
      <w:marTop w:val="0"/>
      <w:marBottom w:val="0"/>
      <w:divBdr>
        <w:top w:val="none" w:sz="0" w:space="0" w:color="auto"/>
        <w:left w:val="none" w:sz="0" w:space="0" w:color="auto"/>
        <w:bottom w:val="none" w:sz="0" w:space="0" w:color="auto"/>
        <w:right w:val="none" w:sz="0" w:space="0" w:color="auto"/>
      </w:divBdr>
    </w:div>
    <w:div w:id="1767534365">
      <w:bodyDiv w:val="1"/>
      <w:marLeft w:val="0"/>
      <w:marRight w:val="0"/>
      <w:marTop w:val="0"/>
      <w:marBottom w:val="0"/>
      <w:divBdr>
        <w:top w:val="none" w:sz="0" w:space="0" w:color="auto"/>
        <w:left w:val="none" w:sz="0" w:space="0" w:color="auto"/>
        <w:bottom w:val="none" w:sz="0" w:space="0" w:color="auto"/>
        <w:right w:val="none" w:sz="0" w:space="0" w:color="auto"/>
      </w:divBdr>
    </w:div>
    <w:div w:id="1777365453">
      <w:bodyDiv w:val="1"/>
      <w:marLeft w:val="0"/>
      <w:marRight w:val="0"/>
      <w:marTop w:val="0"/>
      <w:marBottom w:val="0"/>
      <w:divBdr>
        <w:top w:val="none" w:sz="0" w:space="0" w:color="auto"/>
        <w:left w:val="none" w:sz="0" w:space="0" w:color="auto"/>
        <w:bottom w:val="none" w:sz="0" w:space="0" w:color="auto"/>
        <w:right w:val="none" w:sz="0" w:space="0" w:color="auto"/>
      </w:divBdr>
    </w:div>
    <w:div w:id="1801218716">
      <w:bodyDiv w:val="1"/>
      <w:marLeft w:val="0"/>
      <w:marRight w:val="0"/>
      <w:marTop w:val="0"/>
      <w:marBottom w:val="0"/>
      <w:divBdr>
        <w:top w:val="none" w:sz="0" w:space="0" w:color="auto"/>
        <w:left w:val="none" w:sz="0" w:space="0" w:color="auto"/>
        <w:bottom w:val="none" w:sz="0" w:space="0" w:color="auto"/>
        <w:right w:val="none" w:sz="0" w:space="0" w:color="auto"/>
      </w:divBdr>
    </w:div>
    <w:div w:id="1809010788">
      <w:bodyDiv w:val="1"/>
      <w:marLeft w:val="0"/>
      <w:marRight w:val="0"/>
      <w:marTop w:val="0"/>
      <w:marBottom w:val="0"/>
      <w:divBdr>
        <w:top w:val="none" w:sz="0" w:space="0" w:color="auto"/>
        <w:left w:val="none" w:sz="0" w:space="0" w:color="auto"/>
        <w:bottom w:val="none" w:sz="0" w:space="0" w:color="auto"/>
        <w:right w:val="none" w:sz="0" w:space="0" w:color="auto"/>
      </w:divBdr>
    </w:div>
    <w:div w:id="1858888084">
      <w:bodyDiv w:val="1"/>
      <w:marLeft w:val="0"/>
      <w:marRight w:val="0"/>
      <w:marTop w:val="0"/>
      <w:marBottom w:val="0"/>
      <w:divBdr>
        <w:top w:val="none" w:sz="0" w:space="0" w:color="auto"/>
        <w:left w:val="none" w:sz="0" w:space="0" w:color="auto"/>
        <w:bottom w:val="none" w:sz="0" w:space="0" w:color="auto"/>
        <w:right w:val="none" w:sz="0" w:space="0" w:color="auto"/>
      </w:divBdr>
    </w:div>
    <w:div w:id="1860655715">
      <w:bodyDiv w:val="1"/>
      <w:marLeft w:val="0"/>
      <w:marRight w:val="0"/>
      <w:marTop w:val="0"/>
      <w:marBottom w:val="0"/>
      <w:divBdr>
        <w:top w:val="none" w:sz="0" w:space="0" w:color="auto"/>
        <w:left w:val="none" w:sz="0" w:space="0" w:color="auto"/>
        <w:bottom w:val="none" w:sz="0" w:space="0" w:color="auto"/>
        <w:right w:val="none" w:sz="0" w:space="0" w:color="auto"/>
      </w:divBdr>
    </w:div>
    <w:div w:id="1867668706">
      <w:bodyDiv w:val="1"/>
      <w:marLeft w:val="0"/>
      <w:marRight w:val="0"/>
      <w:marTop w:val="0"/>
      <w:marBottom w:val="0"/>
      <w:divBdr>
        <w:top w:val="none" w:sz="0" w:space="0" w:color="auto"/>
        <w:left w:val="none" w:sz="0" w:space="0" w:color="auto"/>
        <w:bottom w:val="none" w:sz="0" w:space="0" w:color="auto"/>
        <w:right w:val="none" w:sz="0" w:space="0" w:color="auto"/>
      </w:divBdr>
    </w:div>
    <w:div w:id="1887638395">
      <w:bodyDiv w:val="1"/>
      <w:marLeft w:val="0"/>
      <w:marRight w:val="0"/>
      <w:marTop w:val="0"/>
      <w:marBottom w:val="0"/>
      <w:divBdr>
        <w:top w:val="none" w:sz="0" w:space="0" w:color="auto"/>
        <w:left w:val="none" w:sz="0" w:space="0" w:color="auto"/>
        <w:bottom w:val="none" w:sz="0" w:space="0" w:color="auto"/>
        <w:right w:val="none" w:sz="0" w:space="0" w:color="auto"/>
      </w:divBdr>
    </w:div>
    <w:div w:id="1895507507">
      <w:bodyDiv w:val="1"/>
      <w:marLeft w:val="0"/>
      <w:marRight w:val="0"/>
      <w:marTop w:val="0"/>
      <w:marBottom w:val="0"/>
      <w:divBdr>
        <w:top w:val="none" w:sz="0" w:space="0" w:color="auto"/>
        <w:left w:val="none" w:sz="0" w:space="0" w:color="auto"/>
        <w:bottom w:val="none" w:sz="0" w:space="0" w:color="auto"/>
        <w:right w:val="none" w:sz="0" w:space="0" w:color="auto"/>
      </w:divBdr>
    </w:div>
    <w:div w:id="1948073923">
      <w:bodyDiv w:val="1"/>
      <w:marLeft w:val="0"/>
      <w:marRight w:val="0"/>
      <w:marTop w:val="0"/>
      <w:marBottom w:val="0"/>
      <w:divBdr>
        <w:top w:val="none" w:sz="0" w:space="0" w:color="auto"/>
        <w:left w:val="none" w:sz="0" w:space="0" w:color="auto"/>
        <w:bottom w:val="none" w:sz="0" w:space="0" w:color="auto"/>
        <w:right w:val="none" w:sz="0" w:space="0" w:color="auto"/>
      </w:divBdr>
    </w:div>
    <w:div w:id="1961762268">
      <w:bodyDiv w:val="1"/>
      <w:marLeft w:val="0"/>
      <w:marRight w:val="0"/>
      <w:marTop w:val="0"/>
      <w:marBottom w:val="0"/>
      <w:divBdr>
        <w:top w:val="none" w:sz="0" w:space="0" w:color="auto"/>
        <w:left w:val="none" w:sz="0" w:space="0" w:color="auto"/>
        <w:bottom w:val="none" w:sz="0" w:space="0" w:color="auto"/>
        <w:right w:val="none" w:sz="0" w:space="0" w:color="auto"/>
      </w:divBdr>
    </w:div>
    <w:div w:id="1986885239">
      <w:bodyDiv w:val="1"/>
      <w:marLeft w:val="0"/>
      <w:marRight w:val="0"/>
      <w:marTop w:val="0"/>
      <w:marBottom w:val="0"/>
      <w:divBdr>
        <w:top w:val="none" w:sz="0" w:space="0" w:color="auto"/>
        <w:left w:val="none" w:sz="0" w:space="0" w:color="auto"/>
        <w:bottom w:val="none" w:sz="0" w:space="0" w:color="auto"/>
        <w:right w:val="none" w:sz="0" w:space="0" w:color="auto"/>
      </w:divBdr>
    </w:div>
    <w:div w:id="2007439956">
      <w:bodyDiv w:val="1"/>
      <w:marLeft w:val="0"/>
      <w:marRight w:val="0"/>
      <w:marTop w:val="0"/>
      <w:marBottom w:val="0"/>
      <w:divBdr>
        <w:top w:val="none" w:sz="0" w:space="0" w:color="auto"/>
        <w:left w:val="none" w:sz="0" w:space="0" w:color="auto"/>
        <w:bottom w:val="none" w:sz="0" w:space="0" w:color="auto"/>
        <w:right w:val="none" w:sz="0" w:space="0" w:color="auto"/>
      </w:divBdr>
    </w:div>
    <w:div w:id="2030788103">
      <w:bodyDiv w:val="1"/>
      <w:marLeft w:val="0"/>
      <w:marRight w:val="0"/>
      <w:marTop w:val="0"/>
      <w:marBottom w:val="0"/>
      <w:divBdr>
        <w:top w:val="none" w:sz="0" w:space="0" w:color="auto"/>
        <w:left w:val="none" w:sz="0" w:space="0" w:color="auto"/>
        <w:bottom w:val="none" w:sz="0" w:space="0" w:color="auto"/>
        <w:right w:val="none" w:sz="0" w:space="0" w:color="auto"/>
      </w:divBdr>
    </w:div>
    <w:div w:id="2072581368">
      <w:bodyDiv w:val="1"/>
      <w:marLeft w:val="0"/>
      <w:marRight w:val="0"/>
      <w:marTop w:val="0"/>
      <w:marBottom w:val="0"/>
      <w:divBdr>
        <w:top w:val="none" w:sz="0" w:space="0" w:color="auto"/>
        <w:left w:val="none" w:sz="0" w:space="0" w:color="auto"/>
        <w:bottom w:val="none" w:sz="0" w:space="0" w:color="auto"/>
        <w:right w:val="none" w:sz="0" w:space="0" w:color="auto"/>
      </w:divBdr>
    </w:div>
    <w:div w:id="2082171404">
      <w:bodyDiv w:val="1"/>
      <w:marLeft w:val="0"/>
      <w:marRight w:val="0"/>
      <w:marTop w:val="0"/>
      <w:marBottom w:val="0"/>
      <w:divBdr>
        <w:top w:val="none" w:sz="0" w:space="0" w:color="auto"/>
        <w:left w:val="none" w:sz="0" w:space="0" w:color="auto"/>
        <w:bottom w:val="none" w:sz="0" w:space="0" w:color="auto"/>
        <w:right w:val="none" w:sz="0" w:space="0" w:color="auto"/>
      </w:divBdr>
    </w:div>
    <w:div w:id="2106227009">
      <w:bodyDiv w:val="1"/>
      <w:marLeft w:val="0"/>
      <w:marRight w:val="0"/>
      <w:marTop w:val="0"/>
      <w:marBottom w:val="0"/>
      <w:divBdr>
        <w:top w:val="none" w:sz="0" w:space="0" w:color="auto"/>
        <w:left w:val="none" w:sz="0" w:space="0" w:color="auto"/>
        <w:bottom w:val="none" w:sz="0" w:space="0" w:color="auto"/>
        <w:right w:val="none" w:sz="0" w:space="0" w:color="auto"/>
      </w:divBdr>
    </w:div>
    <w:div w:id="2118594455">
      <w:bodyDiv w:val="1"/>
      <w:marLeft w:val="0"/>
      <w:marRight w:val="0"/>
      <w:marTop w:val="0"/>
      <w:marBottom w:val="0"/>
      <w:divBdr>
        <w:top w:val="none" w:sz="0" w:space="0" w:color="auto"/>
        <w:left w:val="none" w:sz="0" w:space="0" w:color="auto"/>
        <w:bottom w:val="none" w:sz="0" w:space="0" w:color="auto"/>
        <w:right w:val="none" w:sz="0" w:space="0" w:color="auto"/>
      </w:divBdr>
    </w:div>
    <w:div w:id="212017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Kun11</b:Tag>
    <b:SourceType>ConferenceProceedings</b:SourceType>
    <b:Guid>{8715FA94-344A-4FB2-8A8B-D846FCFF6F42}</b:Guid>
    <b:Title>Twenty-first century civil engineering: an overview of who, what, and where</b:Title>
    <b:Year>2011</b:Year>
    <b:Author>
      <b:Author>
        <b:NameList>
          <b:Person>
            <b:Last>Kunberger</b:Last>
            <b:First>Tanya</b:First>
          </b:Person>
          <b:Person>
            <b:Last>Burian</b:Last>
            <b:First>Steven</b:First>
            <b:Middle>J.</b:Middle>
          </b:Person>
          <b:Person>
            <b:Last>Lutey</b:Last>
            <b:First>Whitney</b:First>
            <b:Middle>A.</b:Middle>
          </b:Person>
          <b:Person>
            <b:Last>Morse</b:Last>
            <b:First>Audra</b:First>
            <b:Middle>N.</b:Middle>
          </b:Person>
          <b:Person>
            <b:Last>O'Neill</b:Last>
            <b:First>Robert</b:First>
          </b:Person>
          <b:Person>
            <b:Last>Sanford</b:Last>
            <b:First>Kristen</b:First>
            <b:Middle>L.</b:Middle>
          </b:Person>
          <b:Person>
            <b:Last>Welker</b:Last>
            <b:First>Andrea</b:First>
            <b:Middle>L.</b:Middle>
          </b:Person>
        </b:NameList>
      </b:Author>
    </b:Author>
    <b:Pages>22-1557</b:Pages>
    <b:ConferenceName>2011 ASEE Annual Conference &amp; Exposition</b:ConferenceName>
    <b:RefOrder>1</b:RefOrder>
  </b:Source>
  <b:Source>
    <b:Tag>Zaq25</b:Tag>
    <b:SourceType>ConferenceProceedings</b:SourceType>
    <b:Guid>{0392ABFF-777D-4CE2-9941-460B572B6CDB}</b:Guid>
    <b:Author>
      <b:Author>
        <b:NameList>
          <b:Person>
            <b:Last>Zaqout</b:Last>
            <b:First>Mariam</b:First>
          </b:Person>
          <b:Person>
            <b:Last>Martins</b:Last>
            <b:First>Flavio</b:First>
          </b:Person>
          <b:Person>
            <b:Last>Koch</b:Last>
            <b:First>Marta</b:First>
          </b:Person>
          <b:Person>
            <b:Last>Hansford</b:Last>
            <b:First>Mark</b:First>
          </b:Person>
          <b:Person>
            <b:Last>Parikh</b:Last>
            <b:First>Priti</b:First>
          </b:Person>
        </b:NameList>
      </b:Author>
    </b:Author>
    <b:Title>Engineering knowledge: the Institution of Civil Engineers and the UN Sustainable Development Goals</b:Title>
    <b:Pages>163-174</b:Pages>
    <b:Year>2025</b:Year>
    <b:ConferenceName>Proceedings of the Institution of Civil Engineers-Civil Engineering</b:ConferenceName>
    <b:Publisher>Emerald Publishing Limited</b:Publisher>
    <b:RefOrder>2</b:RefOrder>
  </b:Source>
  <b:Source>
    <b:Tag>Min10</b:Tag>
    <b:SourceType>Book</b:SourceType>
    <b:Guid>{21655D45-F26E-4164-B98F-BD935ABCCA5F}</b:Guid>
    <b:Title>Reglamento Colombiano de Construcción Sismo Resistente NSR-10</b:Title>
    <b:Year>2010</b:Year>
    <b:City>Bogotá D.C.</b:City>
    <b:Publisher> Asociación Colombiana de Ingeniería Sísmica</b:Publisher>
    <b:Author>
      <b:Author>
        <b:NameList>
          <b:Person>
            <b:Last>Ministerio de Vivienda</b:Last>
            <b:First>Ciudad</b:First>
            <b:Middle>y Territorio</b:Middle>
          </b:Person>
        </b:NameList>
      </b:Author>
    </b:Author>
    <b:RefOrder>3</b:RefOrder>
  </b:Source>
  <b:Source>
    <b:Tag>Goe04</b:Tag>
    <b:SourceType>JournalArticle</b:SourceType>
    <b:Guid>{C37A593B-A1AB-4538-B12F-4DB21D54D648}</b:Guid>
    <b:Title>Evaluation of modal and FEMA pushover analyses: SAC buildings</b:Title>
    <b:Year>2004</b:Year>
    <b:Author>
      <b:Author>
        <b:NameList>
          <b:Person>
            <b:Last>Goel</b:Last>
            <b:First>Rakesh</b:First>
            <b:Middle>K.</b:Middle>
          </b:Person>
          <b:Person>
            <b:Last>Chopra</b:Last>
            <b:First>Anil</b:First>
            <b:Middle>K.</b:Middle>
          </b:Person>
        </b:NameList>
      </b:Author>
    </b:Author>
    <b:JournalName>Earthquake spectra</b:JournalName>
    <b:Pages>225-254</b:Pages>
    <b:RefOrder>8</b:RefOrder>
  </b:Source>
  <b:Source>
    <b:Tag>Zeb22</b:Tag>
    <b:SourceType>JournalArticle</b:SourceType>
    <b:Guid>{BCAD2CC8-A4DB-454B-B26C-F1CEBA95266A}</b:Guid>
    <b:Author>
      <b:Author>
        <b:NameList>
          <b:Person>
            <b:Last>Zebua</b:Last>
            <b:First>Dermawan</b:First>
          </b:Person>
          <b:Person>
            <b:Last>otros</b:Last>
          </b:Person>
        </b:NameList>
      </b:Author>
    </b:Author>
    <b:Title>Performance Evaluation of Highrise Building Structure Based on Pushover Analysis with ATC-40 Method</b:Title>
    <b:JournalName>Applied Research on Civil Engineering and Environment (ARCEE)</b:JournalName>
    <b:Year>2022</b:Year>
    <b:Pages>54-63</b:Pages>
    <b:RefOrder>9</b:RefOrder>
  </b:Source>
  <b:Source>
    <b:Tag>Sal14</b:Tag>
    <b:SourceType>ConferenceProceedings</b:SourceType>
    <b:Guid>{0E50EE5E-25D5-4C25-BAA4-EF6346AEA358}</b:Guid>
    <b:Title>Implications on seismic hazard and risk assessment of two cities of Colombia as a result of a lithospheric tear proposal in the NW South America</b:Title>
    <b:Year>2014</b:Year>
    <b:Author>
      <b:Author>
        <b:NameList>
          <b:Person>
            <b:Last>Salgado</b:Last>
            <b:First>M.</b:First>
          </b:Person>
          <b:Person>
            <b:Last>Zuloaga</b:Last>
            <b:First>D.</b:First>
          </b:Person>
          <b:Person>
            <b:Last>Bernal</b:Last>
            <b:First>G.</b:First>
          </b:Person>
          <b:Person>
            <b:Last>Vargas</b:Last>
            <b:First>C.</b:First>
          </b:Person>
          <b:Person>
            <b:Last>Cardona</b:Last>
            <b:First>O.D.</b:First>
          </b:Person>
          <b:Person>
            <b:Last>otros</b:Last>
          </b:Person>
        </b:NameList>
      </b:Author>
    </b:Author>
    <b:ConferenceName>10th US National Conference on earthquake engineering</b:ConferenceName>
    <b:RefOrder>4</b:RefOrder>
  </b:Source>
  <b:Source>
    <b:Tag>Lar21</b:Tag>
    <b:SourceType>ConferenceProceedings</b:SourceType>
    <b:Guid>{D9FB3CE6-21F2-440B-8092-30DF53DB9702}</b:Guid>
    <b:Author>
      <b:Author>
        <b:NameList>
          <b:Person>
            <b:Last>Largo</b:Last>
            <b:First>Daniel</b:First>
          </b:Person>
          <b:Person>
            <b:Last>Hidalgo</b:Last>
            <b:First>César</b:First>
          </b:Person>
          <b:Person>
            <b:Last>Olarte</b:Last>
            <b:First>Juan</b:First>
          </b:Person>
        </b:NameList>
      </b:Author>
    </b:Author>
    <b:Title>Comparison of invasive and non-invasive methods in site response, case study: Soil deposits of La estrella</b:Title>
    <b:Pages>012119</b:Pages>
    <b:Year>2021</b:Year>
    <b:ConferenceName>IOP conference series: Earth and environmental science</b:ConferenceName>
    <b:Publisher>IOP Publishing</b:Publisher>
    <b:RefOrder>5</b:RefOrder>
  </b:Source>
  <b:Source>
    <b:Tag>Jos23</b:Tag>
    <b:SourceType>JournalArticle</b:SourceType>
    <b:Guid>{8920520B-D252-4AD1-A163-EB67504413DF}</b:Guid>
    <b:Title>Structural Engineering: Trends, Applications, and Advances</b:Title>
    <b:Pages>89-123</b:Pages>
    <b:Year>2023</b:Year>
    <b:Author>
      <b:Author>
        <b:NameList>
          <b:Person>
            <b:Last>Joshi</b:Last>
            <b:First>Deepa</b:First>
            <b:Middle>A.</b:Middle>
          </b:Person>
          <b:Person>
            <b:Last>Shewale</b:Last>
            <b:First>Manisha</b:First>
          </b:Person>
        </b:NameList>
      </b:Author>
    </b:Author>
    <b:JournalName>Data Science for Civil Engineering</b:JournalName>
    <b:RefOrder>11</b:RefOrder>
  </b:Source>
  <b:Source>
    <b:Tag>Zha14</b:Tag>
    <b:SourceType>JournalArticle</b:SourceType>
    <b:Guid>{04EADC0E-4CCE-4810-9FA5-B4042253710B}</b:Guid>
    <b:Author>
      <b:Author>
        <b:NameList>
          <b:Person>
            <b:Last>Zhang</b:Last>
            <b:First>Mei</b:First>
            <b:Middle>Mei</b:Middle>
          </b:Person>
        </b:NameList>
      </b:Author>
    </b:Author>
    <b:Title>On the Intelligent Optimization Design of Building Structure</b:Title>
    <b:JournalName>Applied Mechanics and Materials</b:JournalName>
    <b:Year>2014</b:Year>
    <b:Pages>759-762</b:Pages>
    <b:RefOrder>12</b:RefOrder>
  </b:Source>
  <b:Source>
    <b:Tag>Luo17</b:Tag>
    <b:SourceType>ConferenceProceedings</b:SourceType>
    <b:Guid>{FC8BFFA5-D03D-4CDD-B2FB-1F9C0BB8C6B1}</b:Guid>
    <b:Title>Topology optimization and performance-based design of tall buildings: A spatial framework</b:Title>
    <b:Year>2017</b:Year>
    <b:Pages>447-458</b:Pages>
    <b:Author>
      <b:Author>
        <b:NameList>
          <b:Person>
            <b:Last>Luo</b:Last>
            <b:First>Xihaier</b:First>
          </b:Person>
          <b:Person>
            <b:Last>Suksuwan</b:Last>
            <b:First>Arthriya</b:First>
          </b:Person>
          <b:Person>
            <b:Last>Spence</b:Last>
            <b:First>Seymour</b:First>
            <b:Middle>M.J.</b:Middle>
          </b:Person>
          <b:Person>
            <b:Last>Kareem</b:Last>
            <b:First>Ahsan</b:First>
          </b:Person>
        </b:NameList>
      </b:Author>
    </b:Author>
    <b:ConferenceName>Structures Congress 2017</b:ConferenceName>
    <b:RefOrder>13</b:RefOrder>
  </b:Source>
  <b:Source>
    <b:Tag>Hem08</b:Tag>
    <b:SourceType>ConferenceProceedings</b:SourceType>
    <b:Guid>{3C2F124D-6826-4274-B9DE-C52C49BC9143}</b:Guid>
    <b:Title>Static nonlinear analysis in concrete structures</b:Title>
    <b:Pages>974-954</b:Pages>
    <b:Year>2008</b:Year>
    <b:ConferenceName>AIP Conference Proceedings</b:ConferenceName>
    <b:Publisher>American Institute of Physics</b:Publisher>
    <b:Author>
      <b:Author>
        <b:NameList>
          <b:Person>
            <b:Last>Hemmati</b:Last>
            <b:First>Ali</b:First>
          </b:Person>
        </b:NameList>
      </b:Author>
    </b:Author>
    <b:RefOrder>7</b:RefOrder>
  </b:Source>
  <b:Source>
    <b:Tag>Kra98</b:Tag>
    <b:SourceType>JournalArticle</b:SourceType>
    <b:Guid>{2305AABC-FB9B-4CC6-8CB7-342D6C816BAD}</b:Guid>
    <b:Title>Pros and cons of a pushover analysis of seismic performance evaluation</b:Title>
    <b:Pages>452-464</b:Pages>
    <b:Year>1998</b:Year>
    <b:Author>
      <b:Author>
        <b:NameList>
          <b:Person>
            <b:Last>Krawinkler</b:Last>
            <b:First>Helmut</b:First>
          </b:Person>
          <b:Person>
            <b:Last>Seneviratna</b:Last>
            <b:First>GDP</b:First>
          </b:Person>
        </b:NameList>
      </b:Author>
    </b:Author>
    <b:JournalName>Engineering structures</b:JournalName>
    <b:RefOrder>10</b:RefOrder>
  </b:Source>
  <b:Source>
    <b:Tag>Jar22</b:Tag>
    <b:SourceType>JournalArticle</b:SourceType>
    <b:Guid>{DCD2E5A9-362E-42BD-A9E6-F57858EB5FDA}</b:Guid>
    <b:Author>
      <b:Author>
        <b:NameList>
          <b:Person>
            <b:Last>Jaramillo</b:Last>
            <b:First>Haidee</b:First>
            <b:Middle>Yulady</b:Middle>
          </b:Person>
          <b:Person>
            <b:Last>Castrillón</b:Last>
            <b:First>Alexci</b:First>
          </b:Person>
          <b:Person>
            <b:Last>Gomez</b:Last>
            <b:First>July</b:First>
          </b:Person>
        </b:NameList>
      </b:Author>
    </b:Author>
    <b:Title>Mechanical properties of an earth block compressed with cementitious material</b:Title>
    <b:JournalName>Civil Engineering and Architecture</b:JournalName>
    <b:Year>2022</b:Year>
    <b:Pages>2858-2865</b:Pages>
    <b:RefOrder>14</b:RefOrder>
  </b:Source>
  <b:Source>
    <b:Tag>Nie23</b:Tag>
    <b:SourceType>JournalArticle</b:SourceType>
    <b:Guid>{16660C93-2041-4F89-9B59-D66C41D1C14B}</b:Guid>
    <b:Author>
      <b:Author>
        <b:NameList>
          <b:Person>
            <b:Last>Nieto-Cárdenas</b:Last>
            <b:First>Xavier</b:First>
          </b:Person>
          <b:Person>
            <b:Last>Takeuchi</b:Last>
            <b:First>Caori</b:First>
          </b:Person>
          <b:Person>
            <b:Last>Carrillo</b:Last>
            <b:First>Julian</b:First>
          </b:Person>
          <b:Person>
            <b:Last>Cobos</b:Last>
            <b:First>Christian</b:First>
          </b:Person>
        </b:NameList>
      </b:Author>
    </b:Author>
    <b:Title>Performance of non-structural masonry retrofitted with welded wire mesh and steel fibers under axial compression load</b:Title>
    <b:JournalName>AIP Conference Proceedings</b:JournalName>
    <b:Year>2023</b:Year>
    <b:Pages>150034</b:Pages>
    <b:RefOrder>15</b:RefOrder>
  </b:Source>
  <b:Source>
    <b:Tag>Ban25</b:Tag>
    <b:SourceType>Book</b:SourceType>
    <b:Guid>{35E42A64-8509-49E1-9445-8A0BD15ECBA9}</b:Guid>
    <b:Title>An Introduction to Waves in Mechanical Periodic Structures and Metamaterials</b:Title>
    <b:Year>2025</b:Year>
    <b:Author>
      <b:Author>
        <b:NameList>
          <b:Person>
            <b:Last>Banerjee</b:Last>
            <b:First>Arnab</b:First>
          </b:Person>
          <b:Person>
            <b:Last>Bera</b:Last>
            <b:First>Kamal</b:First>
            <b:Middle>Krishna</b:Middle>
          </b:Person>
        </b:NameList>
      </b:Author>
    </b:Author>
    <b:Publisher>CRC Press</b:Publisher>
    <b:RefOrder>17</b:RefOrder>
  </b:Source>
  <b:Source>
    <b:Tag>Kim18</b:Tag>
    <b:SourceType>ConferenceProceedings</b:SourceType>
    <b:Guid>{C56902BE-1BD8-4F23-90BD-6A24E5D5AD57}</b:Guid>
    <b:Title>Understanding metamaterials in the realm of smart materials</b:Title>
    <b:Year>2018</b:Year>
    <b:Publisher>AIP Publishing LLC</b:Publisher>
    <b:Author>
      <b:Author>
        <b:NameList>
          <b:Person>
            <b:Last>Kim</b:Last>
            <b:First>Sang-Hoon</b:First>
          </b:Person>
          <b:Person>
            <b:Last>Das</b:Last>
            <b:First>Mukunda</b:First>
            <b:Middle>P</b:Middle>
          </b:Person>
        </b:NameList>
      </b:Author>
    </b:Author>
    <b:Pages>020011</b:Pages>
    <b:ConferenceName>AIP Conference Proceedings</b:ConferenceName>
    <b:RefOrder>16</b:RefOrder>
  </b:Source>
  <b:Source>
    <b:Tag>Jin25</b:Tag>
    <b:SourceType>JournalArticle</b:SourceType>
    <b:Guid>{0906783D-A7C9-4B4D-A943-D3EB2116233D}</b:Guid>
    <b:Title>Advances in intelligent design of metamaterials</b:Title>
    <b:Pages>1-27</b:Pages>
    <b:Year>2025</b:Year>
    <b:Author>
      <b:Author>
        <b:NameList>
          <b:Person>
            <b:Last>Jin</b:Last>
            <b:First>Liuchao</b:First>
          </b:Person>
          <b:Person>
            <b:Last>Shang</b:Last>
            <b:First>Chen</b:First>
          </b:Person>
          <b:Person>
            <b:Last>Zhai</b:Last>
            <b:First>Xiaoya</b:First>
          </b:Person>
          <b:Person>
            <b:Last>Fu</b:Last>
            <b:First>Xiaoming</b:First>
          </b:Person>
          <b:Person>
            <b:Last>Liu</b:Last>
            <b:First>Ligang</b:First>
          </b:Person>
          <b:Person>
            <b:Last>otros</b:Last>
          </b:Person>
        </b:NameList>
      </b:Author>
    </b:Author>
    <b:JournalName>Journal of Computer-Aided Design &amp; Computer Graphics</b:JournalName>
    <b:RefOrder>18</b:RefOrder>
  </b:Source>
  <b:Source>
    <b:Tag>Aso23</b:Tag>
    <b:SourceType>Report</b:SourceType>
    <b:Guid>{5026F31A-0491-4513-A209-5EB1A535D1DC}</b:Guid>
    <b:Title>Evaluación y reducción de la vulnerabilidad sísmica en viviendas de mampostería AIS 410-23</b:Title>
    <b:Year>2023</b:Year>
    <b:Author>
      <b:Author>
        <b:NameList>
          <b:Person>
            <b:Last>AIS</b:Last>
            <b:First>Asociación</b:First>
            <b:Middle>Colombiana de Ingeniería Sísmica</b:Middle>
          </b:Person>
        </b:NameList>
      </b:Author>
    </b:Author>
    <b:Publisher>Publicaciones técnicas AIS</b:Publisher>
    <b:City>Bogotá</b:City>
    <b:RefOrder>6</b:RefOrder>
  </b:Source>
</b:Sources>
</file>

<file path=customXml/itemProps1.xml><?xml version="1.0" encoding="utf-8"?>
<ds:datastoreItem xmlns:ds="http://schemas.openxmlformats.org/officeDocument/2006/customXml" ds:itemID="{7C560967-6734-4954-961E-79EE170EF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Pages>
  <Words>3253</Words>
  <Characters>17892</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Guevara Corzo</dc:creator>
  <cp:keywords/>
  <dc:description/>
  <cp:lastModifiedBy>Jeffrey Guevara Corzo</cp:lastModifiedBy>
  <cp:revision>7</cp:revision>
  <dcterms:created xsi:type="dcterms:W3CDTF">2026-03-25T12:16:00Z</dcterms:created>
  <dcterms:modified xsi:type="dcterms:W3CDTF">2026-03-25T21:38:00Z</dcterms:modified>
</cp:coreProperties>
</file>