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1AD91" w14:textId="1BC0F832" w:rsidR="00F41F97" w:rsidRDefault="00F41F97" w:rsidP="00F41F97">
      <w:pPr>
        <w:spacing w:line="276" w:lineRule="auto"/>
        <w:rPr>
          <w:rFonts w:ascii="Arial Narrow" w:hAnsi="Arial Narrow"/>
          <w:b/>
          <w:bCs/>
          <w:lang w:val="es-419"/>
        </w:rPr>
      </w:pPr>
      <w:r>
        <w:rPr>
          <w:rFonts w:ascii="Arial Narrow" w:hAnsi="Arial Narrow"/>
          <w:b/>
          <w:bCs/>
          <w:lang w:val="es-419"/>
        </w:rPr>
        <w:t>Hacia una planificación adaptativa del agua en regiones altamente intervenidas considerando incertidumbre profunda</w:t>
      </w:r>
    </w:p>
    <w:p w14:paraId="6F590D5F" w14:textId="5B5C48B9" w:rsidR="00016ADB" w:rsidRPr="00AC299B" w:rsidRDefault="00DD02B1" w:rsidP="00B22F3D">
      <w:pPr>
        <w:spacing w:line="276" w:lineRule="auto"/>
        <w:jc w:val="both"/>
        <w:rPr>
          <w:rFonts w:ascii="Arial Narrow" w:hAnsi="Arial Narrow"/>
          <w:b/>
          <w:bCs/>
          <w:lang w:val="es-419"/>
        </w:rPr>
      </w:pPr>
      <w:r w:rsidRPr="00AC299B">
        <w:rPr>
          <w:rFonts w:ascii="Arial Narrow" w:hAnsi="Arial Narrow"/>
          <w:b/>
          <w:bCs/>
          <w:lang w:val="es-419"/>
        </w:rPr>
        <w:t>Justificación</w:t>
      </w:r>
    </w:p>
    <w:p w14:paraId="2BE2585E" w14:textId="7AFE0F8A" w:rsidR="00DD02B1" w:rsidRPr="00AC299B" w:rsidRDefault="00DD02B1" w:rsidP="00B22F3D">
      <w:pPr>
        <w:spacing w:line="276" w:lineRule="auto"/>
        <w:jc w:val="both"/>
        <w:rPr>
          <w:rFonts w:ascii="Arial Narrow" w:hAnsi="Arial Narrow"/>
          <w:lang w:val="es-419"/>
        </w:rPr>
      </w:pPr>
      <w:r w:rsidRPr="00AC299B">
        <w:rPr>
          <w:rFonts w:ascii="Arial Narrow" w:hAnsi="Arial Narrow"/>
          <w:lang w:val="es-419"/>
        </w:rPr>
        <w:t>Uno de los grandes retos que enfrenta hoy la humanidad es lograr una gestión efi</w:t>
      </w:r>
      <w:r w:rsidR="00D24EE6">
        <w:rPr>
          <w:rFonts w:ascii="Arial Narrow" w:hAnsi="Arial Narrow"/>
          <w:lang w:val="es-419"/>
        </w:rPr>
        <w:t>ciente</w:t>
      </w:r>
      <w:r w:rsidRPr="00AC299B">
        <w:rPr>
          <w:rFonts w:ascii="Arial Narrow" w:hAnsi="Arial Narrow"/>
          <w:lang w:val="es-419"/>
        </w:rPr>
        <w:t xml:space="preserve"> de los recursos naturales para alcanzar un nivel aceptable de bienestar </w:t>
      </w:r>
      <w:r w:rsidR="00D24EE6">
        <w:rPr>
          <w:rFonts w:ascii="Arial Narrow" w:hAnsi="Arial Narrow"/>
          <w:lang w:val="es-419"/>
        </w:rPr>
        <w:t xml:space="preserve">social </w:t>
      </w:r>
      <w:r w:rsidRPr="00AC299B">
        <w:rPr>
          <w:rFonts w:ascii="Arial Narrow" w:hAnsi="Arial Narrow"/>
          <w:lang w:val="es-419"/>
        </w:rPr>
        <w:t xml:space="preserve">de manera sostenible. </w:t>
      </w:r>
      <w:r w:rsidR="00D24EE6">
        <w:rPr>
          <w:rFonts w:ascii="Arial Narrow" w:hAnsi="Arial Narrow"/>
          <w:lang w:val="es-419"/>
        </w:rPr>
        <w:t>Pese a los desafíos en materia de implementación y de voluntad política, esta prioridad se ha consolidado en el marco de la</w:t>
      </w:r>
      <w:r w:rsidRPr="00AC299B">
        <w:rPr>
          <w:rFonts w:ascii="Arial Narrow" w:hAnsi="Arial Narrow"/>
          <w:lang w:val="es-419"/>
        </w:rPr>
        <w:t xml:space="preserve"> </w:t>
      </w:r>
      <w:r w:rsidR="00D24EE6">
        <w:rPr>
          <w:rFonts w:ascii="Arial Narrow" w:hAnsi="Arial Narrow"/>
          <w:lang w:val="es-419"/>
        </w:rPr>
        <w:t>Agenda</w:t>
      </w:r>
      <w:r w:rsidRPr="00AC299B">
        <w:rPr>
          <w:rFonts w:ascii="Arial Narrow" w:hAnsi="Arial Narrow"/>
          <w:lang w:val="es-419"/>
        </w:rPr>
        <w:t xml:space="preserve"> 2030 </w:t>
      </w:r>
      <w:r w:rsidR="00D24EE6">
        <w:rPr>
          <w:rFonts w:ascii="Arial Narrow" w:hAnsi="Arial Narrow"/>
          <w:lang w:val="es-419"/>
        </w:rPr>
        <w:t xml:space="preserve">y de </w:t>
      </w:r>
      <w:r w:rsidRPr="00AC299B">
        <w:rPr>
          <w:rFonts w:ascii="Arial Narrow" w:hAnsi="Arial Narrow"/>
          <w:lang w:val="es-419"/>
        </w:rPr>
        <w:t xml:space="preserve">los Objetivos de Desarrollo Sostenible (ODS, UN, 2015). Objetivos tales como la erradicación de la pobreza en todas sus formas, la paz, la seguridad alimentaria y energética, el acceso </w:t>
      </w:r>
      <w:r w:rsidR="00D24EE6">
        <w:rPr>
          <w:rFonts w:ascii="Arial Narrow" w:hAnsi="Arial Narrow"/>
          <w:lang w:val="es-419"/>
        </w:rPr>
        <w:t>al</w:t>
      </w:r>
      <w:r w:rsidRPr="00AC299B">
        <w:rPr>
          <w:rFonts w:ascii="Arial Narrow" w:hAnsi="Arial Narrow"/>
          <w:lang w:val="es-419"/>
        </w:rPr>
        <w:t xml:space="preserve"> agua limpia y a un ambiente sano, la protección de la biodiversidad y la reducción de brechas sociales y de género pasan necesariamente por un manejo apropiado de los recursos hídricos disponibles incorporando una dimensión de gobernanza (Albrecht et al., 2018). Dicha gobernanza reconoce </w:t>
      </w:r>
      <w:r w:rsidR="00D24EE6">
        <w:rPr>
          <w:rFonts w:ascii="Arial Narrow" w:hAnsi="Arial Narrow"/>
          <w:lang w:val="es-419"/>
        </w:rPr>
        <w:t xml:space="preserve">las </w:t>
      </w:r>
      <w:r w:rsidRPr="00AC299B">
        <w:rPr>
          <w:rFonts w:ascii="Arial Narrow" w:hAnsi="Arial Narrow"/>
          <w:lang w:val="es-419"/>
        </w:rPr>
        <w:t xml:space="preserve">realidades y barreras económicas, sociales, legales y políticas, así como </w:t>
      </w:r>
      <w:r w:rsidR="00D24EE6">
        <w:rPr>
          <w:rFonts w:ascii="Arial Narrow" w:hAnsi="Arial Narrow"/>
          <w:lang w:val="es-419"/>
        </w:rPr>
        <w:t>las relaciones de poder y las</w:t>
      </w:r>
      <w:r w:rsidRPr="00AC299B">
        <w:rPr>
          <w:rFonts w:ascii="Arial Narrow" w:hAnsi="Arial Narrow"/>
          <w:lang w:val="es-419"/>
        </w:rPr>
        <w:t xml:space="preserve"> jerarquías que influyen en la toma de decisiones (Kurian, 2017).</w:t>
      </w:r>
    </w:p>
    <w:p w14:paraId="2564E7B1" w14:textId="0D871EBD" w:rsidR="00DD02B1" w:rsidRPr="00AC299B" w:rsidRDefault="00DD02B1" w:rsidP="00B22F3D">
      <w:pPr>
        <w:spacing w:line="276" w:lineRule="auto"/>
        <w:jc w:val="both"/>
        <w:rPr>
          <w:rFonts w:ascii="Arial Narrow" w:hAnsi="Arial Narrow"/>
          <w:lang w:val="es-419"/>
        </w:rPr>
      </w:pPr>
      <w:r w:rsidRPr="00AC299B">
        <w:rPr>
          <w:rFonts w:ascii="Arial Narrow" w:hAnsi="Arial Narrow"/>
          <w:lang w:val="es-419"/>
        </w:rPr>
        <w:t xml:space="preserve">Desde un punto de vista cuantitativo, </w:t>
      </w:r>
      <w:r w:rsidR="00D24EE6">
        <w:rPr>
          <w:rFonts w:ascii="Arial Narrow" w:hAnsi="Arial Narrow"/>
          <w:lang w:val="es-419"/>
        </w:rPr>
        <w:t xml:space="preserve">la ingeniería de recursos hídricos ha avanzado notablemente en </w:t>
      </w:r>
      <w:r w:rsidRPr="00AC299B">
        <w:rPr>
          <w:rFonts w:ascii="Arial Narrow" w:hAnsi="Arial Narrow"/>
          <w:lang w:val="es-419"/>
        </w:rPr>
        <w:t xml:space="preserve">el uso de modelos matemáticos para analizar sistemas humanos-naturales acoplados y asistir en procesos de toma de decisiones relacionados con el manejo sostenible del agua (Moallemi et al., 2020). Esto se explica principalmente por la integración con aproximaciones que simulan el comportamiento humano, </w:t>
      </w:r>
      <w:r w:rsidR="00D24EE6">
        <w:rPr>
          <w:rFonts w:ascii="Arial Narrow" w:hAnsi="Arial Narrow"/>
          <w:lang w:val="es-419"/>
        </w:rPr>
        <w:t>con el objetivo de</w:t>
      </w:r>
      <w:r w:rsidRPr="00AC299B">
        <w:rPr>
          <w:rFonts w:ascii="Arial Narrow" w:hAnsi="Arial Narrow"/>
          <w:lang w:val="es-419"/>
        </w:rPr>
        <w:t xml:space="preserve"> entender la </w:t>
      </w:r>
      <w:r w:rsidR="00D24EE6">
        <w:rPr>
          <w:rFonts w:ascii="Arial Narrow" w:hAnsi="Arial Narrow"/>
          <w:lang w:val="es-419"/>
        </w:rPr>
        <w:t>coevolución</w:t>
      </w:r>
      <w:r w:rsidRPr="00AC299B">
        <w:rPr>
          <w:rFonts w:ascii="Arial Narrow" w:hAnsi="Arial Narrow"/>
          <w:lang w:val="es-419"/>
        </w:rPr>
        <w:t xml:space="preserve"> de los sistemas y generar modelos más realistas (Ponnambalam and Mousavi, 2020; Sivapalan and Blöschl, 2015). El desarrollo teórico y conceptual</w:t>
      </w:r>
      <w:r w:rsidR="00D24EE6">
        <w:rPr>
          <w:rFonts w:ascii="Arial Narrow" w:hAnsi="Arial Narrow"/>
          <w:lang w:val="es-419"/>
        </w:rPr>
        <w:t>, así como la implementación de estos modelos integrados, conforman las bases del campo de la socio-hidrología (Di Baldassarre et al., 2015), del análisis de sistemas socio-ecológicos (Filatova et al., 2013), de la dinámica multi-sectorial (Reed et al., 2022) y del</w:t>
      </w:r>
      <w:r w:rsidRPr="00AC299B">
        <w:rPr>
          <w:rFonts w:ascii="Arial Narrow" w:hAnsi="Arial Narrow"/>
          <w:lang w:val="es-419"/>
        </w:rPr>
        <w:t xml:space="preserve"> enfoque nexo agua-energía-alimentos (Albrecht et al., 2018).</w:t>
      </w:r>
    </w:p>
    <w:p w14:paraId="2B19271A" w14:textId="5AB4B534" w:rsidR="00DD02B1" w:rsidRDefault="00DD02B1" w:rsidP="00B22F3D">
      <w:pPr>
        <w:spacing w:line="276" w:lineRule="auto"/>
        <w:jc w:val="both"/>
        <w:rPr>
          <w:rFonts w:ascii="Arial Narrow" w:hAnsi="Arial Narrow"/>
          <w:lang w:val="es-419"/>
        </w:rPr>
      </w:pPr>
      <w:r w:rsidRPr="00AC299B">
        <w:rPr>
          <w:rFonts w:ascii="Arial Narrow" w:hAnsi="Arial Narrow"/>
          <w:lang w:val="es-419"/>
        </w:rPr>
        <w:t xml:space="preserve">Existen antecedentes recientes en el uso de modelos para analizar la </w:t>
      </w:r>
      <w:r w:rsidR="00824505" w:rsidRPr="00AC299B">
        <w:rPr>
          <w:rFonts w:ascii="Arial Narrow" w:hAnsi="Arial Narrow"/>
          <w:lang w:val="es-419"/>
        </w:rPr>
        <w:t>coevolución</w:t>
      </w:r>
      <w:r w:rsidRPr="00AC299B">
        <w:rPr>
          <w:rFonts w:ascii="Arial Narrow" w:hAnsi="Arial Narrow"/>
          <w:lang w:val="es-419"/>
        </w:rPr>
        <w:t xml:space="preserve"> de sistemas humanos y naturales en relación con dinámicas de uso del agua (Giuliani et al., 2016; Hung et al., 2022; Kahil et al., 2018; Khan et al., 2017; Klassert et al., 2023; Yang et al., 2020; Yoon et al., 2024, 2021; Zhang et al., 2024). Uno de los principales avances en el uso de modelos acoplados ha sido pasar de aproximaciones de forzamiento </w:t>
      </w:r>
      <w:r w:rsidR="00D24EE6" w:rsidRPr="00AC299B">
        <w:rPr>
          <w:rFonts w:ascii="Arial Narrow" w:hAnsi="Arial Narrow"/>
          <w:lang w:val="es-419"/>
        </w:rPr>
        <w:t>unidireccional</w:t>
      </w:r>
      <w:r w:rsidRPr="00AC299B">
        <w:rPr>
          <w:rFonts w:ascii="Arial Narrow" w:hAnsi="Arial Narrow"/>
          <w:lang w:val="es-419"/>
        </w:rPr>
        <w:t xml:space="preserve"> (Kahil et al., 2018) a considerar diversos tipos de retroalimentación bidireccional (e.g., positiva, negativa, con retraso) (Yoon et al., 2022; Zhang et al., 2024). La interacción </w:t>
      </w:r>
      <w:r w:rsidR="00D24EE6">
        <w:rPr>
          <w:rFonts w:ascii="Arial Narrow" w:hAnsi="Arial Narrow"/>
          <w:lang w:val="es-419"/>
        </w:rPr>
        <w:t>bidireccional ha permitido, por ejemplo, simular la adaptación a condiciones de sequía (como la reducción de la</w:t>
      </w:r>
      <w:r w:rsidRPr="00AC299B">
        <w:rPr>
          <w:rFonts w:ascii="Arial Narrow" w:hAnsi="Arial Narrow"/>
          <w:lang w:val="es-419"/>
        </w:rPr>
        <w:t xml:space="preserve"> tierra cultivable e irrigable) en función de la respuesta del medio natural al uso del agua (Dolan et al., 2021). Así mismo, se ha avanzado en generar marcos de modelación completamente distribuidos que permitan hacer evaluación </w:t>
      </w:r>
      <w:r w:rsidR="00D24EE6">
        <w:rPr>
          <w:rFonts w:ascii="Arial Narrow" w:hAnsi="Arial Narrow"/>
          <w:lang w:val="es-419"/>
        </w:rPr>
        <w:t>multiescala</w:t>
      </w:r>
      <w:r w:rsidRPr="00AC299B">
        <w:rPr>
          <w:rFonts w:ascii="Arial Narrow" w:hAnsi="Arial Narrow"/>
          <w:lang w:val="es-419"/>
        </w:rPr>
        <w:t xml:space="preserve"> (Zhang et al., 2024). No obstante, la consideración de relaciones jerárquicas entre actores que influyen en la toma de decisiones utilizando herramientas de priorización y selección estratégica basadas en los modelos acoplados, es aún un campo no estudiado a profundidad (Jordan et al., 2022). Por otra parte, la mayoría de los </w:t>
      </w:r>
      <w:r w:rsidR="00D24EE6">
        <w:rPr>
          <w:rFonts w:ascii="Arial Narrow" w:hAnsi="Arial Narrow"/>
          <w:lang w:val="es-419"/>
        </w:rPr>
        <w:t>estudios se han enfocado en capturar interacciones en contextos de riego agrícola, operación de presas y otras categorías de agentes,</w:t>
      </w:r>
      <w:r w:rsidRPr="00AC299B">
        <w:rPr>
          <w:rFonts w:ascii="Arial Narrow" w:hAnsi="Arial Narrow"/>
          <w:lang w:val="es-419"/>
        </w:rPr>
        <w:t xml:space="preserve"> como usuarios urbanos. Sin embargo, se requiere enfatizar los efectos </w:t>
      </w:r>
      <w:r w:rsidR="00D24EE6">
        <w:rPr>
          <w:rFonts w:ascii="Arial Narrow" w:hAnsi="Arial Narrow"/>
          <w:lang w:val="es-419"/>
        </w:rPr>
        <w:t>socioecológicos</w:t>
      </w:r>
      <w:r w:rsidRPr="00AC299B">
        <w:rPr>
          <w:rFonts w:ascii="Arial Narrow" w:hAnsi="Arial Narrow"/>
          <w:lang w:val="es-419"/>
        </w:rPr>
        <w:t xml:space="preserve"> de la expansión urbana ligada, por ejemplo, al uso del agua (Des Roches et al., 2021). Los modelos de sistemas hídricos utilizados han sido MODFLOW (Reeves and Zellner, 2010), SWAT (Khan et al., 2017), Riverware (Hyun et al., 2019) y modelos de gran escala como </w:t>
      </w:r>
      <w:r w:rsidRPr="00AC299B">
        <w:rPr>
          <w:rFonts w:ascii="Arial Narrow" w:hAnsi="Arial Narrow"/>
          <w:lang w:val="es-419"/>
        </w:rPr>
        <w:lastRenderedPageBreak/>
        <w:t xml:space="preserve">MOSART-WM (Zhang et al., 2024) y Xanthos (Zhang et al., 2024). En Colombia, se han aplicado marcos de análisis o </w:t>
      </w:r>
      <w:r w:rsidR="00824505">
        <w:rPr>
          <w:rFonts w:ascii="Arial Narrow" w:hAnsi="Arial Narrow"/>
          <w:lang w:val="es-419"/>
        </w:rPr>
        <w:t xml:space="preserve">de </w:t>
      </w:r>
      <w:r w:rsidRPr="00AC299B">
        <w:rPr>
          <w:rFonts w:ascii="Arial Narrow" w:hAnsi="Arial Narrow"/>
          <w:lang w:val="es-419"/>
        </w:rPr>
        <w:t xml:space="preserve">modelación integrada en relación con el uso del agua. No obstante, dichos estudios han sido principalmente de tipo </w:t>
      </w:r>
      <w:r w:rsidR="00824505">
        <w:rPr>
          <w:rFonts w:ascii="Arial Narrow" w:hAnsi="Arial Narrow"/>
          <w:lang w:val="es-419"/>
        </w:rPr>
        <w:t>unidireccional</w:t>
      </w:r>
      <w:r w:rsidRPr="00AC299B">
        <w:rPr>
          <w:rFonts w:ascii="Arial Narrow" w:hAnsi="Arial Narrow"/>
          <w:lang w:val="es-419"/>
        </w:rPr>
        <w:t xml:space="preserve"> (Pimentel et al., 2021) y se han enfocado en un sector en particular (como el energético) (Caceres et al., 2021; Gonzalez-Salazar et al., 2016). Propuestas </w:t>
      </w:r>
      <w:r w:rsidR="00824505">
        <w:rPr>
          <w:rFonts w:ascii="Arial Narrow" w:hAnsi="Arial Narrow"/>
          <w:lang w:val="es-419"/>
        </w:rPr>
        <w:t xml:space="preserve">de </w:t>
      </w:r>
      <w:r w:rsidRPr="00AC299B">
        <w:rPr>
          <w:rFonts w:ascii="Arial Narrow" w:hAnsi="Arial Narrow"/>
          <w:lang w:val="es-419"/>
        </w:rPr>
        <w:t>tipo nexo también han sido exploradas sin implementar modelación matemática (Torres et al., 2020).</w:t>
      </w:r>
    </w:p>
    <w:p w14:paraId="4EE7C79D" w14:textId="134B8BC9" w:rsidR="00824505" w:rsidRDefault="00824505" w:rsidP="00824505">
      <w:pPr>
        <w:spacing w:line="276" w:lineRule="auto"/>
        <w:jc w:val="both"/>
        <w:rPr>
          <w:rFonts w:ascii="Arial Narrow" w:hAnsi="Arial Narrow"/>
          <w:lang w:val="es-419"/>
        </w:rPr>
      </w:pPr>
      <w:r>
        <w:rPr>
          <w:rFonts w:ascii="Arial Narrow" w:hAnsi="Arial Narrow"/>
          <w:lang w:val="es-419"/>
        </w:rPr>
        <w:t>Por otra parte</w:t>
      </w:r>
      <w:r w:rsidRPr="00824505">
        <w:rPr>
          <w:rFonts w:ascii="Arial Narrow" w:hAnsi="Arial Narrow"/>
          <w:lang w:val="es-419"/>
        </w:rPr>
        <w:t xml:space="preserve">, se reconoce que la complejidad y la incertidumbre son inherentes a estos sistemas. En particular, en la práctica contemporánea de la planeación </w:t>
      </w:r>
      <w:r w:rsidR="00627C6B">
        <w:rPr>
          <w:rFonts w:ascii="Arial Narrow" w:hAnsi="Arial Narrow"/>
          <w:lang w:val="es-419"/>
        </w:rPr>
        <w:t>de recursos hídricos</w:t>
      </w:r>
      <w:r w:rsidRPr="00824505">
        <w:rPr>
          <w:rFonts w:ascii="Arial Narrow" w:hAnsi="Arial Narrow"/>
          <w:lang w:val="es-419"/>
        </w:rPr>
        <w:t xml:space="preserve"> (y, en general, de la infraestructura), el reto metodológico central ya no es solo “modelar mejor”, sino </w:t>
      </w:r>
      <w:r>
        <w:rPr>
          <w:rFonts w:ascii="Arial Narrow" w:hAnsi="Arial Narrow"/>
          <w:lang w:val="es-419"/>
        </w:rPr>
        <w:t>“</w:t>
      </w:r>
      <w:r w:rsidRPr="00824505">
        <w:rPr>
          <w:rFonts w:ascii="Arial Narrow" w:hAnsi="Arial Narrow"/>
          <w:lang w:val="es-419"/>
        </w:rPr>
        <w:t>decidir mejor</w:t>
      </w:r>
      <w:r>
        <w:rPr>
          <w:rFonts w:ascii="Arial Narrow" w:hAnsi="Arial Narrow"/>
          <w:lang w:val="es-419"/>
        </w:rPr>
        <w:t>”</w:t>
      </w:r>
      <w:r w:rsidRPr="00824505">
        <w:rPr>
          <w:rFonts w:ascii="Arial Narrow" w:hAnsi="Arial Narrow"/>
          <w:lang w:val="es-419"/>
        </w:rPr>
        <w:t xml:space="preserve"> cuando el futuro es profundamente incierto. La literatura denomina incertidumbre profunda a aquellos contextos </w:t>
      </w:r>
      <w:r>
        <w:rPr>
          <w:rFonts w:ascii="Arial Narrow" w:hAnsi="Arial Narrow"/>
          <w:lang w:val="es-419"/>
        </w:rPr>
        <w:t>en los que no hay conocimiento confiable (o acuerdo) sobre: (i) qué futuros son plausibles y cuál es</w:t>
      </w:r>
      <w:r w:rsidRPr="00824505">
        <w:rPr>
          <w:rFonts w:ascii="Arial Narrow" w:hAnsi="Arial Narrow"/>
          <w:lang w:val="es-419"/>
        </w:rPr>
        <w:t xml:space="preserve"> su probabilidad, (ii) las relaciones acción</w:t>
      </w:r>
      <w:r w:rsidRPr="00824505">
        <w:rPr>
          <w:rFonts w:ascii="Cambria Math" w:hAnsi="Cambria Math" w:cs="Cambria Math"/>
          <w:lang w:val="es-419"/>
        </w:rPr>
        <w:t>‑</w:t>
      </w:r>
      <w:r w:rsidRPr="00824505">
        <w:rPr>
          <w:rFonts w:ascii="Arial Narrow" w:hAnsi="Arial Narrow"/>
          <w:lang w:val="es-419"/>
        </w:rPr>
        <w:t>resultado del sistema, o (iii) las preferencias y compensaciones aceptables frente al riesgo</w:t>
      </w:r>
      <w:r>
        <w:rPr>
          <w:rFonts w:ascii="Arial Narrow" w:hAnsi="Arial Narrow"/>
          <w:lang w:val="es-419"/>
        </w:rPr>
        <w:t xml:space="preserve"> (Marchau et al., 2019)</w:t>
      </w:r>
      <w:r w:rsidRPr="00824505">
        <w:rPr>
          <w:rFonts w:ascii="Arial Narrow" w:hAnsi="Arial Narrow"/>
          <w:lang w:val="es-419"/>
        </w:rPr>
        <w:t xml:space="preserve">. En estos entornos ha emergido un conjunto coherente de enfoques de </w:t>
      </w:r>
      <w:r w:rsidRPr="00824505">
        <w:rPr>
          <w:rFonts w:ascii="Arial Narrow" w:hAnsi="Arial Narrow"/>
          <w:i/>
          <w:iCs/>
          <w:lang w:val="es-419"/>
        </w:rPr>
        <w:t>Decision Making under Deep Uncertainty</w:t>
      </w:r>
      <w:r w:rsidRPr="00824505">
        <w:rPr>
          <w:rFonts w:ascii="Arial Narrow" w:hAnsi="Arial Narrow"/>
          <w:lang w:val="es-419"/>
        </w:rPr>
        <w:t xml:space="preserve"> (DMDU), que privilegia estrategias robustas (que funcionen aceptablemente en muchos futuros plausibles) y adaptativas (que se ajusten con base en monitoreo, señales tempranas y aprendizaje), por encima de óptimos dependientes de supuestos frágiles</w:t>
      </w:r>
      <w:r>
        <w:rPr>
          <w:rFonts w:ascii="Arial Narrow" w:hAnsi="Arial Narrow"/>
          <w:lang w:val="es-419"/>
        </w:rPr>
        <w:t xml:space="preserve"> (Marchau et al., 2019)</w:t>
      </w:r>
      <w:r w:rsidRPr="00824505">
        <w:rPr>
          <w:rFonts w:ascii="Arial Narrow" w:hAnsi="Arial Narrow"/>
          <w:lang w:val="es-419"/>
        </w:rPr>
        <w:t>. Para operacionalizarlo en sistemas complejos, la modelación exploratoria (</w:t>
      </w:r>
      <w:r w:rsidRPr="00824505">
        <w:rPr>
          <w:rFonts w:ascii="Arial Narrow" w:hAnsi="Arial Narrow"/>
          <w:i/>
          <w:iCs/>
          <w:lang w:val="es-419"/>
        </w:rPr>
        <w:t>exploratory modeling</w:t>
      </w:r>
      <w:r w:rsidRPr="00824505">
        <w:rPr>
          <w:rFonts w:ascii="Arial Narrow" w:hAnsi="Arial Narrow"/>
          <w:lang w:val="es-419"/>
        </w:rPr>
        <w:t xml:space="preserve">) propone explorar </w:t>
      </w:r>
      <w:r>
        <w:rPr>
          <w:rFonts w:ascii="Arial Narrow" w:hAnsi="Arial Narrow"/>
          <w:lang w:val="es-419"/>
        </w:rPr>
        <w:t>de manera sistemática grandes conjuntos</w:t>
      </w:r>
      <w:r w:rsidRPr="00824505">
        <w:rPr>
          <w:rFonts w:ascii="Arial Narrow" w:hAnsi="Arial Narrow"/>
          <w:lang w:val="es-419"/>
        </w:rPr>
        <w:t xml:space="preserve"> de supuestos y escenarios para fortalecer inferencias robustas en sistemas humanos</w:t>
      </w:r>
      <w:r w:rsidRPr="00824505">
        <w:rPr>
          <w:rFonts w:ascii="Cambria Math" w:hAnsi="Cambria Math" w:cs="Cambria Math"/>
          <w:lang w:val="es-419"/>
        </w:rPr>
        <w:t>‑</w:t>
      </w:r>
      <w:r w:rsidRPr="00824505">
        <w:rPr>
          <w:rFonts w:ascii="Arial Narrow" w:hAnsi="Arial Narrow"/>
          <w:lang w:val="es-419"/>
        </w:rPr>
        <w:t>naturales acoplados</w:t>
      </w:r>
      <w:r>
        <w:rPr>
          <w:rFonts w:ascii="Arial Narrow" w:hAnsi="Arial Narrow"/>
          <w:lang w:val="es-419"/>
        </w:rPr>
        <w:t xml:space="preserve"> (Moallemi et al., 2020)</w:t>
      </w:r>
      <w:r w:rsidRPr="00824505">
        <w:rPr>
          <w:rFonts w:ascii="Arial Narrow" w:hAnsi="Arial Narrow"/>
          <w:lang w:val="es-419"/>
        </w:rPr>
        <w:t xml:space="preserve">. Una herramienta emblemática de este paradigma es </w:t>
      </w:r>
      <w:r w:rsidRPr="00824505">
        <w:rPr>
          <w:rFonts w:ascii="Arial Narrow" w:hAnsi="Arial Narrow"/>
          <w:i/>
          <w:iCs/>
          <w:lang w:val="es-419"/>
        </w:rPr>
        <w:t>Dynamic Adaptive Policy Pathways</w:t>
      </w:r>
      <w:r w:rsidRPr="00824505">
        <w:rPr>
          <w:rFonts w:ascii="Arial Narrow" w:hAnsi="Arial Narrow"/>
          <w:lang w:val="es-419"/>
        </w:rPr>
        <w:t xml:space="preserve"> (DAPP), propuesta para incorporar </w:t>
      </w:r>
      <w:r w:rsidR="00627C6B">
        <w:rPr>
          <w:rFonts w:ascii="Arial Narrow" w:hAnsi="Arial Narrow"/>
          <w:lang w:val="es-419"/>
        </w:rPr>
        <w:t xml:space="preserve">la </w:t>
      </w:r>
      <w:r w:rsidRPr="00824505">
        <w:rPr>
          <w:rFonts w:ascii="Arial Narrow" w:hAnsi="Arial Narrow"/>
          <w:lang w:val="es-419"/>
        </w:rPr>
        <w:t>adaptación a lo largo del tiempo mediante rutas de decisión secuenciadas, puntos de quiebre (</w:t>
      </w:r>
      <w:r w:rsidRPr="00824505">
        <w:rPr>
          <w:rFonts w:ascii="Arial Narrow" w:hAnsi="Arial Narrow"/>
          <w:i/>
          <w:iCs/>
          <w:lang w:val="es-419"/>
        </w:rPr>
        <w:t>tipping points</w:t>
      </w:r>
      <w:r w:rsidRPr="00824505">
        <w:rPr>
          <w:rFonts w:ascii="Arial Narrow" w:hAnsi="Arial Narrow"/>
          <w:lang w:val="es-419"/>
        </w:rPr>
        <w:t>) y disparadores (</w:t>
      </w:r>
      <w:r w:rsidRPr="00824505">
        <w:rPr>
          <w:rFonts w:ascii="Arial Narrow" w:hAnsi="Arial Narrow"/>
          <w:i/>
          <w:iCs/>
          <w:lang w:val="es-419"/>
        </w:rPr>
        <w:t>triggers</w:t>
      </w:r>
      <w:r w:rsidRPr="00824505">
        <w:rPr>
          <w:rFonts w:ascii="Arial Narrow" w:hAnsi="Arial Narrow"/>
          <w:lang w:val="es-419"/>
        </w:rPr>
        <w:t>) que activan cambios de estrategia cuando se observan condiciones críticas</w:t>
      </w:r>
      <w:r>
        <w:rPr>
          <w:rFonts w:ascii="Arial Narrow" w:hAnsi="Arial Narrow"/>
          <w:lang w:val="es-419"/>
        </w:rPr>
        <w:t xml:space="preserve"> (Hasnoot et al., 2013)</w:t>
      </w:r>
      <w:r w:rsidRPr="00824505">
        <w:rPr>
          <w:rFonts w:ascii="Arial Narrow" w:hAnsi="Arial Narrow"/>
          <w:lang w:val="es-419"/>
        </w:rPr>
        <w:t xml:space="preserve">. Complementariamente, </w:t>
      </w:r>
      <w:r w:rsidRPr="00824505">
        <w:rPr>
          <w:rFonts w:ascii="Arial Narrow" w:hAnsi="Arial Narrow"/>
          <w:i/>
          <w:iCs/>
          <w:lang w:val="es-419"/>
        </w:rPr>
        <w:t>Robust Decision Making</w:t>
      </w:r>
      <w:r w:rsidRPr="00824505">
        <w:rPr>
          <w:rFonts w:ascii="Arial Narrow" w:hAnsi="Arial Narrow"/>
          <w:lang w:val="es-419"/>
        </w:rPr>
        <w:t xml:space="preserve"> (RDM) enfatiza el análisis de grandes conjuntos de futuros plausibles para diferenciar </w:t>
      </w:r>
      <w:r>
        <w:rPr>
          <w:rFonts w:ascii="Arial Narrow" w:hAnsi="Arial Narrow"/>
          <w:lang w:val="es-419"/>
        </w:rPr>
        <w:t>entre aquellos en los que una estrategia funciona y aquellos en los que</w:t>
      </w:r>
      <w:r w:rsidRPr="00824505">
        <w:rPr>
          <w:rFonts w:ascii="Arial Narrow" w:hAnsi="Arial Narrow"/>
          <w:lang w:val="es-419"/>
        </w:rPr>
        <w:t xml:space="preserve"> falla, y así mejorar su robustez sin depender de predicciones puntuales</w:t>
      </w:r>
      <w:r>
        <w:rPr>
          <w:rFonts w:ascii="Arial Narrow" w:hAnsi="Arial Narrow"/>
          <w:lang w:val="es-419"/>
        </w:rPr>
        <w:t xml:space="preserve"> (Lempert, 2019)</w:t>
      </w:r>
      <w:r w:rsidRPr="00824505">
        <w:rPr>
          <w:rFonts w:ascii="Arial Narrow" w:hAnsi="Arial Narrow"/>
          <w:lang w:val="es-419"/>
        </w:rPr>
        <w:t xml:space="preserve">. La literatura reciente también sistematiza lecciones aprendidas de una década de estudios </w:t>
      </w:r>
      <w:r>
        <w:rPr>
          <w:rFonts w:ascii="Arial Narrow" w:hAnsi="Arial Narrow"/>
          <w:lang w:val="es-419"/>
        </w:rPr>
        <w:t xml:space="preserve">sobre trayectorias y revisiones de enfoques de </w:t>
      </w:r>
      <w:r w:rsidRPr="00824505">
        <w:rPr>
          <w:rFonts w:ascii="Arial Narrow" w:hAnsi="Arial Narrow"/>
          <w:i/>
          <w:iCs/>
          <w:lang w:val="es-419"/>
        </w:rPr>
        <w:t>adaptation pathways</w:t>
      </w:r>
      <w:r>
        <w:rPr>
          <w:rFonts w:ascii="Arial Narrow" w:hAnsi="Arial Narrow"/>
          <w:lang w:val="es-419"/>
        </w:rPr>
        <w:t>, destacando tanto su utilidad como sus límites y los</w:t>
      </w:r>
      <w:r w:rsidRPr="00824505">
        <w:rPr>
          <w:rFonts w:ascii="Arial Narrow" w:hAnsi="Arial Narrow"/>
          <w:lang w:val="es-419"/>
        </w:rPr>
        <w:t xml:space="preserve"> requisitos de diseño institucional</w:t>
      </w:r>
      <w:r>
        <w:rPr>
          <w:rFonts w:ascii="Arial Narrow" w:hAnsi="Arial Narrow"/>
          <w:lang w:val="es-419"/>
        </w:rPr>
        <w:t xml:space="preserve"> (Hasnoot et al., 2024)</w:t>
      </w:r>
      <w:r w:rsidRPr="00824505">
        <w:rPr>
          <w:rFonts w:ascii="Arial Narrow" w:hAnsi="Arial Narrow"/>
          <w:lang w:val="es-419"/>
        </w:rPr>
        <w:t>.</w:t>
      </w:r>
    </w:p>
    <w:p w14:paraId="53D2601D" w14:textId="042125A3" w:rsidR="00DD02B1" w:rsidRPr="00AC299B" w:rsidRDefault="00627C6B" w:rsidP="00B22F3D">
      <w:pPr>
        <w:spacing w:line="276" w:lineRule="auto"/>
        <w:jc w:val="both"/>
        <w:rPr>
          <w:rFonts w:ascii="Arial Narrow" w:hAnsi="Arial Narrow"/>
          <w:lang w:val="es-419"/>
        </w:rPr>
      </w:pPr>
      <w:r w:rsidRPr="00627C6B">
        <w:rPr>
          <w:rFonts w:ascii="Arial Narrow" w:hAnsi="Arial Narrow"/>
          <w:lang w:val="es-419"/>
        </w:rPr>
        <w:t>En la Sabana de Bogotá</w:t>
      </w:r>
      <w:r>
        <w:rPr>
          <w:rFonts w:ascii="Arial Narrow" w:hAnsi="Arial Narrow"/>
          <w:lang w:val="es-419"/>
        </w:rPr>
        <w:t xml:space="preserve"> y en otras regiones altamente intervenidas,</w:t>
      </w:r>
      <w:r w:rsidRPr="00627C6B">
        <w:rPr>
          <w:rFonts w:ascii="Arial Narrow" w:hAnsi="Arial Narrow"/>
          <w:lang w:val="es-419"/>
        </w:rPr>
        <w:t xml:space="preserve"> esta discusión tiene un carácter inmediato. </w:t>
      </w:r>
      <w:r>
        <w:rPr>
          <w:rFonts w:ascii="Arial Narrow" w:hAnsi="Arial Narrow"/>
          <w:lang w:val="es-419"/>
        </w:rPr>
        <w:t>Por ejemplo, l</w:t>
      </w:r>
      <w:r w:rsidRPr="00627C6B">
        <w:rPr>
          <w:rFonts w:ascii="Arial Narrow" w:hAnsi="Arial Narrow"/>
          <w:lang w:val="es-419"/>
        </w:rPr>
        <w:t xml:space="preserve">a experiencia reciente de racionamiento y </w:t>
      </w:r>
      <w:r>
        <w:rPr>
          <w:rFonts w:ascii="Arial Narrow" w:hAnsi="Arial Narrow"/>
          <w:lang w:val="es-419"/>
        </w:rPr>
        <w:t xml:space="preserve">de </w:t>
      </w:r>
      <w:r w:rsidRPr="00627C6B">
        <w:rPr>
          <w:rFonts w:ascii="Arial Narrow" w:hAnsi="Arial Narrow"/>
          <w:lang w:val="es-419"/>
        </w:rPr>
        <w:t xml:space="preserve">medidas formales de ahorro y uso eficiente del agua potable, en respuesta a la crisis asociada a la disminución de </w:t>
      </w:r>
      <w:r>
        <w:rPr>
          <w:rFonts w:ascii="Arial Narrow" w:hAnsi="Arial Narrow"/>
          <w:lang w:val="es-419"/>
        </w:rPr>
        <w:t xml:space="preserve">los </w:t>
      </w:r>
      <w:r w:rsidRPr="00627C6B">
        <w:rPr>
          <w:rFonts w:ascii="Arial Narrow" w:hAnsi="Arial Narrow"/>
          <w:lang w:val="es-419"/>
        </w:rPr>
        <w:t xml:space="preserve">niveles del Sistema Chingaza, </w:t>
      </w:r>
      <w:r>
        <w:rPr>
          <w:rFonts w:ascii="Arial Narrow" w:hAnsi="Arial Narrow"/>
          <w:lang w:val="es-419"/>
        </w:rPr>
        <w:t>evidencia</w:t>
      </w:r>
      <w:r w:rsidRPr="00627C6B">
        <w:rPr>
          <w:rFonts w:ascii="Arial Narrow" w:hAnsi="Arial Narrow"/>
          <w:lang w:val="es-419"/>
        </w:rPr>
        <w:t xml:space="preserve"> vulnerabilidades estructurales y la necesidad de articular medidas operativas de corto plazo con decisiones de mediano y largo plazo, </w:t>
      </w:r>
      <w:r>
        <w:rPr>
          <w:rFonts w:ascii="Arial Narrow" w:hAnsi="Arial Narrow"/>
          <w:lang w:val="es-419"/>
        </w:rPr>
        <w:t>así como con el monitoreo, el aprendizaje institucional y la</w:t>
      </w:r>
      <w:r w:rsidRPr="00627C6B">
        <w:rPr>
          <w:rFonts w:ascii="Arial Narrow" w:hAnsi="Arial Narrow"/>
          <w:lang w:val="es-419"/>
        </w:rPr>
        <w:t xml:space="preserve"> evaluación de impactos distributivos.</w:t>
      </w:r>
      <w:r>
        <w:rPr>
          <w:rFonts w:ascii="Arial Narrow" w:hAnsi="Arial Narrow"/>
          <w:lang w:val="es-419"/>
        </w:rPr>
        <w:t xml:space="preserve"> </w:t>
      </w:r>
      <w:r w:rsidRPr="00627C6B">
        <w:rPr>
          <w:rFonts w:ascii="Arial Narrow" w:hAnsi="Arial Narrow"/>
          <w:lang w:val="es-419"/>
        </w:rPr>
        <w:t>En coherencia con este contexto</w:t>
      </w:r>
      <w:r w:rsidR="00DD02B1" w:rsidRPr="00AC299B">
        <w:rPr>
          <w:rFonts w:ascii="Arial Narrow" w:hAnsi="Arial Narrow"/>
          <w:lang w:val="es-419"/>
        </w:rPr>
        <w:t>, en este documento presento una propuesta académica que integra tres apuestas que se refuerzan mutuamente:</w:t>
      </w:r>
    </w:p>
    <w:p w14:paraId="2CB596DB" w14:textId="4C929B46" w:rsidR="00DD02B1" w:rsidRPr="00AC299B" w:rsidRDefault="00DD02B1" w:rsidP="00B22F3D">
      <w:pPr>
        <w:pStyle w:val="ListParagraph"/>
        <w:numPr>
          <w:ilvl w:val="0"/>
          <w:numId w:val="1"/>
        </w:numPr>
        <w:spacing w:line="276" w:lineRule="auto"/>
        <w:jc w:val="both"/>
        <w:rPr>
          <w:rFonts w:ascii="Arial Narrow" w:hAnsi="Arial Narrow"/>
          <w:lang w:val="es-419"/>
        </w:rPr>
      </w:pPr>
      <w:r w:rsidRPr="00AC299B">
        <w:rPr>
          <w:rFonts w:ascii="Arial Narrow" w:hAnsi="Arial Narrow"/>
          <w:lang w:val="es-419"/>
        </w:rPr>
        <w:t xml:space="preserve">Modelación ecohidrológica y computacional (basada en procesos y </w:t>
      </w:r>
      <w:r w:rsidR="00627C6B">
        <w:rPr>
          <w:rFonts w:ascii="Arial Narrow" w:hAnsi="Arial Narrow"/>
          <w:lang w:val="es-419"/>
        </w:rPr>
        <w:t>datos) para mejorar la representación de variables críticas en ambientes tropicales andinos (p. ej., evapotranspiración real, humedad del suelo, sequía agrícola e hidrológica), con un énfasis explícito en la incertidumbre y el</w:t>
      </w:r>
      <w:r w:rsidRPr="00AC299B">
        <w:rPr>
          <w:rFonts w:ascii="Arial Narrow" w:hAnsi="Arial Narrow"/>
          <w:lang w:val="es-419"/>
        </w:rPr>
        <w:t xml:space="preserve"> escalamiento regional.</w:t>
      </w:r>
    </w:p>
    <w:p w14:paraId="54D0B1F6" w14:textId="77777777" w:rsidR="00DD02B1" w:rsidRPr="00AC299B" w:rsidRDefault="00DD02B1" w:rsidP="00B22F3D">
      <w:pPr>
        <w:pStyle w:val="ListParagraph"/>
        <w:numPr>
          <w:ilvl w:val="0"/>
          <w:numId w:val="1"/>
        </w:numPr>
        <w:spacing w:line="276" w:lineRule="auto"/>
        <w:jc w:val="both"/>
        <w:rPr>
          <w:rFonts w:ascii="Arial Narrow" w:hAnsi="Arial Narrow"/>
          <w:lang w:val="es-419"/>
        </w:rPr>
      </w:pPr>
      <w:r w:rsidRPr="00AC299B">
        <w:rPr>
          <w:rFonts w:ascii="Arial Narrow" w:hAnsi="Arial Narrow"/>
          <w:lang w:val="es-419"/>
        </w:rPr>
        <w:lastRenderedPageBreak/>
        <w:t xml:space="preserve">Acople con modelos de decisión humana (p. ej., modelos basados en agentes) para capturar retroalimentaciones bidireccionales y restricciones socioeconómicas, legales e institucionales que condicionan la ocupación del territorio y el aprovechamiento del agua superficial y subterránea. </w:t>
      </w:r>
    </w:p>
    <w:p w14:paraId="6B1F56A0" w14:textId="5E535648" w:rsidR="00DD02B1" w:rsidRPr="00AC299B" w:rsidRDefault="00DD02B1" w:rsidP="00B22F3D">
      <w:pPr>
        <w:pStyle w:val="ListParagraph"/>
        <w:numPr>
          <w:ilvl w:val="0"/>
          <w:numId w:val="1"/>
        </w:numPr>
        <w:spacing w:line="276" w:lineRule="auto"/>
        <w:jc w:val="both"/>
        <w:rPr>
          <w:rFonts w:ascii="Arial Narrow" w:hAnsi="Arial Narrow"/>
          <w:lang w:val="es-419"/>
        </w:rPr>
      </w:pPr>
      <w:r w:rsidRPr="00AC299B">
        <w:rPr>
          <w:rFonts w:ascii="Arial Narrow" w:hAnsi="Arial Narrow"/>
          <w:lang w:val="es-419"/>
        </w:rPr>
        <w:t xml:space="preserve">Optimización multiobjetivo multinivel para pasar del diagnóstico y la simulación a la selección estratégica de medidas: no solo evaluar escenarios, sino </w:t>
      </w:r>
      <w:r w:rsidR="00627C6B">
        <w:rPr>
          <w:rFonts w:ascii="Arial Narrow" w:hAnsi="Arial Narrow"/>
          <w:lang w:val="es-419"/>
        </w:rPr>
        <w:t xml:space="preserve">también </w:t>
      </w:r>
      <w:r w:rsidRPr="00AC299B">
        <w:rPr>
          <w:rFonts w:ascii="Arial Narrow" w:hAnsi="Arial Narrow"/>
          <w:lang w:val="es-419"/>
        </w:rPr>
        <w:t xml:space="preserve">identificar portafolios de acciones robustas y plausibles bajo jerarquías reales de </w:t>
      </w:r>
      <w:r w:rsidR="00627C6B">
        <w:rPr>
          <w:rFonts w:ascii="Arial Narrow" w:hAnsi="Arial Narrow"/>
          <w:lang w:val="es-419"/>
        </w:rPr>
        <w:t>toma de decisiones</w:t>
      </w:r>
      <w:r w:rsidRPr="00AC299B">
        <w:rPr>
          <w:rFonts w:ascii="Arial Narrow" w:hAnsi="Arial Narrow"/>
          <w:lang w:val="es-419"/>
        </w:rPr>
        <w:t xml:space="preserve"> </w:t>
      </w:r>
      <w:r w:rsidR="00627C6B">
        <w:rPr>
          <w:rFonts w:ascii="Arial Narrow" w:hAnsi="Arial Narrow"/>
          <w:lang w:val="es-419"/>
        </w:rPr>
        <w:t>(nación, región, municipio, usuarios)</w:t>
      </w:r>
      <w:r w:rsidRPr="00AC299B">
        <w:rPr>
          <w:rFonts w:ascii="Arial Narrow" w:hAnsi="Arial Narrow"/>
          <w:lang w:val="es-419"/>
        </w:rPr>
        <w:t>.</w:t>
      </w:r>
    </w:p>
    <w:p w14:paraId="58B7AE8F" w14:textId="26C1D29D" w:rsidR="00DD02B1" w:rsidRDefault="00DD02B1" w:rsidP="00B22F3D">
      <w:pPr>
        <w:spacing w:line="276" w:lineRule="auto"/>
        <w:jc w:val="both"/>
        <w:rPr>
          <w:rFonts w:ascii="Arial Narrow" w:hAnsi="Arial Narrow"/>
          <w:lang w:val="es-419"/>
        </w:rPr>
      </w:pPr>
      <w:r w:rsidRPr="00AC299B">
        <w:rPr>
          <w:rFonts w:ascii="Arial Narrow" w:hAnsi="Arial Narrow"/>
          <w:lang w:val="es-419"/>
        </w:rPr>
        <w:t>Esta integración (eco-hidrología + comportamiento + optimización) responde a una brecha práctica</w:t>
      </w:r>
      <w:r w:rsidR="00627C6B">
        <w:rPr>
          <w:rFonts w:ascii="Arial Narrow" w:hAnsi="Arial Narrow"/>
          <w:lang w:val="es-419"/>
        </w:rPr>
        <w:t>, ya que</w:t>
      </w:r>
      <w:r w:rsidRPr="00AC299B">
        <w:rPr>
          <w:rFonts w:ascii="Arial Narrow" w:hAnsi="Arial Narrow"/>
          <w:lang w:val="es-419"/>
        </w:rPr>
        <w:t xml:space="preserve"> en varias ecorregiones estratégicas </w:t>
      </w:r>
      <w:r w:rsidR="00627C6B">
        <w:rPr>
          <w:rFonts w:ascii="Arial Narrow" w:hAnsi="Arial Narrow"/>
          <w:lang w:val="es-419"/>
        </w:rPr>
        <w:t>de Colombia y América Latina no existen herramientas robustas a escala regional que integren explícitamente componentes ecohidrológicos, legales y socioeconómicos para apoyar decisiones en</w:t>
      </w:r>
      <w:r w:rsidRPr="00AC299B">
        <w:rPr>
          <w:rFonts w:ascii="Arial Narrow" w:hAnsi="Arial Narrow"/>
          <w:lang w:val="es-419"/>
        </w:rPr>
        <w:t xml:space="preserve"> escenarios </w:t>
      </w:r>
      <w:r w:rsidR="00AC299B" w:rsidRPr="00AC299B">
        <w:rPr>
          <w:rFonts w:ascii="Arial Narrow" w:hAnsi="Arial Narrow"/>
          <w:lang w:val="es-419"/>
        </w:rPr>
        <w:t>hidrológicos críticos</w:t>
      </w:r>
      <w:r w:rsidRPr="00AC299B">
        <w:rPr>
          <w:rFonts w:ascii="Arial Narrow" w:hAnsi="Arial Narrow"/>
          <w:lang w:val="es-419"/>
        </w:rPr>
        <w:t>. Al mismo tiempo, responde a una brecha científica</w:t>
      </w:r>
      <w:r w:rsidR="00627C6B">
        <w:rPr>
          <w:rFonts w:ascii="Arial Narrow" w:hAnsi="Arial Narrow"/>
          <w:lang w:val="es-419"/>
        </w:rPr>
        <w:t>, ya que</w:t>
      </w:r>
      <w:r w:rsidRPr="00AC299B">
        <w:rPr>
          <w:rFonts w:ascii="Arial Narrow" w:hAnsi="Arial Narrow"/>
          <w:lang w:val="es-419"/>
        </w:rPr>
        <w:t xml:space="preserve"> </w:t>
      </w:r>
      <w:r w:rsidR="00627C6B">
        <w:rPr>
          <w:rFonts w:ascii="Arial Narrow" w:hAnsi="Arial Narrow"/>
          <w:lang w:val="es-419"/>
        </w:rPr>
        <w:t>los estudios que incorporan jerarquías de decisión y barreras institucionales en marcos cuantitativos acoplados siguen siendo limitados</w:t>
      </w:r>
      <w:r w:rsidRPr="00AC299B">
        <w:rPr>
          <w:rFonts w:ascii="Arial Narrow" w:hAnsi="Arial Narrow"/>
          <w:lang w:val="es-419"/>
        </w:rPr>
        <w:t>, especialmente en contextos latinoamericanos.</w:t>
      </w:r>
    </w:p>
    <w:p w14:paraId="0CE97E15" w14:textId="15A6BC2F" w:rsidR="00627C6B" w:rsidRPr="00AC299B" w:rsidRDefault="00627C6B" w:rsidP="00627C6B">
      <w:pPr>
        <w:spacing w:line="276" w:lineRule="auto"/>
        <w:jc w:val="both"/>
        <w:rPr>
          <w:rFonts w:ascii="Arial Narrow" w:hAnsi="Arial Narrow"/>
          <w:lang w:val="es-419"/>
        </w:rPr>
      </w:pPr>
      <w:r w:rsidRPr="00627C6B">
        <w:rPr>
          <w:rFonts w:ascii="Arial Narrow" w:hAnsi="Arial Narrow"/>
          <w:lang w:val="es-419"/>
        </w:rPr>
        <w:t>Esta propuesta busca</w:t>
      </w:r>
      <w:r>
        <w:rPr>
          <w:rFonts w:ascii="Arial Narrow" w:hAnsi="Arial Narrow"/>
          <w:lang w:val="es-419"/>
        </w:rPr>
        <w:t xml:space="preserve"> </w:t>
      </w:r>
      <w:r w:rsidRPr="00627C6B">
        <w:rPr>
          <w:rFonts w:ascii="Arial Narrow" w:hAnsi="Arial Narrow"/>
          <w:lang w:val="es-419"/>
        </w:rPr>
        <w:t>alinearse explícitamente con instrumentos institucionales vigentes de la Universidad Nacional de Colombia: (i) el “Plan Global 2025</w:t>
      </w:r>
      <w:r w:rsidRPr="00627C6B">
        <w:rPr>
          <w:rFonts w:ascii="Cambria Math" w:hAnsi="Cambria Math" w:cs="Cambria Math"/>
          <w:lang w:val="es-419"/>
        </w:rPr>
        <w:t>‑</w:t>
      </w:r>
      <w:r w:rsidRPr="00627C6B">
        <w:rPr>
          <w:rFonts w:ascii="Arial Narrow" w:hAnsi="Arial Narrow"/>
          <w:lang w:val="es-419"/>
        </w:rPr>
        <w:t>2027</w:t>
      </w:r>
      <w:r w:rsidRPr="00627C6B">
        <w:rPr>
          <w:rFonts w:ascii="Arial Narrow" w:hAnsi="Arial Narrow" w:cs="Arial Narrow"/>
          <w:lang w:val="es-419"/>
        </w:rPr>
        <w:t>”</w:t>
      </w:r>
      <w:r w:rsidRPr="00627C6B">
        <w:rPr>
          <w:rFonts w:ascii="Arial Narrow" w:hAnsi="Arial Narrow"/>
          <w:lang w:val="es-419"/>
        </w:rPr>
        <w:t>, articulado con el PLEI 2034 y estructurado en desaf</w:t>
      </w:r>
      <w:r w:rsidRPr="00627C6B">
        <w:rPr>
          <w:rFonts w:ascii="Arial Narrow" w:hAnsi="Arial Narrow" w:cs="Arial Narrow"/>
          <w:lang w:val="es-419"/>
        </w:rPr>
        <w:t>í</w:t>
      </w:r>
      <w:r w:rsidRPr="00627C6B">
        <w:rPr>
          <w:rFonts w:ascii="Arial Narrow" w:hAnsi="Arial Narrow"/>
          <w:lang w:val="es-419"/>
        </w:rPr>
        <w:t>os, ejes y nodos, que enfatiza tres desaf</w:t>
      </w:r>
      <w:r w:rsidRPr="00627C6B">
        <w:rPr>
          <w:rFonts w:ascii="Arial Narrow" w:hAnsi="Arial Narrow" w:cs="Arial Narrow"/>
          <w:lang w:val="es-419"/>
        </w:rPr>
        <w:t>í</w:t>
      </w:r>
      <w:r w:rsidRPr="00627C6B">
        <w:rPr>
          <w:rFonts w:ascii="Arial Narrow" w:hAnsi="Arial Narrow"/>
          <w:lang w:val="es-419"/>
        </w:rPr>
        <w:t>os (comunidad universitaria, proyecci</w:t>
      </w:r>
      <w:r w:rsidRPr="00627C6B">
        <w:rPr>
          <w:rFonts w:ascii="Arial Narrow" w:hAnsi="Arial Narrow" w:cs="Arial Narrow"/>
          <w:lang w:val="es-419"/>
        </w:rPr>
        <w:t>ó</w:t>
      </w:r>
      <w:r w:rsidRPr="00627C6B">
        <w:rPr>
          <w:rFonts w:ascii="Arial Narrow" w:hAnsi="Arial Narrow"/>
          <w:lang w:val="es-419"/>
        </w:rPr>
        <w:t>n desde territorios y democratizaci</w:t>
      </w:r>
      <w:r w:rsidRPr="00627C6B">
        <w:rPr>
          <w:rFonts w:ascii="Arial Narrow" w:hAnsi="Arial Narrow" w:cs="Arial Narrow"/>
          <w:lang w:val="es-419"/>
        </w:rPr>
        <w:t>ó</w:t>
      </w:r>
      <w:r w:rsidRPr="00627C6B">
        <w:rPr>
          <w:rFonts w:ascii="Arial Narrow" w:hAnsi="Arial Narrow"/>
          <w:lang w:val="es-419"/>
        </w:rPr>
        <w:t>n institucional),  y (ii) el Plan de Acción de Sede Bogotá 2025-2027, que adopta el lema “Vida universitaria digna y una agenda científica para la transformación social”</w:t>
      </w:r>
      <w:r>
        <w:rPr>
          <w:rFonts w:ascii="Arial Narrow" w:hAnsi="Arial Narrow"/>
          <w:lang w:val="es-419"/>
        </w:rPr>
        <w:t xml:space="preserve">. </w:t>
      </w:r>
      <w:r w:rsidRPr="00627C6B">
        <w:rPr>
          <w:rFonts w:ascii="Arial Narrow" w:hAnsi="Arial Narrow"/>
          <w:lang w:val="es-419"/>
        </w:rPr>
        <w:t xml:space="preserve">A nivel de Facultad, </w:t>
      </w:r>
      <w:r>
        <w:rPr>
          <w:rFonts w:ascii="Arial Narrow" w:hAnsi="Arial Narrow"/>
          <w:lang w:val="es-419"/>
        </w:rPr>
        <w:t xml:space="preserve">la </w:t>
      </w:r>
      <w:r w:rsidRPr="00627C6B">
        <w:rPr>
          <w:rFonts w:ascii="Arial Narrow" w:hAnsi="Arial Narrow"/>
          <w:lang w:val="es-419"/>
        </w:rPr>
        <w:t xml:space="preserve">propuesta se armoniza con el propósito superior, </w:t>
      </w:r>
      <w:r>
        <w:rPr>
          <w:rFonts w:ascii="Arial Narrow" w:hAnsi="Arial Narrow"/>
          <w:lang w:val="es-419"/>
        </w:rPr>
        <w:t>la misión y la visión declaradas por la Facultad de Ingeniería, destacando explícitamente la aspiración a procesos de enseñanza</w:t>
      </w:r>
      <w:r>
        <w:rPr>
          <w:rFonts w:ascii="Cambria Math" w:hAnsi="Cambria Math" w:cs="Cambria Math"/>
          <w:lang w:val="es-419"/>
        </w:rPr>
        <w:t>‑</w:t>
      </w:r>
      <w:r>
        <w:rPr>
          <w:rFonts w:ascii="Arial Narrow" w:hAnsi="Arial Narrow"/>
          <w:lang w:val="es-419"/>
        </w:rPr>
        <w:t xml:space="preserve">aprendizaje </w:t>
      </w:r>
      <w:r>
        <w:rPr>
          <w:rFonts w:ascii="Arial Narrow" w:hAnsi="Arial Narrow" w:cs="Arial Narrow"/>
          <w:lang w:val="es-419"/>
        </w:rPr>
        <w:t>“</w:t>
      </w:r>
      <w:r>
        <w:rPr>
          <w:rFonts w:ascii="Arial Narrow" w:hAnsi="Arial Narrow"/>
          <w:lang w:val="es-419"/>
        </w:rPr>
        <w:t>colaborativos, innovadores, adaptativos, cr</w:t>
      </w:r>
      <w:r>
        <w:rPr>
          <w:rFonts w:ascii="Arial Narrow" w:hAnsi="Arial Narrow" w:cs="Arial Narrow"/>
          <w:lang w:val="es-419"/>
        </w:rPr>
        <w:t>í</w:t>
      </w:r>
      <w:r>
        <w:rPr>
          <w:rFonts w:ascii="Arial Narrow" w:hAnsi="Arial Narrow"/>
          <w:lang w:val="es-419"/>
        </w:rPr>
        <w:t>ticos y creativos</w:t>
      </w:r>
      <w:r>
        <w:rPr>
          <w:rFonts w:ascii="Arial Narrow" w:hAnsi="Arial Narrow" w:cs="Arial Narrow"/>
          <w:lang w:val="es-419"/>
        </w:rPr>
        <w:t>”</w:t>
      </w:r>
      <w:r>
        <w:rPr>
          <w:rFonts w:ascii="Arial Narrow" w:hAnsi="Arial Narrow"/>
          <w:lang w:val="es-419"/>
        </w:rPr>
        <w:t xml:space="preserve"> y la contribuci</w:t>
      </w:r>
      <w:r>
        <w:rPr>
          <w:rFonts w:ascii="Arial Narrow" w:hAnsi="Arial Narrow" w:cs="Arial Narrow"/>
          <w:lang w:val="es-419"/>
        </w:rPr>
        <w:t>ó</w:t>
      </w:r>
      <w:r>
        <w:rPr>
          <w:rFonts w:ascii="Arial Narrow" w:hAnsi="Arial Narrow"/>
          <w:lang w:val="es-419"/>
        </w:rPr>
        <w:t>n a pol</w:t>
      </w:r>
      <w:r>
        <w:rPr>
          <w:rFonts w:ascii="Arial Narrow" w:hAnsi="Arial Narrow" w:cs="Arial Narrow"/>
          <w:lang w:val="es-419"/>
        </w:rPr>
        <w:t>í</w:t>
      </w:r>
      <w:r>
        <w:rPr>
          <w:rFonts w:ascii="Arial Narrow" w:hAnsi="Arial Narrow"/>
          <w:lang w:val="es-419"/>
        </w:rPr>
        <w:t>ticas p</w:t>
      </w:r>
      <w:r>
        <w:rPr>
          <w:rFonts w:ascii="Arial Narrow" w:hAnsi="Arial Narrow" w:cs="Arial Narrow"/>
          <w:lang w:val="es-419"/>
        </w:rPr>
        <w:t>ú</w:t>
      </w:r>
      <w:r>
        <w:rPr>
          <w:rFonts w:ascii="Arial Narrow" w:hAnsi="Arial Narrow"/>
          <w:lang w:val="es-419"/>
        </w:rPr>
        <w:t>blicas para disminuir las</w:t>
      </w:r>
      <w:r w:rsidRPr="00627C6B">
        <w:rPr>
          <w:rFonts w:ascii="Arial Narrow" w:hAnsi="Arial Narrow"/>
          <w:lang w:val="es-419"/>
        </w:rPr>
        <w:t xml:space="preserve"> brechas sociales. A nivel de</w:t>
      </w:r>
      <w:r>
        <w:rPr>
          <w:rFonts w:ascii="Arial Narrow" w:hAnsi="Arial Narrow"/>
          <w:lang w:val="es-419"/>
        </w:rPr>
        <w:t>l</w:t>
      </w:r>
      <w:r w:rsidRPr="00627C6B">
        <w:rPr>
          <w:rFonts w:ascii="Arial Narrow" w:hAnsi="Arial Narrow"/>
          <w:lang w:val="es-419"/>
        </w:rPr>
        <w:t xml:space="preserve"> </w:t>
      </w:r>
      <w:r>
        <w:rPr>
          <w:rFonts w:ascii="Arial Narrow" w:hAnsi="Arial Narrow"/>
          <w:lang w:val="es-419"/>
        </w:rPr>
        <w:t>Departamento de Ingeniería Civil y Agrícola, la propuesta se alinea con su misión de promover “aprendizaje autónomo, apropiación, crítica racional e innovación” y con su énfasis en la formación e integración de docencia</w:t>
      </w:r>
      <w:r>
        <w:rPr>
          <w:rFonts w:ascii="Cambria Math" w:hAnsi="Cambria Math" w:cs="Cambria Math"/>
          <w:lang w:val="es-419"/>
        </w:rPr>
        <w:t>‑</w:t>
      </w:r>
      <w:r>
        <w:rPr>
          <w:rFonts w:ascii="Arial Narrow" w:hAnsi="Arial Narrow"/>
          <w:lang w:val="es-419"/>
        </w:rPr>
        <w:t>investigaci</w:t>
      </w:r>
      <w:r>
        <w:rPr>
          <w:rFonts w:ascii="Arial Narrow" w:hAnsi="Arial Narrow" w:cs="Arial Narrow"/>
          <w:lang w:val="es-419"/>
        </w:rPr>
        <w:t>ó</w:t>
      </w:r>
      <w:r>
        <w:rPr>
          <w:rFonts w:ascii="Arial Narrow" w:hAnsi="Arial Narrow"/>
          <w:lang w:val="es-419"/>
        </w:rPr>
        <w:t>n</w:t>
      </w:r>
      <w:r>
        <w:rPr>
          <w:rFonts w:ascii="Cambria Math" w:hAnsi="Cambria Math" w:cs="Cambria Math"/>
          <w:lang w:val="es-419"/>
        </w:rPr>
        <w:t>‑</w:t>
      </w:r>
      <w:r>
        <w:rPr>
          <w:rFonts w:ascii="Arial Narrow" w:hAnsi="Arial Narrow"/>
          <w:lang w:val="es-419"/>
        </w:rPr>
        <w:t>extensi</w:t>
      </w:r>
      <w:r>
        <w:rPr>
          <w:rFonts w:ascii="Arial Narrow" w:hAnsi="Arial Narrow" w:cs="Arial Narrow"/>
          <w:lang w:val="es-419"/>
        </w:rPr>
        <w:t>ó</w:t>
      </w:r>
      <w:r>
        <w:rPr>
          <w:rFonts w:ascii="Arial Narrow" w:hAnsi="Arial Narrow"/>
          <w:lang w:val="es-419"/>
        </w:rPr>
        <w:t xml:space="preserve">n para responder a las </w:t>
      </w:r>
      <w:r w:rsidRPr="00627C6B">
        <w:rPr>
          <w:rFonts w:ascii="Arial Narrow" w:hAnsi="Arial Narrow"/>
          <w:lang w:val="es-419"/>
        </w:rPr>
        <w:t>problem</w:t>
      </w:r>
      <w:r w:rsidRPr="00627C6B">
        <w:rPr>
          <w:rFonts w:ascii="Arial Narrow" w:hAnsi="Arial Narrow" w:cs="Arial Narrow"/>
          <w:lang w:val="es-419"/>
        </w:rPr>
        <w:t>á</w:t>
      </w:r>
      <w:r w:rsidRPr="00627C6B">
        <w:rPr>
          <w:rFonts w:ascii="Arial Narrow" w:hAnsi="Arial Narrow"/>
          <w:lang w:val="es-419"/>
        </w:rPr>
        <w:t xml:space="preserve">ticas del país. </w:t>
      </w:r>
    </w:p>
    <w:p w14:paraId="4CF5257C" w14:textId="4BF9752F" w:rsidR="00AC299B" w:rsidRPr="00AC299B" w:rsidRDefault="00AC299B" w:rsidP="00B22F3D">
      <w:pPr>
        <w:spacing w:line="276" w:lineRule="auto"/>
        <w:jc w:val="both"/>
        <w:rPr>
          <w:rFonts w:ascii="Arial Narrow" w:hAnsi="Arial Narrow"/>
          <w:b/>
          <w:bCs/>
          <w:lang w:val="es-419"/>
        </w:rPr>
      </w:pPr>
      <w:r w:rsidRPr="00AC299B">
        <w:rPr>
          <w:rFonts w:ascii="Arial Narrow" w:hAnsi="Arial Narrow"/>
          <w:b/>
          <w:bCs/>
          <w:lang w:val="es-419"/>
        </w:rPr>
        <w:t>Objetivos</w:t>
      </w:r>
    </w:p>
    <w:p w14:paraId="73ABE4D4" w14:textId="77777777" w:rsidR="00AC299B" w:rsidRPr="00AC299B" w:rsidRDefault="00AC299B" w:rsidP="00B22F3D">
      <w:pPr>
        <w:spacing w:line="276" w:lineRule="auto"/>
        <w:jc w:val="both"/>
        <w:rPr>
          <w:rFonts w:ascii="Arial Narrow" w:hAnsi="Arial Narrow"/>
          <w:b/>
          <w:bCs/>
          <w:lang w:val="es-419"/>
        </w:rPr>
      </w:pPr>
      <w:r w:rsidRPr="00AC299B">
        <w:rPr>
          <w:rFonts w:ascii="Arial Narrow" w:hAnsi="Arial Narrow"/>
          <w:b/>
          <w:bCs/>
          <w:lang w:val="es-419"/>
        </w:rPr>
        <w:t>Objetivo general</w:t>
      </w:r>
    </w:p>
    <w:p w14:paraId="739639E3" w14:textId="49B825FA" w:rsidR="00AC299B" w:rsidRPr="00AC299B" w:rsidRDefault="00AC299B" w:rsidP="00B22F3D">
      <w:pPr>
        <w:spacing w:line="276" w:lineRule="auto"/>
        <w:jc w:val="both"/>
        <w:rPr>
          <w:rFonts w:ascii="Arial Narrow" w:hAnsi="Arial Narrow"/>
          <w:lang w:val="es-419"/>
        </w:rPr>
      </w:pPr>
      <w:r w:rsidRPr="00AC299B">
        <w:rPr>
          <w:rFonts w:ascii="Arial Narrow" w:hAnsi="Arial Narrow"/>
          <w:lang w:val="es-419"/>
        </w:rPr>
        <w:t xml:space="preserve">Desarrollar y consolidar un programa académico (docencia-investigación-extensión) centrado en la gestión sostenible del agua mediante modelación integrada de sistemas humanos-naturales, inteligencia artificial, </w:t>
      </w:r>
      <w:r w:rsidR="00A0523B">
        <w:rPr>
          <w:rFonts w:ascii="Arial Narrow" w:hAnsi="Arial Narrow"/>
          <w:lang w:val="es-419"/>
        </w:rPr>
        <w:t>SIG y sensores remotos y</w:t>
      </w:r>
      <w:r w:rsidRPr="00AC299B">
        <w:rPr>
          <w:rFonts w:ascii="Arial Narrow" w:hAnsi="Arial Narrow"/>
          <w:lang w:val="es-419"/>
        </w:rPr>
        <w:t xml:space="preserve"> optimización multiobjetivo multinivel,</w:t>
      </w:r>
      <w:r w:rsidR="00A0523B">
        <w:rPr>
          <w:rFonts w:ascii="Arial Narrow" w:hAnsi="Arial Narrow"/>
          <w:lang w:val="es-419"/>
        </w:rPr>
        <w:t xml:space="preserve"> </w:t>
      </w:r>
      <w:r w:rsidR="00A0523B" w:rsidRPr="00A0523B">
        <w:rPr>
          <w:rFonts w:ascii="Arial Narrow" w:hAnsi="Arial Narrow"/>
          <w:lang w:val="es-419"/>
        </w:rPr>
        <w:t>incorporando de manera explícita la planificación adaptativa bajo incertidumbre profunda</w:t>
      </w:r>
      <w:r w:rsidR="00A0523B">
        <w:rPr>
          <w:rFonts w:ascii="Arial Narrow" w:hAnsi="Arial Narrow"/>
          <w:lang w:val="es-419"/>
        </w:rPr>
        <w:t>.</w:t>
      </w:r>
      <w:r w:rsidRPr="00AC299B">
        <w:rPr>
          <w:rFonts w:ascii="Arial Narrow" w:hAnsi="Arial Narrow"/>
          <w:lang w:val="es-419"/>
        </w:rPr>
        <w:t xml:space="preserve"> </w:t>
      </w:r>
      <w:r w:rsidR="00A0523B">
        <w:rPr>
          <w:rFonts w:ascii="Arial Narrow" w:hAnsi="Arial Narrow"/>
          <w:lang w:val="es-419"/>
        </w:rPr>
        <w:t xml:space="preserve">La </w:t>
      </w:r>
      <w:r w:rsidRPr="00AC299B">
        <w:rPr>
          <w:rFonts w:ascii="Arial Narrow" w:hAnsi="Arial Narrow"/>
          <w:lang w:val="es-419"/>
        </w:rPr>
        <w:t xml:space="preserve">aplicación inicial </w:t>
      </w:r>
      <w:r w:rsidR="00A0523B">
        <w:rPr>
          <w:rFonts w:ascii="Arial Narrow" w:hAnsi="Arial Narrow"/>
          <w:lang w:val="es-419"/>
        </w:rPr>
        <w:t xml:space="preserve">comprende </w:t>
      </w:r>
      <w:r w:rsidRPr="00AC299B">
        <w:rPr>
          <w:rFonts w:ascii="Arial Narrow" w:hAnsi="Arial Narrow"/>
          <w:lang w:val="es-419"/>
        </w:rPr>
        <w:t>ecorregiones estratégicas de Colombia (particularmente la Sabana de Bogotá), para aportar a la toma de decisiones en un contexto de variabilidad y cambio climático.</w:t>
      </w:r>
    </w:p>
    <w:p w14:paraId="2211F287" w14:textId="77777777" w:rsidR="00AC299B" w:rsidRPr="00AC299B" w:rsidRDefault="00AC299B" w:rsidP="00B22F3D">
      <w:pPr>
        <w:spacing w:line="276" w:lineRule="auto"/>
        <w:jc w:val="both"/>
        <w:rPr>
          <w:rFonts w:ascii="Arial Narrow" w:hAnsi="Arial Narrow"/>
          <w:b/>
          <w:bCs/>
          <w:lang w:val="es-419"/>
        </w:rPr>
      </w:pPr>
      <w:r w:rsidRPr="00AC299B">
        <w:rPr>
          <w:rFonts w:ascii="Arial Narrow" w:hAnsi="Arial Narrow"/>
          <w:b/>
          <w:bCs/>
          <w:lang w:val="es-419"/>
        </w:rPr>
        <w:t>Objetivos específicos</w:t>
      </w:r>
    </w:p>
    <w:p w14:paraId="6A59B363" w14:textId="5F72BA34" w:rsidR="00AC299B" w:rsidRPr="00AC299B" w:rsidRDefault="00AC299B" w:rsidP="00B22F3D">
      <w:pPr>
        <w:pStyle w:val="ListParagraph"/>
        <w:numPr>
          <w:ilvl w:val="0"/>
          <w:numId w:val="2"/>
        </w:numPr>
        <w:spacing w:line="276" w:lineRule="auto"/>
        <w:jc w:val="both"/>
        <w:rPr>
          <w:rFonts w:ascii="Arial Narrow" w:hAnsi="Arial Narrow"/>
          <w:lang w:val="es-419"/>
        </w:rPr>
      </w:pPr>
      <w:r w:rsidRPr="00AC299B">
        <w:rPr>
          <w:rFonts w:ascii="Arial Narrow" w:hAnsi="Arial Narrow"/>
          <w:lang w:val="es-419"/>
        </w:rPr>
        <w:t>Consolidar un núcleo de docencia que forme competencias en modelación hidrológica e hidrosistemas, ecohidrología,</w:t>
      </w:r>
      <w:r w:rsidR="00A0523B">
        <w:rPr>
          <w:rFonts w:ascii="Arial Narrow" w:hAnsi="Arial Narrow"/>
          <w:lang w:val="es-419"/>
        </w:rPr>
        <w:t xml:space="preserve"> gestión del agua bajo incertidumbre profunda,</w:t>
      </w:r>
      <w:r w:rsidRPr="00AC299B">
        <w:rPr>
          <w:rFonts w:ascii="Arial Narrow" w:hAnsi="Arial Narrow"/>
          <w:lang w:val="es-419"/>
        </w:rPr>
        <w:t xml:space="preserve"> SIG/sensores remotos e integración interdisciplinar, articulado con casos reales y con el programa de investigación. </w:t>
      </w:r>
    </w:p>
    <w:p w14:paraId="38D50AA8" w14:textId="79B30C33" w:rsidR="00AC299B" w:rsidRPr="00AC299B" w:rsidRDefault="00AC299B" w:rsidP="00B22F3D">
      <w:pPr>
        <w:pStyle w:val="ListParagraph"/>
        <w:numPr>
          <w:ilvl w:val="0"/>
          <w:numId w:val="2"/>
        </w:numPr>
        <w:spacing w:line="276" w:lineRule="auto"/>
        <w:jc w:val="both"/>
        <w:rPr>
          <w:rFonts w:ascii="Arial Narrow" w:hAnsi="Arial Narrow"/>
          <w:lang w:val="es-419"/>
        </w:rPr>
      </w:pPr>
      <w:r w:rsidRPr="00AC299B">
        <w:rPr>
          <w:rFonts w:ascii="Arial Narrow" w:hAnsi="Arial Narrow"/>
          <w:lang w:val="es-419"/>
        </w:rPr>
        <w:t xml:space="preserve">Construir una agenda de investigación con cuatro ejes: (i) modelación de recursos hídricos y sistemas humanos; (ii) inteligencia artificial para simulación y optimización; (iii) </w:t>
      </w:r>
      <w:r w:rsidR="00A0523B" w:rsidRPr="00A0523B">
        <w:rPr>
          <w:rFonts w:ascii="Arial Narrow" w:hAnsi="Arial Narrow"/>
          <w:lang w:val="es-419"/>
        </w:rPr>
        <w:t xml:space="preserve">integración de datos (sensores </w:t>
      </w:r>
      <w:r w:rsidR="00A0523B" w:rsidRPr="00A0523B">
        <w:rPr>
          <w:rFonts w:ascii="Arial Narrow" w:hAnsi="Arial Narrow"/>
          <w:lang w:val="es-419"/>
        </w:rPr>
        <w:lastRenderedPageBreak/>
        <w:t>remotos y redes de observación) y métodos de aprendizaje híbrido interpretables</w:t>
      </w:r>
      <w:r w:rsidRPr="00AC299B">
        <w:rPr>
          <w:rFonts w:ascii="Arial Narrow" w:hAnsi="Arial Narrow"/>
          <w:lang w:val="es-419"/>
        </w:rPr>
        <w:t xml:space="preserve">; (iv) </w:t>
      </w:r>
      <w:r w:rsidR="00A0523B" w:rsidRPr="00A0523B">
        <w:rPr>
          <w:rFonts w:ascii="Arial Narrow" w:hAnsi="Arial Narrow"/>
          <w:lang w:val="es-419"/>
        </w:rPr>
        <w:t xml:space="preserve">integración con economía, </w:t>
      </w:r>
      <w:r w:rsidR="00A0523B">
        <w:rPr>
          <w:rFonts w:ascii="Arial Narrow" w:hAnsi="Arial Narrow"/>
          <w:lang w:val="es-419"/>
        </w:rPr>
        <w:t xml:space="preserve">ciencias sociales, </w:t>
      </w:r>
      <w:r w:rsidR="00A0523B" w:rsidRPr="00A0523B">
        <w:rPr>
          <w:rFonts w:ascii="Arial Narrow" w:hAnsi="Arial Narrow"/>
          <w:lang w:val="es-419"/>
        </w:rPr>
        <w:t>política pública y justicia ambiental para definir portafolios robustos y trayectorias adaptativas</w:t>
      </w:r>
      <w:r w:rsidRPr="00AC299B">
        <w:rPr>
          <w:rFonts w:ascii="Arial Narrow" w:hAnsi="Arial Narrow"/>
          <w:lang w:val="es-419"/>
        </w:rPr>
        <w:t xml:space="preserve">. </w:t>
      </w:r>
    </w:p>
    <w:p w14:paraId="11561050" w14:textId="31F37B4C" w:rsidR="00AC299B" w:rsidRPr="00AC299B" w:rsidRDefault="00AC299B" w:rsidP="00B22F3D">
      <w:pPr>
        <w:pStyle w:val="ListParagraph"/>
        <w:numPr>
          <w:ilvl w:val="0"/>
          <w:numId w:val="2"/>
        </w:numPr>
        <w:spacing w:line="276" w:lineRule="auto"/>
        <w:jc w:val="both"/>
        <w:rPr>
          <w:rFonts w:ascii="Arial Narrow" w:hAnsi="Arial Narrow"/>
          <w:lang w:val="es-419"/>
        </w:rPr>
      </w:pPr>
      <w:r w:rsidRPr="00AC299B">
        <w:rPr>
          <w:rFonts w:ascii="Arial Narrow" w:hAnsi="Arial Narrow"/>
          <w:lang w:val="es-419"/>
        </w:rPr>
        <w:t>Desarrollar un proyecto insignia: una herramienta geoespacial regional para análisis, predicción y optimización de la gestión del agua en la Sabana de Bogotá que incorpore componentes ecohidrológicos, socioeconómicos</w:t>
      </w:r>
      <w:r w:rsidR="00A0523B">
        <w:rPr>
          <w:rFonts w:ascii="Arial Narrow" w:hAnsi="Arial Narrow"/>
          <w:lang w:val="es-419"/>
        </w:rPr>
        <w:t xml:space="preserve">, </w:t>
      </w:r>
      <w:r w:rsidRPr="00AC299B">
        <w:rPr>
          <w:rFonts w:ascii="Arial Narrow" w:hAnsi="Arial Narrow"/>
          <w:lang w:val="es-419"/>
        </w:rPr>
        <w:t>legales</w:t>
      </w:r>
      <w:r w:rsidR="00A0523B">
        <w:rPr>
          <w:rFonts w:ascii="Arial Narrow" w:hAnsi="Arial Narrow"/>
          <w:lang w:val="es-419"/>
        </w:rPr>
        <w:t xml:space="preserve"> y de incertidumbre profunda</w:t>
      </w:r>
      <w:r w:rsidRPr="00AC299B">
        <w:rPr>
          <w:rFonts w:ascii="Arial Narrow" w:hAnsi="Arial Narrow"/>
          <w:lang w:val="es-419"/>
        </w:rPr>
        <w:t xml:space="preserve">. </w:t>
      </w:r>
    </w:p>
    <w:p w14:paraId="19B095D8" w14:textId="4AB68490" w:rsidR="00DD02B1" w:rsidRPr="00AC299B" w:rsidRDefault="00AC299B" w:rsidP="00B22F3D">
      <w:pPr>
        <w:pStyle w:val="ListParagraph"/>
        <w:numPr>
          <w:ilvl w:val="0"/>
          <w:numId w:val="2"/>
        </w:numPr>
        <w:spacing w:line="276" w:lineRule="auto"/>
        <w:jc w:val="both"/>
        <w:rPr>
          <w:rFonts w:ascii="Arial Narrow" w:hAnsi="Arial Narrow"/>
          <w:lang w:val="es-419"/>
        </w:rPr>
      </w:pPr>
      <w:r w:rsidRPr="00AC299B">
        <w:rPr>
          <w:rFonts w:ascii="Arial Narrow" w:hAnsi="Arial Narrow"/>
          <w:lang w:val="es-419"/>
        </w:rPr>
        <w:t>Producir resultados verificables: base de datos regional consolidada, prototipos computacionales reproducibles, tableros/aplicaciones SIG, artículos Q1/Q2, formación de estudiantes (pregrado-maestría-doctorado) y propuestas con financiación externa en colaboración con actores nacionales e internacionales.</w:t>
      </w:r>
    </w:p>
    <w:p w14:paraId="5BBB431F" w14:textId="6104172C" w:rsidR="00AC299B" w:rsidRDefault="00AC299B" w:rsidP="00B22F3D">
      <w:pPr>
        <w:spacing w:line="276" w:lineRule="auto"/>
        <w:jc w:val="both"/>
        <w:rPr>
          <w:rFonts w:ascii="Arial Narrow" w:hAnsi="Arial Narrow"/>
          <w:b/>
          <w:bCs/>
          <w:lang w:val="es-419"/>
        </w:rPr>
      </w:pPr>
      <w:r w:rsidRPr="00AC299B">
        <w:rPr>
          <w:rFonts w:ascii="Arial Narrow" w:hAnsi="Arial Narrow"/>
          <w:b/>
          <w:bCs/>
          <w:lang w:val="es-419"/>
        </w:rPr>
        <w:t>Propuesta en el componente de docencia</w:t>
      </w:r>
    </w:p>
    <w:p w14:paraId="6C5CB2E6" w14:textId="77777777" w:rsidR="00A0523B" w:rsidRPr="00A0523B" w:rsidRDefault="00A0523B" w:rsidP="00A0523B">
      <w:pPr>
        <w:spacing w:line="276" w:lineRule="auto"/>
        <w:jc w:val="both"/>
        <w:rPr>
          <w:rFonts w:ascii="Arial Narrow" w:hAnsi="Arial Narrow"/>
          <w:lang w:val="es-419"/>
        </w:rPr>
      </w:pPr>
      <w:r w:rsidRPr="00A0523B">
        <w:rPr>
          <w:rFonts w:ascii="Arial Narrow" w:hAnsi="Arial Narrow"/>
          <w:lang w:val="es-419"/>
        </w:rPr>
        <w:t>Concibo la docencia como el motor de atracción del programa de investigación y como un espacio privilegiado para formar capacidades que el país requiere con urgencia: pensamiento sistémico, rigor cuantitativo, lectura crítica de incertidumbre y habilidad de diseñar estrategias robustas y adaptativas. Este enfoque armoniza con la visión de la Facultad de Ingeniería de fortalecer procesos de enseñanza</w:t>
      </w:r>
      <w:r w:rsidRPr="00A0523B">
        <w:rPr>
          <w:rFonts w:ascii="Arial Narrow" w:hAnsi="Arial Narrow"/>
          <w:lang w:val="es-419"/>
        </w:rPr>
        <w:noBreakHyphen/>
        <w:t>aprendizaje “colaborativos, innovadores, adaptativos, críticos y creativos” y con el énfasis del Departamento en aprendizaje autónomo, crítica racional e innovación. </w:t>
      </w:r>
    </w:p>
    <w:p w14:paraId="465F6E42" w14:textId="77777777" w:rsidR="00A0523B" w:rsidRDefault="00A0523B" w:rsidP="00A0523B">
      <w:pPr>
        <w:spacing w:line="276" w:lineRule="auto"/>
        <w:jc w:val="both"/>
        <w:rPr>
          <w:rFonts w:ascii="Arial Narrow" w:hAnsi="Arial Narrow"/>
          <w:lang w:val="es-419"/>
        </w:rPr>
      </w:pPr>
      <w:r w:rsidRPr="00A0523B">
        <w:rPr>
          <w:rFonts w:ascii="Arial Narrow" w:hAnsi="Arial Narrow"/>
          <w:lang w:val="es-419"/>
        </w:rPr>
        <w:t xml:space="preserve">En el nivel de pregrado, propongo fortalecer asignaturas existentes y crear espacios electivos integradores centrados en problemas. En el nivel de posgrado, propongo un núcleo de formación que conecte </w:t>
      </w:r>
      <w:r>
        <w:rPr>
          <w:rFonts w:ascii="Arial Narrow" w:hAnsi="Arial Narrow"/>
          <w:lang w:val="es-419"/>
        </w:rPr>
        <w:t>la modelación ecohidrológica, los sistemas CHNS y DMDU, de manera que el estudiante aprenda no solo a simular, sino también</w:t>
      </w:r>
      <w:r w:rsidRPr="00A0523B">
        <w:rPr>
          <w:rFonts w:ascii="Arial Narrow" w:hAnsi="Arial Narrow"/>
          <w:lang w:val="es-419"/>
        </w:rPr>
        <w:t xml:space="preserve"> a diseñar decisiones robustas y planes adaptativos con disparadores verificables. </w:t>
      </w:r>
    </w:p>
    <w:p w14:paraId="54223C66" w14:textId="2E71D797" w:rsidR="00A0523B" w:rsidRPr="00A0523B" w:rsidRDefault="00A0523B" w:rsidP="00A0523B">
      <w:pPr>
        <w:spacing w:line="276" w:lineRule="auto"/>
        <w:jc w:val="both"/>
        <w:rPr>
          <w:rFonts w:ascii="Arial Narrow" w:hAnsi="Arial Narrow"/>
          <w:lang w:val="es-419"/>
        </w:rPr>
      </w:pPr>
      <w:r w:rsidRPr="00A0523B">
        <w:rPr>
          <w:rFonts w:ascii="Arial Narrow" w:hAnsi="Arial Narrow"/>
          <w:lang w:val="es-419"/>
        </w:rPr>
        <w:t xml:space="preserve">Sin convertir este documento en un plan de estudios exhaustivo, enuncio un conjunto </w:t>
      </w:r>
      <w:r>
        <w:rPr>
          <w:rFonts w:ascii="Arial Narrow" w:hAnsi="Arial Narrow"/>
          <w:lang w:val="es-419"/>
        </w:rPr>
        <w:t>posible</w:t>
      </w:r>
      <w:r w:rsidRPr="00A0523B">
        <w:rPr>
          <w:rFonts w:ascii="Arial Narrow" w:hAnsi="Arial Narrow"/>
          <w:lang w:val="es-419"/>
        </w:rPr>
        <w:t xml:space="preserve"> de cursos</w:t>
      </w:r>
      <w:r>
        <w:rPr>
          <w:rFonts w:ascii="Arial Narrow" w:hAnsi="Arial Narrow"/>
          <w:lang w:val="es-419"/>
        </w:rPr>
        <w:t xml:space="preserve"> y temáticas</w:t>
      </w:r>
      <w:r w:rsidRPr="00A0523B">
        <w:rPr>
          <w:rFonts w:ascii="Arial Narrow" w:hAnsi="Arial Narrow"/>
          <w:lang w:val="es-419"/>
        </w:rPr>
        <w:t xml:space="preserve"> (a ofrecer de forma rotativa y articulada con semilleros y proyectos):</w:t>
      </w:r>
    </w:p>
    <w:p w14:paraId="3D2D1B82" w14:textId="77777777" w:rsidR="00A0523B" w:rsidRPr="00A0523B" w:rsidRDefault="00A0523B" w:rsidP="00A0523B">
      <w:pPr>
        <w:numPr>
          <w:ilvl w:val="0"/>
          <w:numId w:val="5"/>
        </w:numPr>
        <w:tabs>
          <w:tab w:val="num" w:pos="720"/>
        </w:tabs>
        <w:spacing w:line="276" w:lineRule="auto"/>
        <w:jc w:val="both"/>
        <w:rPr>
          <w:rFonts w:ascii="Arial Narrow" w:hAnsi="Arial Narrow"/>
          <w:lang w:val="es-419"/>
        </w:rPr>
      </w:pPr>
      <w:r w:rsidRPr="00A0523B">
        <w:rPr>
          <w:rFonts w:ascii="Arial Narrow" w:hAnsi="Arial Narrow"/>
          <w:lang w:val="es-419"/>
        </w:rPr>
        <w:t>Sistemas humanos</w:t>
      </w:r>
      <w:r w:rsidRPr="00A0523B">
        <w:rPr>
          <w:rFonts w:ascii="Arial Narrow" w:hAnsi="Arial Narrow"/>
          <w:lang w:val="es-419"/>
        </w:rPr>
        <w:noBreakHyphen/>
        <w:t>naturales acoplados y sociohidrología, integrando evidencia de coevolución y retroalimentaciones. </w:t>
      </w:r>
    </w:p>
    <w:p w14:paraId="068514DC" w14:textId="0504C1F3" w:rsidR="00A0523B" w:rsidRPr="00A0523B" w:rsidRDefault="00A0523B" w:rsidP="00A0523B">
      <w:pPr>
        <w:numPr>
          <w:ilvl w:val="0"/>
          <w:numId w:val="5"/>
        </w:numPr>
        <w:tabs>
          <w:tab w:val="num" w:pos="720"/>
        </w:tabs>
        <w:spacing w:line="276" w:lineRule="auto"/>
        <w:jc w:val="both"/>
        <w:rPr>
          <w:rFonts w:ascii="Arial Narrow" w:hAnsi="Arial Narrow"/>
          <w:lang w:val="es-419"/>
        </w:rPr>
      </w:pPr>
      <w:r w:rsidRPr="00A0523B">
        <w:rPr>
          <w:rFonts w:ascii="Arial Narrow" w:hAnsi="Arial Narrow"/>
          <w:lang w:val="es-419"/>
        </w:rPr>
        <w:t xml:space="preserve">Toma de decisiones bajo incertidumbre profunda (DMDU): fundamentos, robustez, identificación de vulnerabilidades, y diseño de rutas adaptativas con disparadores (DAPP) y </w:t>
      </w:r>
      <w:r w:rsidRPr="00EF0824">
        <w:rPr>
          <w:rFonts w:ascii="Arial Narrow" w:hAnsi="Arial Narrow"/>
          <w:lang w:val="es-419"/>
        </w:rPr>
        <w:t>stress testing</w:t>
      </w:r>
      <w:r w:rsidRPr="00A0523B">
        <w:rPr>
          <w:rFonts w:ascii="Arial Narrow" w:hAnsi="Arial Narrow"/>
          <w:lang w:val="es-419"/>
        </w:rPr>
        <w:t xml:space="preserve"> (RDM). </w:t>
      </w:r>
    </w:p>
    <w:p w14:paraId="3A7DEC1A" w14:textId="666B84BF" w:rsidR="00A0523B" w:rsidRPr="00A0523B" w:rsidRDefault="00A0523B" w:rsidP="00A0523B">
      <w:pPr>
        <w:numPr>
          <w:ilvl w:val="0"/>
          <w:numId w:val="5"/>
        </w:numPr>
        <w:tabs>
          <w:tab w:val="num" w:pos="720"/>
        </w:tabs>
        <w:spacing w:line="276" w:lineRule="auto"/>
        <w:jc w:val="both"/>
        <w:rPr>
          <w:rFonts w:ascii="Arial Narrow" w:hAnsi="Arial Narrow"/>
          <w:lang w:val="es-419"/>
        </w:rPr>
      </w:pPr>
      <w:r w:rsidRPr="00A0523B">
        <w:rPr>
          <w:rFonts w:ascii="Arial Narrow" w:hAnsi="Arial Narrow"/>
          <w:lang w:val="es-419"/>
        </w:rPr>
        <w:t xml:space="preserve">Modelación híbrida (física + datos) y métodos interpretables, introduciendo </w:t>
      </w:r>
      <w:r w:rsidRPr="00EF0824">
        <w:rPr>
          <w:rFonts w:ascii="Arial Narrow" w:hAnsi="Arial Narrow"/>
          <w:lang w:val="es-419"/>
        </w:rPr>
        <w:t>la modelación diferenciable para conectar el conocimiento físico con el</w:t>
      </w:r>
      <w:r w:rsidRPr="00A0523B">
        <w:rPr>
          <w:rFonts w:ascii="Arial Narrow" w:hAnsi="Arial Narrow"/>
          <w:lang w:val="es-419"/>
        </w:rPr>
        <w:t xml:space="preserve"> aprendizaje automático en </w:t>
      </w:r>
      <w:r w:rsidRPr="00EF0824">
        <w:rPr>
          <w:rFonts w:ascii="Arial Narrow" w:hAnsi="Arial Narrow"/>
          <w:lang w:val="es-419"/>
        </w:rPr>
        <w:t>hidrología</w:t>
      </w:r>
      <w:r w:rsidRPr="00A0523B">
        <w:rPr>
          <w:rFonts w:ascii="Arial Narrow" w:hAnsi="Arial Narrow"/>
          <w:lang w:val="es-419"/>
        </w:rPr>
        <w:t>. </w:t>
      </w:r>
    </w:p>
    <w:p w14:paraId="6CBD4A54" w14:textId="77777777" w:rsidR="00A0523B" w:rsidRDefault="00A0523B" w:rsidP="00B22F3D">
      <w:pPr>
        <w:spacing w:line="276" w:lineRule="auto"/>
        <w:jc w:val="both"/>
        <w:rPr>
          <w:rFonts w:ascii="Arial Narrow" w:hAnsi="Arial Narrow"/>
          <w:lang w:val="es-419"/>
        </w:rPr>
      </w:pPr>
      <w:r w:rsidRPr="00A0523B">
        <w:rPr>
          <w:rFonts w:ascii="Arial Narrow" w:hAnsi="Arial Narrow"/>
          <w:lang w:val="es-419"/>
        </w:rPr>
        <w:t>Como criterio pedagógico, priorizaré una docencia centrada en proyectos</w:t>
      </w:r>
      <w:r>
        <w:rPr>
          <w:rFonts w:ascii="Arial Narrow" w:hAnsi="Arial Narrow"/>
          <w:lang w:val="es-419"/>
        </w:rPr>
        <w:t xml:space="preserve"> </w:t>
      </w:r>
      <w:r w:rsidRPr="00A0523B">
        <w:rPr>
          <w:rFonts w:ascii="Arial Narrow" w:hAnsi="Arial Narrow"/>
          <w:lang w:val="es-419"/>
        </w:rPr>
        <w:t>para que el aprendizaje sea acumulativo y transferible</w:t>
      </w:r>
      <w:r>
        <w:rPr>
          <w:rFonts w:ascii="Arial Narrow" w:hAnsi="Arial Narrow"/>
          <w:lang w:val="es-419"/>
        </w:rPr>
        <w:t>.</w:t>
      </w:r>
    </w:p>
    <w:p w14:paraId="5E11D620" w14:textId="1DA6032C" w:rsidR="00AC299B" w:rsidRPr="00AC299B" w:rsidRDefault="00AC299B" w:rsidP="00B22F3D">
      <w:pPr>
        <w:spacing w:line="276" w:lineRule="auto"/>
        <w:jc w:val="both"/>
        <w:rPr>
          <w:rFonts w:ascii="Arial Narrow" w:hAnsi="Arial Narrow"/>
          <w:b/>
          <w:bCs/>
          <w:lang w:val="es-419"/>
        </w:rPr>
      </w:pPr>
      <w:r w:rsidRPr="00AC299B">
        <w:rPr>
          <w:rFonts w:ascii="Arial Narrow" w:hAnsi="Arial Narrow"/>
          <w:b/>
          <w:bCs/>
          <w:lang w:val="es-419"/>
        </w:rPr>
        <w:t>Propuesta en el componente de investigación</w:t>
      </w:r>
    </w:p>
    <w:p w14:paraId="6605B297" w14:textId="6438ABEE" w:rsidR="00AC299B" w:rsidRPr="00AC299B" w:rsidRDefault="00AC299B" w:rsidP="00B22F3D">
      <w:pPr>
        <w:spacing w:line="276" w:lineRule="auto"/>
        <w:jc w:val="both"/>
        <w:rPr>
          <w:rFonts w:ascii="Arial Narrow" w:hAnsi="Arial Narrow"/>
          <w:lang w:val="es-419"/>
        </w:rPr>
      </w:pPr>
      <w:r w:rsidRPr="00AC299B">
        <w:rPr>
          <w:rFonts w:ascii="Arial Narrow" w:hAnsi="Arial Narrow"/>
          <w:lang w:val="es-419"/>
        </w:rPr>
        <w:t xml:space="preserve">El objetivo general del programa de investigación que se desarrollará </w:t>
      </w:r>
      <w:r>
        <w:rPr>
          <w:rFonts w:ascii="Arial Narrow" w:hAnsi="Arial Narrow"/>
          <w:lang w:val="es-419"/>
        </w:rPr>
        <w:t>en el primer trienio</w:t>
      </w:r>
      <w:r w:rsidRPr="00AC299B">
        <w:rPr>
          <w:rFonts w:ascii="Arial Narrow" w:hAnsi="Arial Narrow"/>
          <w:lang w:val="es-419"/>
        </w:rPr>
        <w:t xml:space="preserve"> es sentar las bases para construir un marco de modelación integrada </w:t>
      </w:r>
      <w:r w:rsidR="00EF0824">
        <w:rPr>
          <w:rFonts w:ascii="Arial Narrow" w:hAnsi="Arial Narrow"/>
          <w:lang w:val="es-419"/>
        </w:rPr>
        <w:t>a escala regional que permita entender y simular la interacción entre el ciclo hidrológico y la gestión sostenible del agua en Latinoamérica,</w:t>
      </w:r>
      <w:r w:rsidRPr="00AC299B">
        <w:rPr>
          <w:rFonts w:ascii="Arial Narrow" w:hAnsi="Arial Narrow"/>
          <w:lang w:val="es-419"/>
        </w:rPr>
        <w:t xml:space="preserve"> incorporando </w:t>
      </w:r>
      <w:r w:rsidRPr="00AC299B">
        <w:rPr>
          <w:rFonts w:ascii="Arial Narrow" w:hAnsi="Arial Narrow"/>
          <w:lang w:val="es-419"/>
        </w:rPr>
        <w:lastRenderedPageBreak/>
        <w:t xml:space="preserve">componentes de tipo legal, económico, social, ecológico y de justicia ambiental. En este trienio, el enfoque inicial serán </w:t>
      </w:r>
      <w:r w:rsidR="00EF0824">
        <w:rPr>
          <w:rFonts w:ascii="Arial Narrow" w:hAnsi="Arial Narrow"/>
          <w:lang w:val="es-419"/>
        </w:rPr>
        <w:t xml:space="preserve">las </w:t>
      </w:r>
      <w:r w:rsidRPr="00AC299B">
        <w:rPr>
          <w:rFonts w:ascii="Arial Narrow" w:hAnsi="Arial Narrow"/>
          <w:lang w:val="es-419"/>
        </w:rPr>
        <w:t xml:space="preserve">ecorregiones estratégicas en Colombia.  El programa de investigación tiene cuatro ejes:  </w:t>
      </w:r>
    </w:p>
    <w:p w14:paraId="03A13CFA" w14:textId="53C797DB" w:rsidR="00AC299B" w:rsidRPr="00AC299B" w:rsidRDefault="00AC299B" w:rsidP="00B22F3D">
      <w:pPr>
        <w:spacing w:line="276" w:lineRule="auto"/>
        <w:jc w:val="both"/>
        <w:rPr>
          <w:rFonts w:ascii="Arial Narrow" w:hAnsi="Arial Narrow"/>
          <w:lang w:val="es-419"/>
        </w:rPr>
      </w:pPr>
      <w:r w:rsidRPr="00AC299B">
        <w:rPr>
          <w:rFonts w:ascii="Arial Narrow" w:hAnsi="Arial Narrow"/>
          <w:lang w:val="es-419"/>
        </w:rPr>
        <w:t xml:space="preserve">1. Eje 1: investigación básica en modelación de sistemas de recursos hídricos y sistemas humanos. </w:t>
      </w:r>
    </w:p>
    <w:p w14:paraId="135DCB36" w14:textId="1B92148D" w:rsidR="00AC299B" w:rsidRPr="00AC299B" w:rsidRDefault="00AC299B" w:rsidP="00B22F3D">
      <w:pPr>
        <w:spacing w:line="276" w:lineRule="auto"/>
        <w:jc w:val="both"/>
        <w:rPr>
          <w:rFonts w:ascii="Arial Narrow" w:hAnsi="Arial Narrow"/>
          <w:lang w:val="es-419"/>
        </w:rPr>
      </w:pPr>
      <w:r w:rsidRPr="00AC299B">
        <w:rPr>
          <w:rFonts w:ascii="Arial Narrow" w:hAnsi="Arial Narrow"/>
          <w:lang w:val="es-419"/>
        </w:rPr>
        <w:t>Este eje hace énfasis en el estudio de los conceptos y procesos básicos en modelación de sistemas de recursos hídricos. Aquí se incluye el desarrollo de nuevos modelos y la aplicación o mejora de herramientas existentes para avanzar en la simulación del ciclo hidrológico y sus interacciones con ecosistemas dulceacuícolas y terrestres</w:t>
      </w:r>
      <w:r w:rsidR="00EF0824">
        <w:rPr>
          <w:rFonts w:ascii="Arial Narrow" w:hAnsi="Arial Narrow"/>
          <w:lang w:val="es-419"/>
        </w:rPr>
        <w:t>, así como con sistemas humanos,</w:t>
      </w:r>
      <w:r w:rsidRPr="00AC299B">
        <w:rPr>
          <w:rFonts w:ascii="Arial Narrow" w:hAnsi="Arial Narrow"/>
          <w:lang w:val="es-419"/>
        </w:rPr>
        <w:t xml:space="preserve"> en ambientes tropicales. </w:t>
      </w:r>
    </w:p>
    <w:p w14:paraId="6F777592" w14:textId="5744CAD5" w:rsidR="00AC299B" w:rsidRPr="00AC299B" w:rsidRDefault="00AC299B" w:rsidP="00B22F3D">
      <w:pPr>
        <w:spacing w:line="276" w:lineRule="auto"/>
        <w:jc w:val="both"/>
        <w:rPr>
          <w:rFonts w:ascii="Arial Narrow" w:hAnsi="Arial Narrow"/>
          <w:lang w:val="es-419"/>
        </w:rPr>
      </w:pPr>
      <w:r w:rsidRPr="00AC299B">
        <w:rPr>
          <w:rFonts w:ascii="Arial Narrow" w:hAnsi="Arial Narrow"/>
          <w:lang w:val="es-419"/>
        </w:rPr>
        <w:t xml:space="preserve">En el primer trienio, los esfuerzos de investigación se concentrarán inicialmente en mejorar la representación del crecimiento de plantas en el trópico y sus implicaciones en la simulación de la evapotranspiración real y la humedad del suelo, </w:t>
      </w:r>
      <w:r w:rsidR="00EF0824">
        <w:rPr>
          <w:rFonts w:ascii="Arial Narrow" w:hAnsi="Arial Narrow"/>
          <w:lang w:val="es-419"/>
        </w:rPr>
        <w:t>la sequía agrícola e hidrológica y</w:t>
      </w:r>
      <w:r w:rsidRPr="00AC299B">
        <w:rPr>
          <w:rFonts w:ascii="Arial Narrow" w:hAnsi="Arial Narrow"/>
          <w:lang w:val="es-419"/>
        </w:rPr>
        <w:t xml:space="preserve"> la gestión del agua, particularmente en la asignación de caudales y estimación de caudales ambientales. </w:t>
      </w:r>
    </w:p>
    <w:p w14:paraId="231D6FD3" w14:textId="66D5DCA1" w:rsidR="00AC299B" w:rsidRPr="00AC299B" w:rsidRDefault="00AC299B" w:rsidP="00B22F3D">
      <w:pPr>
        <w:spacing w:line="276" w:lineRule="auto"/>
        <w:jc w:val="both"/>
        <w:rPr>
          <w:rFonts w:ascii="Arial Narrow" w:hAnsi="Arial Narrow"/>
          <w:lang w:val="es-419"/>
        </w:rPr>
      </w:pPr>
      <w:r w:rsidRPr="00AC299B">
        <w:rPr>
          <w:rFonts w:ascii="Arial Narrow" w:hAnsi="Arial Narrow"/>
          <w:lang w:val="es-419"/>
        </w:rPr>
        <w:t>2. Eje 2: investigación aplicada al uso de inteligencia artificial en modelación de sistemas de recursos hídricos</w:t>
      </w:r>
      <w:r w:rsidR="005D51D0">
        <w:rPr>
          <w:rFonts w:ascii="Arial Narrow" w:hAnsi="Arial Narrow"/>
          <w:lang w:val="es-419"/>
        </w:rPr>
        <w:t xml:space="preserve"> e incorporación de incertidumbre profunda</w:t>
      </w:r>
      <w:r w:rsidRPr="00AC299B">
        <w:rPr>
          <w:rFonts w:ascii="Arial Narrow" w:hAnsi="Arial Narrow"/>
          <w:lang w:val="es-419"/>
        </w:rPr>
        <w:t xml:space="preserve">. </w:t>
      </w:r>
    </w:p>
    <w:p w14:paraId="2F5AB2A6" w14:textId="34F4DC3E" w:rsidR="00AC299B" w:rsidRPr="00AC299B" w:rsidRDefault="00AC299B" w:rsidP="00B22F3D">
      <w:pPr>
        <w:spacing w:line="276" w:lineRule="auto"/>
        <w:jc w:val="both"/>
        <w:rPr>
          <w:rFonts w:ascii="Arial Narrow" w:hAnsi="Arial Narrow"/>
          <w:lang w:val="es-419"/>
        </w:rPr>
      </w:pPr>
      <w:r w:rsidRPr="00AC299B">
        <w:rPr>
          <w:rFonts w:ascii="Arial Narrow" w:hAnsi="Arial Narrow"/>
          <w:lang w:val="es-419"/>
        </w:rPr>
        <w:t xml:space="preserve">Este eje consiste en la aplicación de herramientas de inteligencia artificial para los siguientes dos propósitos: </w:t>
      </w:r>
    </w:p>
    <w:p w14:paraId="017EA294" w14:textId="3BF61DE1" w:rsidR="00AC299B" w:rsidRPr="00AC299B" w:rsidRDefault="00AC299B" w:rsidP="00B22F3D">
      <w:pPr>
        <w:pStyle w:val="ListParagraph"/>
        <w:numPr>
          <w:ilvl w:val="0"/>
          <w:numId w:val="3"/>
        </w:numPr>
        <w:spacing w:line="276" w:lineRule="auto"/>
        <w:jc w:val="both"/>
        <w:rPr>
          <w:rFonts w:ascii="Arial Narrow" w:hAnsi="Arial Narrow"/>
          <w:lang w:val="es-419"/>
        </w:rPr>
      </w:pPr>
      <w:r w:rsidRPr="00AC299B">
        <w:rPr>
          <w:rFonts w:ascii="Arial Narrow" w:hAnsi="Arial Narrow"/>
          <w:lang w:val="es-419"/>
        </w:rPr>
        <w:t xml:space="preserve">Simulación: desarrollo de modelos (o componentes) basados en datos para simular procesos hidrológicos y/o hidrodinámicos específicos. Los esfuerzos iniciales de investigación se concentrarán en la aplicación de avances recientes en modelación diferencial y en la integración de modelos basados en datos y en procesos. </w:t>
      </w:r>
    </w:p>
    <w:p w14:paraId="2940CCF4" w14:textId="04FC90A8" w:rsidR="00AC299B" w:rsidRDefault="00AC299B" w:rsidP="00B22F3D">
      <w:pPr>
        <w:pStyle w:val="ListParagraph"/>
        <w:numPr>
          <w:ilvl w:val="0"/>
          <w:numId w:val="3"/>
        </w:numPr>
        <w:spacing w:line="276" w:lineRule="auto"/>
        <w:jc w:val="both"/>
        <w:rPr>
          <w:rFonts w:ascii="Arial Narrow" w:hAnsi="Arial Narrow"/>
          <w:lang w:val="es-419"/>
        </w:rPr>
      </w:pPr>
      <w:r w:rsidRPr="00AC299B">
        <w:rPr>
          <w:rFonts w:ascii="Arial Narrow" w:hAnsi="Arial Narrow"/>
          <w:lang w:val="es-419"/>
        </w:rPr>
        <w:t xml:space="preserve">Optimización: aplicación de algoritmos heurísticos de búsqueda global utilizando varios objetivos para resolver problemas complejos de ingeniería, especialmente en lo relacionado con la selección de portafolios de medidas de manejo (e.g., políticas ambientales, soluciones basadas en la naturaleza, itinerarios de riego/aplicación de insumos, alternativas de control de hidrosistemas). Se enfatizará en la aplicación de optimización multi-objetivo y multi-nivel utilizando algoritmos evolucionarios para considerar de forma explícita la jerarquía en la toma de decisiones, lo cual es frecuente en casos reales de gestión del agua. </w:t>
      </w:r>
    </w:p>
    <w:p w14:paraId="3C109E22" w14:textId="5F4924C2" w:rsidR="005D51D0" w:rsidRPr="00AC299B" w:rsidRDefault="005D51D0" w:rsidP="00B22F3D">
      <w:pPr>
        <w:pStyle w:val="ListParagraph"/>
        <w:numPr>
          <w:ilvl w:val="0"/>
          <w:numId w:val="3"/>
        </w:numPr>
        <w:spacing w:line="276" w:lineRule="auto"/>
        <w:jc w:val="both"/>
        <w:rPr>
          <w:rFonts w:ascii="Arial Narrow" w:hAnsi="Arial Narrow"/>
          <w:lang w:val="es-419"/>
        </w:rPr>
      </w:pPr>
      <w:r>
        <w:rPr>
          <w:rFonts w:ascii="Arial Narrow" w:hAnsi="Arial Narrow"/>
          <w:lang w:val="es-419"/>
        </w:rPr>
        <w:t>Planeación adaptativa: t</w:t>
      </w:r>
      <w:r w:rsidRPr="005D51D0">
        <w:rPr>
          <w:rFonts w:ascii="Arial Narrow" w:hAnsi="Arial Narrow"/>
          <w:lang w:val="es-419"/>
        </w:rPr>
        <w:t>ransformar resultados de simulación en estrategias de decisión: (i) stress</w:t>
      </w:r>
      <w:r w:rsidRPr="005D51D0">
        <w:rPr>
          <w:rFonts w:ascii="Arial Narrow" w:hAnsi="Arial Narrow"/>
          <w:lang w:val="es-419"/>
        </w:rPr>
        <w:noBreakHyphen/>
        <w:t>testing y análisis de vulnerabilidad usando RDM; (ii) diseño de rutas adaptativas usando DAPP, con definición explícita de tipping points y triggers; (iii) incorporación de criterios múltiples (eficiencia, equidad, sostenibilidad) mediante optimización multiobjetivo y su traducción a portafolios secuenciados por actor/escala de decisión.</w:t>
      </w:r>
    </w:p>
    <w:p w14:paraId="3C6E1AD8" w14:textId="52496324" w:rsidR="00AC299B" w:rsidRPr="00AC299B" w:rsidRDefault="00AC299B" w:rsidP="00B22F3D">
      <w:pPr>
        <w:spacing w:line="276" w:lineRule="auto"/>
        <w:jc w:val="both"/>
        <w:rPr>
          <w:rFonts w:ascii="Arial Narrow" w:hAnsi="Arial Narrow"/>
          <w:lang w:val="es-419"/>
        </w:rPr>
      </w:pPr>
      <w:r w:rsidRPr="00AC299B">
        <w:rPr>
          <w:rFonts w:ascii="Arial Narrow" w:hAnsi="Arial Narrow"/>
          <w:lang w:val="es-419"/>
        </w:rPr>
        <w:t xml:space="preserve">3. Eje 3: Investigación aplicada al uso de sensores remotos y Sistemas de Información Geográfica en modelación, análisis y gestión del agua. </w:t>
      </w:r>
    </w:p>
    <w:p w14:paraId="6F143CA5" w14:textId="2A383829" w:rsidR="00B22F3D" w:rsidRDefault="00AC299B" w:rsidP="00B22F3D">
      <w:pPr>
        <w:spacing w:line="276" w:lineRule="auto"/>
        <w:jc w:val="both"/>
        <w:rPr>
          <w:rFonts w:ascii="Arial Narrow" w:hAnsi="Arial Narrow"/>
          <w:lang w:val="es-419"/>
        </w:rPr>
      </w:pPr>
      <w:r w:rsidRPr="00AC299B">
        <w:rPr>
          <w:rFonts w:ascii="Arial Narrow" w:hAnsi="Arial Narrow"/>
          <w:lang w:val="es-419"/>
        </w:rPr>
        <w:t xml:space="preserve">Este eje se relaciona con la adquisición, </w:t>
      </w:r>
      <w:r w:rsidR="00EF0824">
        <w:rPr>
          <w:rFonts w:ascii="Arial Narrow" w:hAnsi="Arial Narrow"/>
          <w:lang w:val="es-419"/>
        </w:rPr>
        <w:t>el almacenamiento, el procesamiento y el manejo de información espacial utilizada</w:t>
      </w:r>
      <w:r w:rsidRPr="00AC299B">
        <w:rPr>
          <w:rFonts w:ascii="Arial Narrow" w:hAnsi="Arial Narrow"/>
          <w:lang w:val="es-419"/>
        </w:rPr>
        <w:t xml:space="preserve"> en procesos de análisis y modelación de recursos hídricos para problemas específicos. Se hará énfasis en el uso de información </w:t>
      </w:r>
      <w:r w:rsidR="00EF0824">
        <w:rPr>
          <w:rFonts w:ascii="Arial Narrow" w:hAnsi="Arial Narrow"/>
          <w:lang w:val="es-419"/>
        </w:rPr>
        <w:t xml:space="preserve">óptica y de radar para la clasificación de coberturas, el monitoreo de cuerpos de agua, la cuantificación de cargas difusas y el seguimiento de deformaciones del suelo y de </w:t>
      </w:r>
      <w:r w:rsidRPr="00AC299B">
        <w:rPr>
          <w:rFonts w:ascii="Arial Narrow" w:hAnsi="Arial Narrow"/>
          <w:lang w:val="es-419"/>
        </w:rPr>
        <w:lastRenderedPageBreak/>
        <w:t xml:space="preserve">cambios en el uso de la tierra. Lo anterior se complementará con trabajo en campo con propósitos de validación. </w:t>
      </w:r>
    </w:p>
    <w:p w14:paraId="4E91E10F" w14:textId="58DB1B61" w:rsidR="00AC299B" w:rsidRPr="00AC299B" w:rsidRDefault="00AC299B" w:rsidP="00B22F3D">
      <w:pPr>
        <w:spacing w:line="276" w:lineRule="auto"/>
        <w:jc w:val="both"/>
        <w:rPr>
          <w:rFonts w:ascii="Arial Narrow" w:hAnsi="Arial Narrow"/>
          <w:lang w:val="es-419"/>
        </w:rPr>
      </w:pPr>
      <w:r w:rsidRPr="00AC299B">
        <w:rPr>
          <w:rFonts w:ascii="Arial Narrow" w:hAnsi="Arial Narrow"/>
          <w:lang w:val="es-419"/>
        </w:rPr>
        <w:t xml:space="preserve">4. Eje 4: Investigación aplicada en la integración de otras disciplinas (economía, ciencias sociales y ciencias ambientales) para cuantificar </w:t>
      </w:r>
      <w:r w:rsidR="00EF0824">
        <w:rPr>
          <w:rFonts w:ascii="Arial Narrow" w:hAnsi="Arial Narrow"/>
          <w:lang w:val="es-419"/>
        </w:rPr>
        <w:t xml:space="preserve">los efectos de los cambios ambientales, las políticas públicas y la </w:t>
      </w:r>
      <w:r w:rsidRPr="00AC299B">
        <w:rPr>
          <w:rFonts w:ascii="Arial Narrow" w:hAnsi="Arial Narrow"/>
          <w:lang w:val="es-419"/>
        </w:rPr>
        <w:t xml:space="preserve">gestión de recursos naturales sobre la seguridad hídrica, la seguridad alimentaria, la seguridad energética y la justicia ambiental, desde una perspectiva integradora. </w:t>
      </w:r>
    </w:p>
    <w:p w14:paraId="2E536F4A" w14:textId="4D73E520" w:rsidR="00AC299B" w:rsidRDefault="00AC299B" w:rsidP="00B22F3D">
      <w:pPr>
        <w:spacing w:line="276" w:lineRule="auto"/>
        <w:jc w:val="both"/>
        <w:rPr>
          <w:rFonts w:ascii="Arial Narrow" w:hAnsi="Arial Narrow"/>
          <w:lang w:val="es-419"/>
        </w:rPr>
      </w:pPr>
      <w:r w:rsidRPr="00AC299B">
        <w:rPr>
          <w:rFonts w:ascii="Arial Narrow" w:hAnsi="Arial Narrow"/>
          <w:lang w:val="es-419"/>
        </w:rPr>
        <w:t>Este eje integra los otros tres y reconoce la importancia de abordar la problemática de la gestión integral del agua considerando los efectos de la variabilidad y cambio climático, las dinámicas sociales, las restricciones legales, y el desarrollo económico. Se prevé desarrollar un proyecto de investigación de nivel de doctorado que abarque este eje, aplicado inicialmente a los problemas de abastecimiento de agua en la Sabana de Bogotá, previendo además la modelación integrada del agua superficial y subterránea.</w:t>
      </w:r>
    </w:p>
    <w:p w14:paraId="1D436A36" w14:textId="7F7D4E10" w:rsidR="00B22F3D" w:rsidRDefault="00B22F3D" w:rsidP="00B22F3D">
      <w:pPr>
        <w:spacing w:line="276" w:lineRule="auto"/>
        <w:jc w:val="both"/>
        <w:rPr>
          <w:rFonts w:ascii="Arial Narrow" w:hAnsi="Arial Narrow"/>
          <w:b/>
          <w:bCs/>
          <w:lang w:val="es-419"/>
        </w:rPr>
      </w:pPr>
      <w:r w:rsidRPr="00AC299B">
        <w:rPr>
          <w:rFonts w:ascii="Arial Narrow" w:hAnsi="Arial Narrow"/>
          <w:b/>
          <w:bCs/>
          <w:lang w:val="es-419"/>
        </w:rPr>
        <w:t xml:space="preserve">Propuesta en el componente de </w:t>
      </w:r>
      <w:r>
        <w:rPr>
          <w:rFonts w:ascii="Arial Narrow" w:hAnsi="Arial Narrow"/>
          <w:b/>
          <w:bCs/>
          <w:lang w:val="es-419"/>
        </w:rPr>
        <w:t>extensión</w:t>
      </w:r>
    </w:p>
    <w:p w14:paraId="5BB43D6E" w14:textId="77777777" w:rsidR="00B22F3D" w:rsidRPr="00B22F3D" w:rsidRDefault="00B22F3D" w:rsidP="00B22F3D">
      <w:pPr>
        <w:spacing w:line="276" w:lineRule="auto"/>
        <w:jc w:val="both"/>
        <w:rPr>
          <w:rFonts w:ascii="Arial Narrow" w:hAnsi="Arial Narrow"/>
          <w:lang w:val="es-419"/>
        </w:rPr>
      </w:pPr>
      <w:r w:rsidRPr="00B22F3D">
        <w:rPr>
          <w:rFonts w:ascii="Arial Narrow" w:hAnsi="Arial Narrow"/>
          <w:lang w:val="es-419"/>
        </w:rPr>
        <w:t xml:space="preserve">El programa propuesto de investigación tiene un impacto directo sobre la toma de decisiones en relación con el manejo del agua. Las políticas públicas actuales a nivel nacional y territorial han empezado a enfatizar el ordenamiento territorial alrededor el agua y la evaluación de los impactos del cambio climático y eventos extremos asociados a fenómenos de inundación y de sequía. </w:t>
      </w:r>
    </w:p>
    <w:p w14:paraId="646DD30E" w14:textId="31A13F08" w:rsidR="00B22F3D" w:rsidRDefault="00B22F3D" w:rsidP="00B22F3D">
      <w:pPr>
        <w:spacing w:line="276" w:lineRule="auto"/>
        <w:jc w:val="both"/>
        <w:rPr>
          <w:rFonts w:ascii="Arial Narrow" w:hAnsi="Arial Narrow"/>
          <w:lang w:val="es-419"/>
        </w:rPr>
      </w:pPr>
      <w:r w:rsidRPr="00B22F3D">
        <w:rPr>
          <w:rFonts w:ascii="Arial Narrow" w:hAnsi="Arial Narrow"/>
          <w:lang w:val="es-419"/>
        </w:rPr>
        <w:t xml:space="preserve">Los avances en materia de manejo del agua son de gran interés para el sector externo y se deben aprovechar múltiples canales de comunicación para expresar el interés desde la Universidad </w:t>
      </w:r>
      <w:r>
        <w:rPr>
          <w:rFonts w:ascii="Arial Narrow" w:hAnsi="Arial Narrow"/>
          <w:lang w:val="es-419"/>
        </w:rPr>
        <w:t>Nacional de Colombia</w:t>
      </w:r>
      <w:r w:rsidRPr="00B22F3D">
        <w:rPr>
          <w:rFonts w:ascii="Arial Narrow" w:hAnsi="Arial Narrow"/>
          <w:lang w:val="es-419"/>
        </w:rPr>
        <w:t xml:space="preserve"> en aportar a soluciones en esta materia. Dichos canales se pueden afianzar a través del contacto con egresados posicionados en diferentes entidades del sector público y privado y en organizaciones internacionales. Así mismo, otro mecanismo es la participación conjunta en propuestas de trabajos de investigación. La socialización de trabajos de investigación, invitaciones a espacios de discusión en clase, y la búsqueda de reuniones con actores externos serán utilizados permanentemente para afianzar la relación y búsqueda de oportunidades de colaboración.</w:t>
      </w:r>
    </w:p>
    <w:p w14:paraId="11FBE422" w14:textId="77777777" w:rsidR="00B22F3D" w:rsidRDefault="00B22F3D">
      <w:pPr>
        <w:rPr>
          <w:rFonts w:ascii="Arial Narrow" w:hAnsi="Arial Narrow"/>
          <w:lang w:val="es-419"/>
        </w:rPr>
      </w:pPr>
      <w:r>
        <w:rPr>
          <w:rFonts w:ascii="Arial Narrow" w:hAnsi="Arial Narrow"/>
          <w:lang w:val="es-419"/>
        </w:rPr>
        <w:br w:type="page"/>
      </w:r>
    </w:p>
    <w:p w14:paraId="50719D02" w14:textId="76C21386" w:rsidR="00B22F3D" w:rsidRDefault="00B22F3D" w:rsidP="00B22F3D">
      <w:pPr>
        <w:spacing w:line="276" w:lineRule="auto"/>
        <w:jc w:val="both"/>
        <w:rPr>
          <w:rFonts w:ascii="Arial Narrow" w:hAnsi="Arial Narrow"/>
          <w:b/>
          <w:bCs/>
          <w:lang w:val="es-419"/>
        </w:rPr>
      </w:pPr>
      <w:r>
        <w:rPr>
          <w:rFonts w:ascii="Arial Narrow" w:hAnsi="Arial Narrow"/>
          <w:b/>
          <w:bCs/>
          <w:lang w:val="es-419"/>
        </w:rPr>
        <w:lastRenderedPageBreak/>
        <w:t>Bibliografía</w:t>
      </w:r>
    </w:p>
    <w:p w14:paraId="29D94AAB" w14:textId="77777777" w:rsidR="00C52C29" w:rsidRPr="00C52C29" w:rsidRDefault="00C52C29" w:rsidP="00C52C29">
      <w:pPr>
        <w:spacing w:line="276" w:lineRule="auto"/>
        <w:jc w:val="both"/>
        <w:rPr>
          <w:rFonts w:ascii="Arial Narrow" w:hAnsi="Arial Narrow"/>
        </w:rPr>
      </w:pPr>
      <w:r w:rsidRPr="00C52C29">
        <w:rPr>
          <w:rFonts w:ascii="Arial Narrow" w:hAnsi="Arial Narrow"/>
          <w:lang w:val="es-419"/>
        </w:rPr>
        <w:t xml:space="preserve">Albergel, C., Dorigo, W., Balsamo, G., Muñoz-Sabater, J., de Rosnay, P., Isaksen, L., Brocca, L., de Jeu, R., Wagner, W., 2013. </w:t>
      </w:r>
      <w:r w:rsidRPr="00C52C29">
        <w:rPr>
          <w:rFonts w:ascii="Arial Narrow" w:hAnsi="Arial Narrow"/>
        </w:rPr>
        <w:t xml:space="preserve">Monitoring multi-decadal satellite earth observation of soil moisture products through land surface reanalyses. Remote Sens Environ 138, 77–89. </w:t>
      </w:r>
      <w:hyperlink r:id="rId5" w:tgtFrame="_new" w:history="1">
        <w:r w:rsidRPr="00C52C29">
          <w:rPr>
            <w:rStyle w:val="Hyperlink"/>
            <w:rFonts w:ascii="Arial Narrow" w:hAnsi="Arial Narrow"/>
          </w:rPr>
          <w:t>https://doi.org/10.1016/j.rse.2013.07.009</w:t>
        </w:r>
      </w:hyperlink>
    </w:p>
    <w:p w14:paraId="10125585"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Albrecht, T.R., Crootof, A., Scott, C.A., 2018. The Water-Energy-Food Nexus: A systematic review of methods for nexus assessment. Environmental Research Letters. </w:t>
      </w:r>
      <w:hyperlink r:id="rId6" w:tgtFrame="_new" w:history="1">
        <w:r w:rsidRPr="00C52C29">
          <w:rPr>
            <w:rStyle w:val="Hyperlink"/>
            <w:rFonts w:ascii="Arial Narrow" w:hAnsi="Arial Narrow"/>
          </w:rPr>
          <w:t>https://doi.org/10.1088/1748-9326/aaa9c6</w:t>
        </w:r>
      </w:hyperlink>
    </w:p>
    <w:p w14:paraId="2A67892A"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Alemayehu, T., Van Griensven, A., Woldegiorgis, B.T., Bauwens, W., 2017. An improved SWAT vegetation growth module and its evaluation for four tropical ecosystems. Hydrol Earth Syst Sci 21, 4449–4467. </w:t>
      </w:r>
      <w:hyperlink r:id="rId7" w:tgtFrame="_new" w:history="1">
        <w:r w:rsidRPr="00C52C29">
          <w:rPr>
            <w:rStyle w:val="Hyperlink"/>
            <w:rFonts w:ascii="Arial Narrow" w:hAnsi="Arial Narrow"/>
          </w:rPr>
          <w:t>https://doi.org/10.5194/hess-21-4449-2017</w:t>
        </w:r>
      </w:hyperlink>
    </w:p>
    <w:p w14:paraId="6105CC6C" w14:textId="77777777" w:rsidR="00C52C29" w:rsidRPr="00C52C29" w:rsidRDefault="00C52C29" w:rsidP="00C52C29">
      <w:pPr>
        <w:spacing w:line="276" w:lineRule="auto"/>
        <w:jc w:val="both"/>
        <w:rPr>
          <w:rFonts w:ascii="Arial Narrow" w:hAnsi="Arial Narrow"/>
          <w:lang w:val="es-419"/>
        </w:rPr>
      </w:pPr>
      <w:r w:rsidRPr="00C52C29">
        <w:rPr>
          <w:rFonts w:ascii="Arial Narrow" w:hAnsi="Arial Narrow"/>
        </w:rPr>
        <w:t xml:space="preserve">Avellaneda, P.M., Ficklin, D.L., Lowry, C.S., Knouft, J.H., Hall, D.M., 2020. Improving Hydrological Models With the Assimilation of Crowdsourced Data. Water Resour Res 56. </w:t>
      </w:r>
      <w:hyperlink r:id="rId8" w:tgtFrame="_new" w:history="1">
        <w:r w:rsidRPr="00C52C29">
          <w:rPr>
            <w:rStyle w:val="Hyperlink"/>
            <w:rFonts w:ascii="Arial Narrow" w:hAnsi="Arial Narrow"/>
            <w:lang w:val="es-419"/>
          </w:rPr>
          <w:t>https://doi.org/10.1029/2019WR026325</w:t>
        </w:r>
      </w:hyperlink>
    </w:p>
    <w:p w14:paraId="368045F8" w14:textId="77777777" w:rsidR="00C52C29" w:rsidRPr="00C52C29" w:rsidRDefault="00C52C29" w:rsidP="00C52C29">
      <w:pPr>
        <w:spacing w:line="276" w:lineRule="auto"/>
        <w:jc w:val="both"/>
        <w:rPr>
          <w:rFonts w:ascii="Arial Narrow" w:hAnsi="Arial Narrow"/>
          <w:lang w:val="es-419"/>
        </w:rPr>
      </w:pPr>
      <w:r w:rsidRPr="00C52C29">
        <w:rPr>
          <w:rFonts w:ascii="Arial Narrow" w:hAnsi="Arial Narrow"/>
          <w:lang w:val="es-419"/>
        </w:rPr>
        <w:t xml:space="preserve">Bolívar Molano, V.A., Montoya Garay, J.W., 2021. El sistema tecnológico ampliado hídrico del Área Metropolitana Funcional de Bogotá: un análisis desde la gobernanza del agua. Cuadernos de Geografía: Revista Colombiana de Geografía 30, 481–503. </w:t>
      </w:r>
      <w:hyperlink r:id="rId9" w:tgtFrame="_new" w:history="1">
        <w:r w:rsidRPr="00C52C29">
          <w:rPr>
            <w:rStyle w:val="Hyperlink"/>
            <w:rFonts w:ascii="Arial Narrow" w:hAnsi="Arial Narrow"/>
            <w:lang w:val="es-419"/>
          </w:rPr>
          <w:t>https://doi.org/10.15446/rcdg.v30n2.93586</w:t>
        </w:r>
      </w:hyperlink>
    </w:p>
    <w:p w14:paraId="720902CC" w14:textId="77777777" w:rsidR="00C52C29" w:rsidRPr="00C52C29" w:rsidRDefault="00C52C29" w:rsidP="00C52C29">
      <w:pPr>
        <w:spacing w:line="276" w:lineRule="auto"/>
        <w:jc w:val="both"/>
        <w:rPr>
          <w:rFonts w:ascii="Arial Narrow" w:hAnsi="Arial Narrow"/>
          <w:lang w:val="fr-FR"/>
        </w:rPr>
      </w:pPr>
      <w:r w:rsidRPr="00C52C29">
        <w:rPr>
          <w:rFonts w:ascii="Arial Narrow" w:hAnsi="Arial Narrow"/>
        </w:rPr>
        <w:t xml:space="preserve">Boyes, C., Andersson, K., 2023. Getting citizens to conserve water: A comparison of crisis responses in Bogota and Mexico City. </w:t>
      </w:r>
      <w:r w:rsidRPr="00C52C29">
        <w:rPr>
          <w:rFonts w:ascii="Arial Narrow" w:hAnsi="Arial Narrow"/>
          <w:lang w:val="fr-FR"/>
        </w:rPr>
        <w:t xml:space="preserve">Elementa 11, 172–188. </w:t>
      </w:r>
      <w:hyperlink r:id="rId10" w:tgtFrame="_new" w:history="1">
        <w:r w:rsidRPr="00C52C29">
          <w:rPr>
            <w:rStyle w:val="Hyperlink"/>
            <w:rFonts w:ascii="Arial Narrow" w:hAnsi="Arial Narrow"/>
            <w:lang w:val="fr-FR"/>
          </w:rPr>
          <w:t>https://doi.org/10.1525/elementa.2022.00142</w:t>
        </w:r>
      </w:hyperlink>
    </w:p>
    <w:p w14:paraId="5EBD45CB" w14:textId="77777777" w:rsidR="00C52C29" w:rsidRPr="00C52C29" w:rsidRDefault="00C52C29" w:rsidP="00C52C29">
      <w:pPr>
        <w:spacing w:line="276" w:lineRule="auto"/>
        <w:jc w:val="both"/>
        <w:rPr>
          <w:rFonts w:ascii="Arial Narrow" w:hAnsi="Arial Narrow"/>
          <w:lang w:val="es-419"/>
        </w:rPr>
      </w:pPr>
      <w:r w:rsidRPr="00C52C29">
        <w:rPr>
          <w:rFonts w:ascii="Arial Narrow" w:hAnsi="Arial Narrow"/>
          <w:lang w:val="fr-FR"/>
        </w:rPr>
        <w:t xml:space="preserve">Buytaert, W., Célleri, R., De Bièvre, B., Cisneros, F., Wyseure, G., Deckers, J., Hofstede, R., 2006. </w:t>
      </w:r>
      <w:r w:rsidRPr="00C52C29">
        <w:rPr>
          <w:rFonts w:ascii="Arial Narrow" w:hAnsi="Arial Narrow"/>
        </w:rPr>
        <w:t xml:space="preserve">Human impact on the hydrology of the Andean páramos. Earth Sci Rev 79, 53–72. </w:t>
      </w:r>
      <w:hyperlink r:id="rId11" w:tgtFrame="_new" w:history="1">
        <w:r w:rsidRPr="00C52C29">
          <w:rPr>
            <w:rStyle w:val="Hyperlink"/>
            <w:rFonts w:ascii="Arial Narrow" w:hAnsi="Arial Narrow"/>
            <w:lang w:val="es-419"/>
          </w:rPr>
          <w:t>https://doi.org/10.1016/j.earscirev.2006.06.002</w:t>
        </w:r>
      </w:hyperlink>
    </w:p>
    <w:p w14:paraId="1E2B55FD" w14:textId="77777777" w:rsidR="00C52C29" w:rsidRPr="00C52C29" w:rsidRDefault="00C52C29" w:rsidP="00C52C29">
      <w:pPr>
        <w:spacing w:line="276" w:lineRule="auto"/>
        <w:jc w:val="both"/>
        <w:rPr>
          <w:rFonts w:ascii="Arial Narrow" w:hAnsi="Arial Narrow"/>
        </w:rPr>
      </w:pPr>
      <w:r w:rsidRPr="00C52C29">
        <w:rPr>
          <w:rFonts w:ascii="Arial Narrow" w:hAnsi="Arial Narrow"/>
          <w:lang w:val="es-419"/>
        </w:rPr>
        <w:t xml:space="preserve">Caceres, A.L., Jaramillo, P., Matthews, H.S., Samaras, C., Nijssen, B., 2021. </w:t>
      </w:r>
      <w:r w:rsidRPr="00C52C29">
        <w:rPr>
          <w:rFonts w:ascii="Arial Narrow" w:hAnsi="Arial Narrow"/>
        </w:rPr>
        <w:t xml:space="preserve">Hydropower under climate uncertainty: Characterizing the usable capacity of Brazilian, Colombian and Peruvian power plants under climate scenarios. Energy for Sustainable Development 61, 217–229. </w:t>
      </w:r>
      <w:hyperlink r:id="rId12" w:tgtFrame="_new" w:history="1">
        <w:r w:rsidRPr="00C52C29">
          <w:rPr>
            <w:rStyle w:val="Hyperlink"/>
            <w:rFonts w:ascii="Arial Narrow" w:hAnsi="Arial Narrow"/>
          </w:rPr>
          <w:t>https://doi.org/10.1016/j.esd.2021.02.006</w:t>
        </w:r>
      </w:hyperlink>
    </w:p>
    <w:p w14:paraId="7F8E8B32" w14:textId="77777777" w:rsidR="00C52C29" w:rsidRPr="00C52C29" w:rsidRDefault="00C52C29" w:rsidP="00C52C29">
      <w:pPr>
        <w:spacing w:line="276" w:lineRule="auto"/>
        <w:jc w:val="both"/>
        <w:rPr>
          <w:rFonts w:ascii="Arial Narrow" w:hAnsi="Arial Narrow"/>
          <w:lang w:val="es-419"/>
        </w:rPr>
      </w:pPr>
      <w:r w:rsidRPr="00C52C29">
        <w:rPr>
          <w:rFonts w:ascii="Arial Narrow" w:hAnsi="Arial Narrow"/>
        </w:rPr>
        <w:t xml:space="preserve">CAR, 2019. </w:t>
      </w:r>
      <w:r w:rsidRPr="00C52C29">
        <w:rPr>
          <w:rFonts w:ascii="Arial Narrow" w:hAnsi="Arial Narrow"/>
          <w:lang w:val="es-419"/>
        </w:rPr>
        <w:t xml:space="preserve">Documentos POMCA Río Bogotá 2019 | CAR [WWW Document]. URL </w:t>
      </w:r>
      <w:hyperlink r:id="rId13" w:tgtFrame="_new" w:history="1">
        <w:r w:rsidRPr="00C52C29">
          <w:rPr>
            <w:rStyle w:val="Hyperlink"/>
            <w:rFonts w:ascii="Arial Narrow" w:hAnsi="Arial Narrow"/>
            <w:lang w:val="es-419"/>
          </w:rPr>
          <w:t>https://www.car.gov.co/vercontenido/94</w:t>
        </w:r>
      </w:hyperlink>
      <w:r w:rsidRPr="00C52C29">
        <w:rPr>
          <w:rFonts w:ascii="Arial Narrow" w:hAnsi="Arial Narrow"/>
          <w:lang w:val="es-419"/>
        </w:rPr>
        <w:t xml:space="preserve"> (accessed 6.12.24).</w:t>
      </w:r>
    </w:p>
    <w:p w14:paraId="1A7EF786" w14:textId="77777777" w:rsidR="00C52C29" w:rsidRPr="00C52C29" w:rsidRDefault="00C52C29" w:rsidP="00C52C29">
      <w:pPr>
        <w:spacing w:line="276" w:lineRule="auto"/>
        <w:jc w:val="both"/>
        <w:rPr>
          <w:rFonts w:ascii="Arial Narrow" w:hAnsi="Arial Narrow"/>
        </w:rPr>
      </w:pPr>
      <w:r w:rsidRPr="00C52C29">
        <w:rPr>
          <w:rFonts w:ascii="Arial Narrow" w:hAnsi="Arial Narrow"/>
          <w:lang w:val="es-419"/>
        </w:rPr>
        <w:t xml:space="preserve">Deb, K., Lu, Z., Kropp, I., Hernandez-Suarez, J.S., Hussein, R., Miller, S., Nejadhashemi, A.P., 2023. </w:t>
      </w:r>
      <w:r w:rsidRPr="00C52C29">
        <w:rPr>
          <w:rFonts w:ascii="Arial Narrow" w:hAnsi="Arial Narrow"/>
        </w:rPr>
        <w:t xml:space="preserve">Minimizing Expected Deviation in Upper Level Outcomes Due to Lower Level Decision Making in Hierarchical Multiobjective Problems. IEEE Transactions on Evolutionary Computation 27. </w:t>
      </w:r>
      <w:hyperlink r:id="rId14" w:tgtFrame="_new" w:history="1">
        <w:r w:rsidRPr="00C52C29">
          <w:rPr>
            <w:rStyle w:val="Hyperlink"/>
            <w:rFonts w:ascii="Arial Narrow" w:hAnsi="Arial Narrow"/>
          </w:rPr>
          <w:t>https://doi.org/10.1109/TEVC.2022.3172302</w:t>
        </w:r>
      </w:hyperlink>
    </w:p>
    <w:p w14:paraId="13EA9AFC"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Des Roches, S., Brans, K.I., Lambert, M.R., Rivkin, L.R., Savage, A.M., Schell, C.J., Correa, C., De Meester, L., Diamond, S.E., Grimm, N.B., Harris, N.C., Govaert, L., Hendry, A.P., Johnson, M.T.J., Munshi-South, J., Palkovacs, E.P., Szulkin, M., Urban, M.C., Verrelli, B.C., Alberti, M., 2021. Socio-eco-evolutionary dynamics in cities. Evol Appl 14, 248–267. </w:t>
      </w:r>
      <w:hyperlink r:id="rId15" w:tgtFrame="_new" w:history="1">
        <w:r w:rsidRPr="00C52C29">
          <w:rPr>
            <w:rStyle w:val="Hyperlink"/>
            <w:rFonts w:ascii="Arial Narrow" w:hAnsi="Arial Narrow"/>
          </w:rPr>
          <w:t>https://doi.org/10.1111/eva.13065</w:t>
        </w:r>
      </w:hyperlink>
    </w:p>
    <w:p w14:paraId="2A487E14" w14:textId="77777777" w:rsidR="00C52C29" w:rsidRPr="00C52C29" w:rsidRDefault="00C52C29" w:rsidP="00C52C29">
      <w:pPr>
        <w:spacing w:line="276" w:lineRule="auto"/>
        <w:jc w:val="both"/>
        <w:rPr>
          <w:rFonts w:ascii="Arial Narrow" w:hAnsi="Arial Narrow"/>
        </w:rPr>
      </w:pPr>
      <w:r w:rsidRPr="00C52C29">
        <w:rPr>
          <w:rFonts w:ascii="Arial Narrow" w:hAnsi="Arial Narrow"/>
          <w:lang w:val="es-419"/>
        </w:rPr>
        <w:lastRenderedPageBreak/>
        <w:t xml:space="preserve">Di Baldassarre, G., Viglione, A., Carr, G., Kuil, L., Yan, K., Brandimarte, L., Blöschl, G., 2015. </w:t>
      </w:r>
      <w:r w:rsidRPr="00C52C29">
        <w:rPr>
          <w:rFonts w:ascii="Arial Narrow" w:hAnsi="Arial Narrow"/>
        </w:rPr>
        <w:t xml:space="preserve">Debates - Perspectives on socio-hydrology: Capturing feedbacks between physical and social processes. Water Resour Res. </w:t>
      </w:r>
      <w:hyperlink r:id="rId16" w:tgtFrame="_new" w:history="1">
        <w:r w:rsidRPr="00C52C29">
          <w:rPr>
            <w:rStyle w:val="Hyperlink"/>
            <w:rFonts w:ascii="Arial Narrow" w:hAnsi="Arial Narrow"/>
          </w:rPr>
          <w:t>https://doi.org/10.1002/2014WR016416</w:t>
        </w:r>
      </w:hyperlink>
    </w:p>
    <w:p w14:paraId="3A199883"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Dolan, F., Lamontagne, J., Link, R., Hejazi, M., Reed, P., Edmonds, J., 2021. Evaluating the economic impact of water scarcity in a changing world. Nat Commun 12. </w:t>
      </w:r>
      <w:hyperlink r:id="rId17" w:tgtFrame="_new" w:history="1">
        <w:r w:rsidRPr="00C52C29">
          <w:rPr>
            <w:rStyle w:val="Hyperlink"/>
            <w:rFonts w:ascii="Arial Narrow" w:hAnsi="Arial Narrow"/>
          </w:rPr>
          <w:t>https://doi.org/10.1038/s41467-021-22194-0</w:t>
        </w:r>
      </w:hyperlink>
    </w:p>
    <w:p w14:paraId="02FCABDD"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Egieya, J.M., Parker, Y., Hofmann, V.S., Daher, B., Gorgens, J., Goosen, N.J., 2024. Predictive simulation of the water-energy-food nexus for the City of Cape Town. Science of The Total Environment 173289. </w:t>
      </w:r>
      <w:hyperlink r:id="rId18" w:tgtFrame="_new" w:history="1">
        <w:r w:rsidRPr="00C52C29">
          <w:rPr>
            <w:rStyle w:val="Hyperlink"/>
            <w:rFonts w:ascii="Arial Narrow" w:hAnsi="Arial Narrow"/>
          </w:rPr>
          <w:t>https://doi.org/10.1016/j.scitotenv.2024.173289</w:t>
        </w:r>
      </w:hyperlink>
    </w:p>
    <w:p w14:paraId="325A01B2"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Embid, A., Martin, L., 2022. The Water-Energy-Food Nexus in Latin America and the Caribbean: Priority Interconnections. pp. 165–178. </w:t>
      </w:r>
      <w:hyperlink r:id="rId19" w:tgtFrame="_new" w:history="1">
        <w:r w:rsidRPr="00C52C29">
          <w:rPr>
            <w:rStyle w:val="Hyperlink"/>
            <w:rFonts w:ascii="Arial Narrow" w:hAnsi="Arial Narrow"/>
          </w:rPr>
          <w:t>https://doi.org/10.1007/978-3-031-05472-3_9</w:t>
        </w:r>
      </w:hyperlink>
    </w:p>
    <w:p w14:paraId="41FFDD49"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Filatova, T., Verburg, P.H., Parker, D.C., Stannard, C.A., 2013. Spatial agent-based models for socio-ecological systems: Challenges and prospects. Environmental Modelling and Software 45, 1–7. </w:t>
      </w:r>
      <w:hyperlink r:id="rId20" w:tgtFrame="_new" w:history="1">
        <w:r w:rsidRPr="00C52C29">
          <w:rPr>
            <w:rStyle w:val="Hyperlink"/>
            <w:rFonts w:ascii="Arial Narrow" w:hAnsi="Arial Narrow"/>
          </w:rPr>
          <w:t>https://doi.org/10.1016/j.envsoft.2013.03.017</w:t>
        </w:r>
      </w:hyperlink>
    </w:p>
    <w:p w14:paraId="0FD91F47"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Follmann, A., Willkomm, M., Dannenberg, P., 2021. As the city grows, what do farmers do? A systematic review of urban and peri-urban agriculture under rapid urban growth across the Global South. Landsc Urban Plan. </w:t>
      </w:r>
      <w:hyperlink r:id="rId21" w:tgtFrame="_new" w:history="1">
        <w:r w:rsidRPr="00C52C29">
          <w:rPr>
            <w:rStyle w:val="Hyperlink"/>
            <w:rFonts w:ascii="Arial Narrow" w:hAnsi="Arial Narrow"/>
          </w:rPr>
          <w:t>https://doi.org/10.1016/j.landurbplan.2021.104186</w:t>
        </w:r>
      </w:hyperlink>
    </w:p>
    <w:p w14:paraId="17918D89"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Giuliani, M., Li, Y., Castelletti, A., Gandolfi, C., 2016. A coupled human-natural systems analysis of irrigated agriculture under changing climate. Water Resour Res 52, 6928–6947. </w:t>
      </w:r>
      <w:hyperlink r:id="rId22" w:tgtFrame="_new" w:history="1">
        <w:r w:rsidRPr="00C52C29">
          <w:rPr>
            <w:rStyle w:val="Hyperlink"/>
            <w:rFonts w:ascii="Arial Narrow" w:hAnsi="Arial Narrow"/>
          </w:rPr>
          <w:t>https://doi.org/10.1002/2016WR019363</w:t>
        </w:r>
      </w:hyperlink>
    </w:p>
    <w:p w14:paraId="45EF70B9"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Gonzalez-Salazar, M.A., Venturini, M., Poganietz, W.R., Finkenrath, M., Kirsten, T., Acevedo, H., Spina, P.R., 2016. A general modeling framework to evaluate energy, economy, land-use and GHG emissions nexus for bioenergy exploitation. Appl Energy 178, 223–249. </w:t>
      </w:r>
      <w:hyperlink r:id="rId23" w:tgtFrame="_new" w:history="1">
        <w:r w:rsidRPr="00C52C29">
          <w:rPr>
            <w:rStyle w:val="Hyperlink"/>
            <w:rFonts w:ascii="Arial Narrow" w:hAnsi="Arial Narrow"/>
          </w:rPr>
          <w:t>https://doi.org/10.1016/j.apenergy.2016.06.039</w:t>
        </w:r>
      </w:hyperlink>
    </w:p>
    <w:p w14:paraId="0DC44CA4" w14:textId="77777777" w:rsidR="00C52C29" w:rsidRPr="00C52C29" w:rsidRDefault="00C52C29" w:rsidP="00C52C29">
      <w:pPr>
        <w:spacing w:line="276" w:lineRule="auto"/>
        <w:jc w:val="both"/>
        <w:rPr>
          <w:rFonts w:ascii="Arial Narrow" w:hAnsi="Arial Narrow"/>
          <w:lang w:val="es-419"/>
        </w:rPr>
      </w:pPr>
      <w:r w:rsidRPr="00C52C29">
        <w:rPr>
          <w:rFonts w:ascii="Arial Narrow" w:hAnsi="Arial Narrow"/>
        </w:rPr>
        <w:t xml:space="preserve">Guhl Nannetti, E., 2013. </w:t>
      </w:r>
      <w:r w:rsidRPr="00C52C29">
        <w:rPr>
          <w:rFonts w:ascii="Arial Narrow" w:hAnsi="Arial Narrow"/>
          <w:lang w:val="es-419"/>
        </w:rPr>
        <w:t>La región hídrica de Bogotá. Revista de la Academia Colombiana de Ciencias Exactas 37, 327–341.</w:t>
      </w:r>
    </w:p>
    <w:p w14:paraId="3EBCE47A" w14:textId="77777777" w:rsidR="00C52C29" w:rsidRPr="00C52C29" w:rsidRDefault="00C52C29" w:rsidP="00C52C29">
      <w:pPr>
        <w:spacing w:line="276" w:lineRule="auto"/>
        <w:jc w:val="both"/>
        <w:rPr>
          <w:rFonts w:ascii="Arial Narrow" w:hAnsi="Arial Narrow"/>
        </w:rPr>
      </w:pPr>
      <w:r w:rsidRPr="00C52C29">
        <w:rPr>
          <w:rFonts w:ascii="Arial Narrow" w:hAnsi="Arial Narrow"/>
        </w:rPr>
        <w:t>Haasnoot, M., Kwakkel, J. H., Walker, W. E., &amp; ter Maat, J. (2013). Dynamic adaptive policy pathways: A method for crafting robust decisions for a deeply uncertain world. Global Environmental Change, 23(2), 485–498.</w:t>
      </w:r>
    </w:p>
    <w:p w14:paraId="6F95FF4C" w14:textId="77777777" w:rsidR="00C52C29" w:rsidRPr="00C52C29" w:rsidRDefault="00C52C29" w:rsidP="00C52C29">
      <w:pPr>
        <w:spacing w:line="276" w:lineRule="auto"/>
        <w:jc w:val="both"/>
        <w:rPr>
          <w:rFonts w:ascii="Arial Narrow" w:hAnsi="Arial Narrow"/>
        </w:rPr>
      </w:pPr>
      <w:r w:rsidRPr="00C52C29">
        <w:rPr>
          <w:rFonts w:ascii="Arial Narrow" w:hAnsi="Arial Narrow"/>
        </w:rPr>
        <w:t>Haasnoot, M., et al. (2024). Lessons from a decade of adaptive pathways studies for decision making. Global Environmental Change.</w:t>
      </w:r>
    </w:p>
    <w:p w14:paraId="687004C9"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Hernandez-Suarez, J.S., Woznicki, S.A., Nejadhashemi, A.P., 2020. Multi-site watershed model calibration for evaluating best management practice effectiveness in reducing fecal pollution. Human and Ecological Risk Assessment 26. </w:t>
      </w:r>
      <w:hyperlink r:id="rId24" w:tgtFrame="_new" w:history="1">
        <w:r w:rsidRPr="00C52C29">
          <w:rPr>
            <w:rStyle w:val="Hyperlink"/>
            <w:rFonts w:ascii="Arial Narrow" w:hAnsi="Arial Narrow"/>
          </w:rPr>
          <w:t>https://doi.org/10.1080/10807039.2019.1680526</w:t>
        </w:r>
      </w:hyperlink>
    </w:p>
    <w:p w14:paraId="2C748EBA" w14:textId="77777777" w:rsidR="00C52C29" w:rsidRPr="00C52C29" w:rsidRDefault="00C52C29" w:rsidP="00C52C29">
      <w:pPr>
        <w:spacing w:line="276" w:lineRule="auto"/>
        <w:jc w:val="both"/>
        <w:rPr>
          <w:rFonts w:ascii="Arial Narrow" w:hAnsi="Arial Narrow"/>
        </w:rPr>
      </w:pPr>
      <w:r w:rsidRPr="00C52C29">
        <w:rPr>
          <w:rFonts w:ascii="Arial Narrow" w:hAnsi="Arial Narrow"/>
        </w:rPr>
        <w:lastRenderedPageBreak/>
        <w:t xml:space="preserve">Hung, F., Son, K., Yang, Y.C.E., 2022. Investigating uncertainties in human adaptation and their impacts on water scarcity in the Colorado river Basin, United States. J Hydrol (Amst) 612. </w:t>
      </w:r>
      <w:hyperlink r:id="rId25" w:tgtFrame="_new" w:history="1">
        <w:r w:rsidRPr="00C52C29">
          <w:rPr>
            <w:rStyle w:val="Hyperlink"/>
            <w:rFonts w:ascii="Arial Narrow" w:hAnsi="Arial Narrow"/>
          </w:rPr>
          <w:t>https://doi.org/10.1016/j.jhydrol.2022.128015</w:t>
        </w:r>
      </w:hyperlink>
    </w:p>
    <w:p w14:paraId="0E944B24" w14:textId="77777777" w:rsidR="00C52C29" w:rsidRPr="00C52C29" w:rsidRDefault="00C52C29" w:rsidP="00C52C29">
      <w:pPr>
        <w:spacing w:line="276" w:lineRule="auto"/>
        <w:jc w:val="both"/>
        <w:rPr>
          <w:rFonts w:ascii="Arial Narrow" w:hAnsi="Arial Narrow"/>
          <w:lang w:val="es-419"/>
        </w:rPr>
      </w:pPr>
      <w:r w:rsidRPr="00C52C29">
        <w:rPr>
          <w:rFonts w:ascii="Arial Narrow" w:hAnsi="Arial Narrow"/>
        </w:rPr>
        <w:t xml:space="preserve">Hyun, J.Y., Huang, S.Y., Yang, Y.C.E., Tidwell, V., Macknick, J., 2019. Using a coupled agent-based modeling approach to analyze the role of risk perception in water management decisions. </w:t>
      </w:r>
      <w:r w:rsidRPr="00C52C29">
        <w:rPr>
          <w:rFonts w:ascii="Arial Narrow" w:hAnsi="Arial Narrow"/>
          <w:lang w:val="es-419"/>
        </w:rPr>
        <w:t xml:space="preserve">Hydrol Earth Syst Sci 23, 2261–2278. </w:t>
      </w:r>
      <w:hyperlink r:id="rId26" w:tgtFrame="_new" w:history="1">
        <w:r w:rsidRPr="00C52C29">
          <w:rPr>
            <w:rStyle w:val="Hyperlink"/>
            <w:rFonts w:ascii="Arial Narrow" w:hAnsi="Arial Narrow"/>
            <w:lang w:val="es-419"/>
          </w:rPr>
          <w:t>https://doi.org/10.5194/hess-23-2261-2019</w:t>
        </w:r>
      </w:hyperlink>
    </w:p>
    <w:p w14:paraId="6A136830" w14:textId="77777777" w:rsidR="00C52C29" w:rsidRPr="00C52C29" w:rsidRDefault="00C52C29" w:rsidP="00C52C29">
      <w:pPr>
        <w:spacing w:line="276" w:lineRule="auto"/>
        <w:jc w:val="both"/>
        <w:rPr>
          <w:rFonts w:ascii="Arial Narrow" w:hAnsi="Arial Narrow"/>
          <w:lang w:val="es-419"/>
        </w:rPr>
      </w:pPr>
      <w:r w:rsidRPr="00C52C29">
        <w:rPr>
          <w:rFonts w:ascii="Arial Narrow" w:hAnsi="Arial Narrow"/>
          <w:lang w:val="es-419"/>
        </w:rPr>
        <w:t>IDEAM, 2023. Estudio Nacional del Agua 2022.</w:t>
      </w:r>
    </w:p>
    <w:p w14:paraId="0590D78D" w14:textId="77777777" w:rsidR="00C52C29" w:rsidRPr="00C52C29" w:rsidRDefault="00C52C29" w:rsidP="00C52C29">
      <w:pPr>
        <w:spacing w:line="276" w:lineRule="auto"/>
        <w:jc w:val="both"/>
        <w:rPr>
          <w:rFonts w:ascii="Arial Narrow" w:hAnsi="Arial Narrow"/>
        </w:rPr>
      </w:pPr>
      <w:r w:rsidRPr="00C52C29">
        <w:rPr>
          <w:rFonts w:ascii="Arial Narrow" w:hAnsi="Arial Narrow"/>
          <w:lang w:val="es-419"/>
        </w:rPr>
        <w:t xml:space="preserve">Izquierdo-Tort, S., Restrepo-Zambrano, D., Ozment, S., Acero, N., Bulbena Janer, L., Camacho, J., Villegas Ortiz, L., Arjona, F., Bejarano, P., Mora, M., Garcia, M., 2023. </w:t>
      </w:r>
      <w:r w:rsidRPr="00C52C29">
        <w:rPr>
          <w:rFonts w:ascii="Arial Narrow" w:hAnsi="Arial Narrow"/>
        </w:rPr>
        <w:t xml:space="preserve">Incorporating Natural Infrastructure in Bogotá’s Water System. World Resources Institute. </w:t>
      </w:r>
      <w:hyperlink r:id="rId27" w:tgtFrame="_new" w:history="1">
        <w:r w:rsidRPr="00C52C29">
          <w:rPr>
            <w:rStyle w:val="Hyperlink"/>
            <w:rFonts w:ascii="Arial Narrow" w:hAnsi="Arial Narrow"/>
          </w:rPr>
          <w:t>https://doi.org/10.46830/wrirpt.22.00046</w:t>
        </w:r>
      </w:hyperlink>
    </w:p>
    <w:p w14:paraId="20A9F518"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Jordan, S., Quinn, J., Zaniolo, M., Giuliani, M., Castelletti, A., 2022. Advancing reservoir operations modelling in SWAT to reduce socio-ecological tradeoffs. Environmental Modelling and Software 157. </w:t>
      </w:r>
      <w:hyperlink r:id="rId28" w:tgtFrame="_new" w:history="1">
        <w:r w:rsidRPr="00C52C29">
          <w:rPr>
            <w:rStyle w:val="Hyperlink"/>
            <w:rFonts w:ascii="Arial Narrow" w:hAnsi="Arial Narrow"/>
          </w:rPr>
          <w:t>https://doi.org/10.1016/j.envsoft.2022.105527</w:t>
        </w:r>
      </w:hyperlink>
    </w:p>
    <w:p w14:paraId="332C6E64"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Kahil, T., Parkinson, S., Satoh, Y., Greve, P., Burek, P., Veldkamp, T.I.E., Burtscher, R., Byers, E., Djilali, N., Fischer, G., Krey, V., Langan, S., Riahi, K., Tramberend, S., Wada, Y., 2018. A Continental-Scale Hydroeconomic Model for Integrating Water-Energy-Land Nexus Solutions. Water Resour Res 54, 7511–7533. </w:t>
      </w:r>
      <w:hyperlink r:id="rId29" w:tgtFrame="_new" w:history="1">
        <w:r w:rsidRPr="00C52C29">
          <w:rPr>
            <w:rStyle w:val="Hyperlink"/>
            <w:rFonts w:ascii="Arial Narrow" w:hAnsi="Arial Narrow"/>
          </w:rPr>
          <w:t>https://doi.org/10.1029/2017WR022478</w:t>
        </w:r>
      </w:hyperlink>
    </w:p>
    <w:p w14:paraId="4A93AF8B"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Khan, H.F., Yang, Y.C.E., Xie, H., Ringler, C., 2017. A coupled modeling framework for sustainable watershed management in transboundary river basins. Hydrol Earth Syst Sci 21, 6275–6288. </w:t>
      </w:r>
      <w:hyperlink r:id="rId30" w:tgtFrame="_new" w:history="1">
        <w:r w:rsidRPr="00C52C29">
          <w:rPr>
            <w:rStyle w:val="Hyperlink"/>
            <w:rFonts w:ascii="Arial Narrow" w:hAnsi="Arial Narrow"/>
          </w:rPr>
          <w:t>https://doi.org/10.5194/hess-21-6275-2017</w:t>
        </w:r>
      </w:hyperlink>
    </w:p>
    <w:p w14:paraId="1EC250B3"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Klassert, C., Yoon, J., Sigel, K., Klauer, B., Talozi, S., Lachaut, T., Selby, P., Knox, S., Avisse, N., Tilmant, A., Harou, J.J., Mustafa, D., Medellín-Azuara, J., Bataineh, B., Zhang, H., Gawel, E., Gorelick, S.M., 2023. Unexpected growth of an illegal water market. Nat Sustain 6, 1406–1417. </w:t>
      </w:r>
      <w:hyperlink r:id="rId31" w:tgtFrame="_new" w:history="1">
        <w:r w:rsidRPr="00C52C29">
          <w:rPr>
            <w:rStyle w:val="Hyperlink"/>
            <w:rFonts w:ascii="Arial Narrow" w:hAnsi="Arial Narrow"/>
          </w:rPr>
          <w:t>https://doi.org/10.1038/s41893-023-01177-7</w:t>
        </w:r>
      </w:hyperlink>
    </w:p>
    <w:p w14:paraId="1F9E9768" w14:textId="77777777" w:rsidR="00C52C29" w:rsidRPr="00C52C29" w:rsidRDefault="00C52C29" w:rsidP="00C52C29">
      <w:pPr>
        <w:spacing w:line="276" w:lineRule="auto"/>
        <w:jc w:val="both"/>
        <w:rPr>
          <w:rFonts w:ascii="Arial Narrow" w:hAnsi="Arial Narrow"/>
          <w:lang w:val="fr-FR"/>
        </w:rPr>
      </w:pPr>
      <w:r w:rsidRPr="00C52C29">
        <w:rPr>
          <w:rFonts w:ascii="Arial Narrow" w:hAnsi="Arial Narrow"/>
        </w:rPr>
        <w:t xml:space="preserve">Kurian, M., 2017. The water-energy-food nexus: Trade-offs, thresholds and transdisciplinary approaches to sustainable development. </w:t>
      </w:r>
      <w:r w:rsidRPr="00C52C29">
        <w:rPr>
          <w:rFonts w:ascii="Arial Narrow" w:hAnsi="Arial Narrow"/>
          <w:lang w:val="fr-FR"/>
        </w:rPr>
        <w:t xml:space="preserve">Environ Sci Policy 68, 97–106. </w:t>
      </w:r>
      <w:hyperlink r:id="rId32" w:tgtFrame="_new" w:history="1">
        <w:r w:rsidRPr="00C52C29">
          <w:rPr>
            <w:rStyle w:val="Hyperlink"/>
            <w:rFonts w:ascii="Arial Narrow" w:hAnsi="Arial Narrow"/>
            <w:lang w:val="fr-FR"/>
          </w:rPr>
          <w:t>https://doi.org/10.1016/j.envsci.2016.11.006</w:t>
        </w:r>
      </w:hyperlink>
    </w:p>
    <w:p w14:paraId="222322FC" w14:textId="77777777" w:rsidR="00C52C29" w:rsidRPr="00C52C29" w:rsidRDefault="00C52C29" w:rsidP="00C52C29">
      <w:pPr>
        <w:spacing w:line="276" w:lineRule="auto"/>
        <w:jc w:val="both"/>
        <w:rPr>
          <w:rFonts w:ascii="Arial Narrow" w:hAnsi="Arial Narrow"/>
        </w:rPr>
      </w:pPr>
      <w:r w:rsidRPr="00C52C29">
        <w:rPr>
          <w:rFonts w:ascii="Arial Narrow" w:hAnsi="Arial Narrow"/>
          <w:lang w:val="fr-FR"/>
        </w:rPr>
        <w:t xml:space="preserve">Lempert, R. J. (2019). </w:t>
      </w:r>
      <w:r w:rsidRPr="00C52C29">
        <w:rPr>
          <w:rFonts w:ascii="Arial Narrow" w:hAnsi="Arial Narrow"/>
        </w:rPr>
        <w:t>Robust Decision Making (RDM). In: Marchau, V. A. W. J., Walker, W. E., Bloemen, P. J. T. M., &amp; Popper, S. W. (Eds.), Decision Making under Deep Uncertainty: From Theory to Practice. Springer.</w:t>
      </w:r>
    </w:p>
    <w:p w14:paraId="3901EBD9"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Lempert, R.J., Collins, M.T., 2007. Managing the risk of uncertain threshold responses: Comparison of robust, optimum, and precautionary approaches. Risk Analysis 27, 1009–1026. </w:t>
      </w:r>
      <w:hyperlink r:id="rId33" w:tgtFrame="_new" w:history="1">
        <w:r w:rsidRPr="00C52C29">
          <w:rPr>
            <w:rStyle w:val="Hyperlink"/>
            <w:rFonts w:ascii="Arial Narrow" w:hAnsi="Arial Narrow"/>
          </w:rPr>
          <w:t>https://doi.org/10.1111/j.1539-6924.2007.00940.x</w:t>
        </w:r>
      </w:hyperlink>
    </w:p>
    <w:p w14:paraId="19C1B68E" w14:textId="77777777" w:rsidR="00C52C29" w:rsidRPr="00C52C29" w:rsidRDefault="00C52C29" w:rsidP="00C52C29">
      <w:pPr>
        <w:spacing w:line="276" w:lineRule="auto"/>
        <w:jc w:val="both"/>
        <w:rPr>
          <w:rFonts w:ascii="Arial Narrow" w:hAnsi="Arial Narrow"/>
          <w:lang w:val="es-419"/>
        </w:rPr>
      </w:pPr>
      <w:r w:rsidRPr="00C52C29">
        <w:rPr>
          <w:rFonts w:ascii="Arial Narrow" w:hAnsi="Arial Narrow"/>
        </w:rPr>
        <w:t xml:space="preserve">López-Carr, D., Davis, J., Jankowska, M.M., Grant, L., López-Carr, A.C., Clark, M., 2012. Space versus place in complex human-natural systems: Spatial and multi-level models of tropical land use and cover change (LUCC) in Guatemala. </w:t>
      </w:r>
      <w:r w:rsidRPr="00C52C29">
        <w:rPr>
          <w:rFonts w:ascii="Arial Narrow" w:hAnsi="Arial Narrow"/>
          <w:lang w:val="es-419"/>
        </w:rPr>
        <w:t xml:space="preserve">Ecol Modell 229, 64–75. </w:t>
      </w:r>
      <w:hyperlink r:id="rId34" w:tgtFrame="_new" w:history="1">
        <w:r w:rsidRPr="00C52C29">
          <w:rPr>
            <w:rStyle w:val="Hyperlink"/>
            <w:rFonts w:ascii="Arial Narrow" w:hAnsi="Arial Narrow"/>
            <w:lang w:val="es-419"/>
          </w:rPr>
          <w:t>https://doi.org/10.1016/j.ecolmodel.2011.08.020</w:t>
        </w:r>
      </w:hyperlink>
    </w:p>
    <w:p w14:paraId="37852D71" w14:textId="77777777" w:rsidR="00C52C29" w:rsidRPr="00C52C29" w:rsidRDefault="00C52C29" w:rsidP="00C52C29">
      <w:pPr>
        <w:spacing w:line="276" w:lineRule="auto"/>
        <w:jc w:val="both"/>
        <w:rPr>
          <w:rFonts w:ascii="Arial Narrow" w:hAnsi="Arial Narrow"/>
        </w:rPr>
      </w:pPr>
      <w:r w:rsidRPr="00C52C29">
        <w:rPr>
          <w:rFonts w:ascii="Arial Narrow" w:hAnsi="Arial Narrow"/>
          <w:lang w:val="es-419"/>
        </w:rPr>
        <w:lastRenderedPageBreak/>
        <w:t xml:space="preserve">Mahlknecht, J., González-Bravo, R., Loge, F.J., 2020. </w:t>
      </w:r>
      <w:r w:rsidRPr="00C52C29">
        <w:rPr>
          <w:rFonts w:ascii="Arial Narrow" w:hAnsi="Arial Narrow"/>
        </w:rPr>
        <w:t xml:space="preserve">Water-energy-food security: A Nexus perspective of the current situation in Latin America and the Caribbean. Energy. </w:t>
      </w:r>
      <w:hyperlink r:id="rId35" w:tgtFrame="_new" w:history="1">
        <w:r w:rsidRPr="00C52C29">
          <w:rPr>
            <w:rStyle w:val="Hyperlink"/>
            <w:rFonts w:ascii="Arial Narrow" w:hAnsi="Arial Narrow"/>
          </w:rPr>
          <w:t>https://doi.org/10.1016/j.energy.2019.116824</w:t>
        </w:r>
      </w:hyperlink>
    </w:p>
    <w:p w14:paraId="0B2D2950"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Mao, F., Khamis, K., Krause, S., Clark, J., Hannah, D.M., 2019. Low-Cost Environmental Sensor Networks: Recent Advances and Future Directions. Front Earth Sci (Lausanne). </w:t>
      </w:r>
      <w:hyperlink r:id="rId36" w:tgtFrame="_new" w:history="1">
        <w:r w:rsidRPr="00C52C29">
          <w:rPr>
            <w:rStyle w:val="Hyperlink"/>
            <w:rFonts w:ascii="Arial Narrow" w:hAnsi="Arial Narrow"/>
          </w:rPr>
          <w:t>https://doi.org/10.3389/feart.2019.00221</w:t>
        </w:r>
      </w:hyperlink>
    </w:p>
    <w:p w14:paraId="5E968CB2" w14:textId="77777777" w:rsidR="00C52C29" w:rsidRPr="00C52C29" w:rsidRDefault="00C52C29" w:rsidP="00C52C29">
      <w:pPr>
        <w:spacing w:line="276" w:lineRule="auto"/>
        <w:jc w:val="both"/>
        <w:rPr>
          <w:rFonts w:ascii="Arial Narrow" w:hAnsi="Arial Narrow"/>
        </w:rPr>
      </w:pPr>
      <w:r w:rsidRPr="00C52C29">
        <w:rPr>
          <w:rFonts w:ascii="Arial Narrow" w:hAnsi="Arial Narrow"/>
        </w:rPr>
        <w:t>Marchau, V. A. W. J., Walker, W. E., Bloemen, P. J. T. M., &amp; Popper, S. W. (Eds.). (2019). Decision Making under Deep Uncertainty: From Theory to Practice. Springer (open access).</w:t>
      </w:r>
    </w:p>
    <w:p w14:paraId="50A07010"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Moallemi, E.A., Kwakkel, J., de Haan, F.J., Bryan, B.A., 2020. Exploratory modeling for analyzing coupled human-natural systems under uncertainty. Global Environmental Change 65. </w:t>
      </w:r>
      <w:hyperlink r:id="rId37" w:tgtFrame="_new" w:history="1">
        <w:r w:rsidRPr="00C52C29">
          <w:rPr>
            <w:rStyle w:val="Hyperlink"/>
            <w:rFonts w:ascii="Arial Narrow" w:hAnsi="Arial Narrow"/>
          </w:rPr>
          <w:t>https://doi.org/10.1016/j.gloenvcha.2020.102186</w:t>
        </w:r>
      </w:hyperlink>
    </w:p>
    <w:p w14:paraId="35F80921"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Mondejar, M.E., Avtar, R., Diaz, H.L.B., Dubey, R.K., Esteban, J., Gómez-Morales, A., Hallam, B., Mbungu, N.T., Okolo, C.C., Prasad, K.A., She, Q., Garcia-Segura, S., 2021. Digitalization to achieve sustainable development goals: Steps towards a Smart Green Planet. Science of the Total Environment. </w:t>
      </w:r>
      <w:hyperlink r:id="rId38" w:tgtFrame="_new" w:history="1">
        <w:r w:rsidRPr="00C52C29">
          <w:rPr>
            <w:rStyle w:val="Hyperlink"/>
            <w:rFonts w:ascii="Arial Narrow" w:hAnsi="Arial Narrow"/>
          </w:rPr>
          <w:t>https://doi.org/10.1016/j.scitotenv.2021.148539</w:t>
        </w:r>
      </w:hyperlink>
    </w:p>
    <w:p w14:paraId="0782FF5F" w14:textId="77777777" w:rsidR="00C52C29" w:rsidRPr="00C52C29" w:rsidRDefault="00C52C29" w:rsidP="00C52C29">
      <w:pPr>
        <w:spacing w:line="276" w:lineRule="auto"/>
        <w:jc w:val="both"/>
        <w:rPr>
          <w:rFonts w:ascii="Arial Narrow" w:hAnsi="Arial Narrow"/>
        </w:rPr>
      </w:pPr>
      <w:r w:rsidRPr="00C52C29">
        <w:rPr>
          <w:rFonts w:ascii="Arial Narrow" w:hAnsi="Arial Narrow"/>
        </w:rPr>
        <w:t>Neitsch, S.L., Arnold, J.G., Kiniry, J.R., Williams, J.R., 2011. Soil and Water Assessment Tool Theoretical Documentation Version 2009.</w:t>
      </w:r>
    </w:p>
    <w:p w14:paraId="478BA4D2"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Njue, N., Stenfert Kroese, J., Gräf, J., Jacobs, S.R., Weeser, B., Breuer, L., Rufino, M.C., 2019. Citizen science in hydrological monitoring and ecosystem services management: State of the art and future prospects. Science of the Total Environment. </w:t>
      </w:r>
      <w:hyperlink r:id="rId39" w:tgtFrame="_new" w:history="1">
        <w:r w:rsidRPr="00C52C29">
          <w:rPr>
            <w:rStyle w:val="Hyperlink"/>
            <w:rFonts w:ascii="Arial Narrow" w:hAnsi="Arial Narrow"/>
          </w:rPr>
          <w:t>https://doi.org/10.1016/j.scitotenv.2019.07.337</w:t>
        </w:r>
      </w:hyperlink>
    </w:p>
    <w:p w14:paraId="533EE6CD"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Pan, H., Deal, B., Destouni, G., Zhang, Y., Kalantari, Z., 2018. Sociohydrology modeling for complex urban environments in support of integrated land and water resource management practices. Land Degrad Dev 29, 3639–3652. </w:t>
      </w:r>
      <w:hyperlink r:id="rId40" w:tgtFrame="_new" w:history="1">
        <w:r w:rsidRPr="00C52C29">
          <w:rPr>
            <w:rStyle w:val="Hyperlink"/>
            <w:rFonts w:ascii="Arial Narrow" w:hAnsi="Arial Narrow"/>
          </w:rPr>
          <w:t>https://doi.org/10.1002/ldr.3106</w:t>
        </w:r>
      </w:hyperlink>
    </w:p>
    <w:p w14:paraId="2F29307F" w14:textId="77777777" w:rsidR="00C52C29" w:rsidRPr="00C52C29" w:rsidRDefault="00C52C29" w:rsidP="00C52C29">
      <w:pPr>
        <w:spacing w:line="276" w:lineRule="auto"/>
        <w:jc w:val="both"/>
        <w:rPr>
          <w:rFonts w:ascii="Arial Narrow" w:hAnsi="Arial Narrow"/>
          <w:lang w:val="fr-FR"/>
        </w:rPr>
      </w:pPr>
      <w:r w:rsidRPr="00C52C29">
        <w:rPr>
          <w:rFonts w:ascii="Arial Narrow" w:hAnsi="Arial Narrow"/>
        </w:rPr>
        <w:t xml:space="preserve">Pimentel, J.N., Rogéliz Prada, C.A., Walschburger, T., 2021. Hydrological Modeling for Multifunctional Landscape Planning in the Orinoquia Region of Colombia. </w:t>
      </w:r>
      <w:r w:rsidRPr="00C52C29">
        <w:rPr>
          <w:rFonts w:ascii="Arial Narrow" w:hAnsi="Arial Narrow"/>
          <w:lang w:val="fr-FR"/>
        </w:rPr>
        <w:t xml:space="preserve">Front Environ Sci 9. </w:t>
      </w:r>
      <w:hyperlink r:id="rId41" w:tgtFrame="_new" w:history="1">
        <w:r w:rsidRPr="00C52C29">
          <w:rPr>
            <w:rStyle w:val="Hyperlink"/>
            <w:rFonts w:ascii="Arial Narrow" w:hAnsi="Arial Narrow"/>
            <w:lang w:val="fr-FR"/>
          </w:rPr>
          <w:t>https://doi.org/10.3389/fenvs.2021.673215</w:t>
        </w:r>
      </w:hyperlink>
    </w:p>
    <w:p w14:paraId="5A3652CC" w14:textId="77777777" w:rsidR="00C52C29" w:rsidRPr="00C52C29" w:rsidRDefault="00C52C29" w:rsidP="00C52C29">
      <w:pPr>
        <w:spacing w:line="276" w:lineRule="auto"/>
        <w:jc w:val="both"/>
        <w:rPr>
          <w:rFonts w:ascii="Arial Narrow" w:hAnsi="Arial Narrow"/>
        </w:rPr>
      </w:pPr>
      <w:r w:rsidRPr="00C52C29">
        <w:rPr>
          <w:rFonts w:ascii="Arial Narrow" w:hAnsi="Arial Narrow"/>
          <w:lang w:val="fr-FR"/>
        </w:rPr>
        <w:t xml:space="preserve">Ponnambalam, K., Mousavi, S.J., 2020. </w:t>
      </w:r>
      <w:r w:rsidRPr="00C52C29">
        <w:rPr>
          <w:rFonts w:ascii="Arial Narrow" w:hAnsi="Arial Narrow"/>
        </w:rPr>
        <w:t xml:space="preserve">CHNS Modeling for study and management of human-water interactions at multiple scales. Water (Switzerland). </w:t>
      </w:r>
      <w:hyperlink r:id="rId42" w:tgtFrame="_new" w:history="1">
        <w:r w:rsidRPr="00C52C29">
          <w:rPr>
            <w:rStyle w:val="Hyperlink"/>
            <w:rFonts w:ascii="Arial Narrow" w:hAnsi="Arial Narrow"/>
          </w:rPr>
          <w:t>https://doi.org/10.3390/W12061699</w:t>
        </w:r>
      </w:hyperlink>
    </w:p>
    <w:p w14:paraId="71135411"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Raschke, A., Hernandez-Suarez, J.S., Nejadhashemi, A.P., Deb, K., 2021. Multidimensional aspects of sustainable biofuel feedstock production. Sustainability (Switzerland) 13. </w:t>
      </w:r>
      <w:hyperlink r:id="rId43" w:tgtFrame="_new" w:history="1">
        <w:r w:rsidRPr="00C52C29">
          <w:rPr>
            <w:rStyle w:val="Hyperlink"/>
            <w:rFonts w:ascii="Arial Narrow" w:hAnsi="Arial Narrow"/>
          </w:rPr>
          <w:t>https://doi.org/10.3390/su13031424</w:t>
        </w:r>
      </w:hyperlink>
    </w:p>
    <w:p w14:paraId="0D8D08F7"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Reed, P.M., Hadjimichael, A., Moss, R.H., Brelsford, C., Burleyson, C.D., Cohen, S., Dyreson, A., Gold, D.F., Gupta, R.S., Keller, K., Konar, M., Monier, E., Morris, J., Srikrishnan, V., Voisin, N., Yoon, J., 2022. Multisector Dynamics: Advancing the Science of Complex Adaptive Human-Earth Systems. Earths Future. </w:t>
      </w:r>
      <w:hyperlink r:id="rId44" w:tgtFrame="_new" w:history="1">
        <w:r w:rsidRPr="00C52C29">
          <w:rPr>
            <w:rStyle w:val="Hyperlink"/>
            <w:rFonts w:ascii="Arial Narrow" w:hAnsi="Arial Narrow"/>
          </w:rPr>
          <w:t>https://doi.org/10.1029/2021EF002621</w:t>
        </w:r>
      </w:hyperlink>
    </w:p>
    <w:p w14:paraId="769D97B6" w14:textId="77777777" w:rsidR="00C52C29" w:rsidRPr="00C52C29" w:rsidRDefault="00C52C29" w:rsidP="00C52C29">
      <w:pPr>
        <w:spacing w:line="276" w:lineRule="auto"/>
        <w:jc w:val="both"/>
        <w:rPr>
          <w:rFonts w:ascii="Arial Narrow" w:hAnsi="Arial Narrow"/>
        </w:rPr>
      </w:pPr>
      <w:r w:rsidRPr="00C52C29">
        <w:rPr>
          <w:rFonts w:ascii="Arial Narrow" w:hAnsi="Arial Narrow"/>
        </w:rPr>
        <w:lastRenderedPageBreak/>
        <w:t xml:space="preserve">Reeves, H.W., Zellner, M.L., 2010. Linking MODFLOW with an agent-based land-use model to support decision making. Ground Water 48, 649–660. </w:t>
      </w:r>
      <w:hyperlink r:id="rId45" w:tgtFrame="_new" w:history="1">
        <w:r w:rsidRPr="00C52C29">
          <w:rPr>
            <w:rStyle w:val="Hyperlink"/>
            <w:rFonts w:ascii="Arial Narrow" w:hAnsi="Arial Narrow"/>
          </w:rPr>
          <w:t>https://doi.org/10.1111/j.1745-6584.2010.00677.x</w:t>
        </w:r>
      </w:hyperlink>
    </w:p>
    <w:p w14:paraId="16D212DC"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Rimal, B., Zhang, L., Keshtkar, H., Wang, N., Lin, Y., 2017. Monitoring and modeling of spatiotemporal urban expansion and land-use/land-cover change using integrated Markov chain cellular automata model. ISPRS Int J Geoinf 6. </w:t>
      </w:r>
      <w:hyperlink r:id="rId46" w:tgtFrame="_new" w:history="1">
        <w:r w:rsidRPr="00C52C29">
          <w:rPr>
            <w:rStyle w:val="Hyperlink"/>
            <w:rFonts w:ascii="Arial Narrow" w:hAnsi="Arial Narrow"/>
          </w:rPr>
          <w:t>https://doi.org/10.3390/ijgi6090288</w:t>
        </w:r>
      </w:hyperlink>
    </w:p>
    <w:p w14:paraId="142A5193"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Roque, A., Wutich, A., Quimby, B., Porter, S., Zheng, M., Hossain, M.J., Brewis, A., 2022. Participatory approaches in water research: A review. Wiley Interdisciplinary Reviews: Water. </w:t>
      </w:r>
      <w:hyperlink r:id="rId47" w:tgtFrame="_new" w:history="1">
        <w:r w:rsidRPr="00C52C29">
          <w:rPr>
            <w:rStyle w:val="Hyperlink"/>
            <w:rFonts w:ascii="Arial Narrow" w:hAnsi="Arial Narrow"/>
          </w:rPr>
          <w:t>https://doi.org/10.1002/wat2.1577</w:t>
        </w:r>
      </w:hyperlink>
    </w:p>
    <w:p w14:paraId="36882B1A"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Samaniego, L., Kumar, R., Attinger, S., 2010. Multiscale parameter regionalization of a grid-based hydrologic model at the mesoscale. Water Resour Res 46. </w:t>
      </w:r>
      <w:hyperlink r:id="rId48" w:tgtFrame="_new" w:history="1">
        <w:r w:rsidRPr="00C52C29">
          <w:rPr>
            <w:rStyle w:val="Hyperlink"/>
            <w:rFonts w:ascii="Arial Narrow" w:hAnsi="Arial Narrow"/>
          </w:rPr>
          <w:t>https://doi.org/10.1029/2008WR007327</w:t>
        </w:r>
      </w:hyperlink>
    </w:p>
    <w:p w14:paraId="20EA4EDA"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Santos Santos, T.F., Camacho, L.A., 2022. An Integrated Water Quality Model to Support Multiscale Decisions in a Highly Altered Catchment. Water (Switzerland) 14. </w:t>
      </w:r>
      <w:hyperlink r:id="rId49" w:tgtFrame="_new" w:history="1">
        <w:r w:rsidRPr="00C52C29">
          <w:rPr>
            <w:rStyle w:val="Hyperlink"/>
            <w:rFonts w:ascii="Arial Narrow" w:hAnsi="Arial Narrow"/>
          </w:rPr>
          <w:t>https://doi.org/10.3390/w14030374</w:t>
        </w:r>
      </w:hyperlink>
    </w:p>
    <w:p w14:paraId="57DFC2D5"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Science, 2023. In Uruguay, a water crisis is upending research [WWW Document]. URL </w:t>
      </w:r>
      <w:hyperlink r:id="rId50" w:tgtFrame="_new" w:history="1">
        <w:r w:rsidRPr="00C52C29">
          <w:rPr>
            <w:rStyle w:val="Hyperlink"/>
            <w:rFonts w:ascii="Arial Narrow" w:hAnsi="Arial Narrow"/>
          </w:rPr>
          <w:t>https://www.science.org/content/article/uruguay-water-crisis-upending-research</w:t>
        </w:r>
      </w:hyperlink>
      <w:r w:rsidRPr="00C52C29">
        <w:rPr>
          <w:rFonts w:ascii="Arial Narrow" w:hAnsi="Arial Narrow"/>
        </w:rPr>
        <w:t xml:space="preserve"> (accessed 6.12.24).</w:t>
      </w:r>
    </w:p>
    <w:p w14:paraId="3E4243B7"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Shen, C., Appling, A.P., Gentine, P., Bandai, T., Gupta, H., Tartakovsky, A., Baity-Jesi, M., Fenicia, F., Kifer, D., Li, L., Liu, X., Ren, W., Zheng, Y., Harman, C.J., Clark, M., Farthing, M., Feng, D., Kumar, P., Aboelyazeed, D., Rahmani, F., Song, Y., Beck, H.E., Bindas, T., Dwivedi, D., Fang, K., Höge, M., Rackauckas, C., Mohanty, B., Roy, T., Xu, C., Lawson, K., 2023. Differentiable modelling to unify machine learning and physical models for geosciences. Nat Rev Earth Environ 4, 552–567. </w:t>
      </w:r>
      <w:hyperlink r:id="rId51" w:tgtFrame="_new" w:history="1">
        <w:r w:rsidRPr="00C52C29">
          <w:rPr>
            <w:rStyle w:val="Hyperlink"/>
            <w:rFonts w:ascii="Arial Narrow" w:hAnsi="Arial Narrow"/>
          </w:rPr>
          <w:t>https://doi.org/10.1038/s43017-023-00450-9</w:t>
        </w:r>
      </w:hyperlink>
    </w:p>
    <w:p w14:paraId="0F2C9142"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Sivapalan, M., Blöschl, G., 2015. Time scale interactions and the coevolution of humans and water. Water Resour Res. </w:t>
      </w:r>
      <w:hyperlink r:id="rId52" w:tgtFrame="_new" w:history="1">
        <w:r w:rsidRPr="00C52C29">
          <w:rPr>
            <w:rStyle w:val="Hyperlink"/>
            <w:rFonts w:ascii="Arial Narrow" w:hAnsi="Arial Narrow"/>
          </w:rPr>
          <w:t>https://doi.org/10.1002/2015WR017896</w:t>
        </w:r>
      </w:hyperlink>
    </w:p>
    <w:p w14:paraId="3BCD5948" w14:textId="77777777" w:rsidR="00C52C29" w:rsidRPr="00C52C29" w:rsidRDefault="00C52C29" w:rsidP="00C52C29">
      <w:pPr>
        <w:spacing w:line="276" w:lineRule="auto"/>
        <w:jc w:val="both"/>
        <w:rPr>
          <w:rFonts w:ascii="Arial Narrow" w:hAnsi="Arial Narrow"/>
          <w:lang w:val="es-419"/>
        </w:rPr>
      </w:pPr>
      <w:r w:rsidRPr="00C52C29">
        <w:rPr>
          <w:rFonts w:ascii="Arial Narrow" w:hAnsi="Arial Narrow"/>
        </w:rPr>
        <w:t xml:space="preserve">Souza, F.A.A., Samprogna Mohor, G., Guzmán Arias, D.A., Buarque, A.C.S., Taffarello, D., Mendiondo, E.M., 2023. Droughts in São Paulo: challenges and lessons for a water-adaptive society. </w:t>
      </w:r>
      <w:r w:rsidRPr="00C52C29">
        <w:rPr>
          <w:rFonts w:ascii="Arial Narrow" w:hAnsi="Arial Narrow"/>
          <w:lang w:val="es-419"/>
        </w:rPr>
        <w:t xml:space="preserve">Urban Water J 20, 1682–1694. </w:t>
      </w:r>
      <w:hyperlink r:id="rId53" w:tgtFrame="_new" w:history="1">
        <w:r w:rsidRPr="00C52C29">
          <w:rPr>
            <w:rStyle w:val="Hyperlink"/>
            <w:rFonts w:ascii="Arial Narrow" w:hAnsi="Arial Narrow"/>
            <w:lang w:val="es-419"/>
          </w:rPr>
          <w:t>https://doi.org/10.1080/1573062X.2022.2047735</w:t>
        </w:r>
      </w:hyperlink>
    </w:p>
    <w:p w14:paraId="4FE703DC" w14:textId="77777777" w:rsidR="00C52C29" w:rsidRPr="00C52C29" w:rsidRDefault="00C52C29" w:rsidP="00C52C29">
      <w:pPr>
        <w:spacing w:line="276" w:lineRule="auto"/>
        <w:jc w:val="both"/>
        <w:rPr>
          <w:rFonts w:ascii="Arial Narrow" w:hAnsi="Arial Narrow"/>
        </w:rPr>
      </w:pPr>
      <w:r w:rsidRPr="00C52C29">
        <w:rPr>
          <w:rFonts w:ascii="Arial Narrow" w:hAnsi="Arial Narrow"/>
          <w:lang w:val="es-419"/>
        </w:rPr>
        <w:t>Torres, C., Gitau, M., Lara</w:t>
      </w:r>
      <w:r w:rsidRPr="00C52C29">
        <w:rPr>
          <w:rFonts w:ascii="Cambria Math" w:hAnsi="Cambria Math" w:cs="Cambria Math"/>
          <w:lang w:val="es-419"/>
        </w:rPr>
        <w:t>‐</w:t>
      </w:r>
      <w:r w:rsidRPr="00C52C29">
        <w:rPr>
          <w:rFonts w:ascii="Arial Narrow" w:hAnsi="Arial Narrow"/>
          <w:lang w:val="es-419"/>
        </w:rPr>
        <w:t>Borrero, J., Paredes</w:t>
      </w:r>
      <w:r w:rsidRPr="00C52C29">
        <w:rPr>
          <w:rFonts w:ascii="Cambria Math" w:hAnsi="Cambria Math" w:cs="Cambria Math"/>
          <w:lang w:val="es-419"/>
        </w:rPr>
        <w:t>‐</w:t>
      </w:r>
      <w:r w:rsidRPr="00C52C29">
        <w:rPr>
          <w:rFonts w:ascii="Arial Narrow" w:hAnsi="Arial Narrow"/>
          <w:lang w:val="es-419"/>
        </w:rPr>
        <w:t xml:space="preserve">Cuervo, D., 2020. </w:t>
      </w:r>
      <w:r w:rsidRPr="00C52C29">
        <w:rPr>
          <w:rFonts w:ascii="Arial Narrow" w:hAnsi="Arial Narrow"/>
        </w:rPr>
        <w:t>Framework for water management in the food</w:t>
      </w:r>
      <w:r w:rsidRPr="00C52C29">
        <w:rPr>
          <w:rFonts w:ascii="Cambria Math" w:hAnsi="Cambria Math" w:cs="Cambria Math"/>
        </w:rPr>
        <w:t>‐</w:t>
      </w:r>
      <w:r w:rsidRPr="00C52C29">
        <w:rPr>
          <w:rFonts w:ascii="Arial Narrow" w:hAnsi="Arial Narrow"/>
        </w:rPr>
        <w:t xml:space="preserve"> energy</w:t>
      </w:r>
      <w:r w:rsidRPr="00C52C29">
        <w:rPr>
          <w:rFonts w:ascii="Cambria Math" w:hAnsi="Cambria Math" w:cs="Cambria Math"/>
        </w:rPr>
        <w:t>‐</w:t>
      </w:r>
      <w:r w:rsidRPr="00C52C29">
        <w:rPr>
          <w:rFonts w:ascii="Arial Narrow" w:hAnsi="Arial Narrow"/>
        </w:rPr>
        <w:t>water (FEW) nexus in mixed land</w:t>
      </w:r>
      <w:r w:rsidRPr="00C52C29">
        <w:rPr>
          <w:rFonts w:ascii="Cambria Math" w:hAnsi="Cambria Math" w:cs="Cambria Math"/>
        </w:rPr>
        <w:t>‐</w:t>
      </w:r>
      <w:r w:rsidRPr="00C52C29">
        <w:rPr>
          <w:rFonts w:ascii="Arial Narrow" w:hAnsi="Arial Narrow"/>
        </w:rPr>
        <w:t>use watersheds in Colombia. Sustainability (Switzerland) 12, 1</w:t>
      </w:r>
      <w:r w:rsidRPr="00C52C29">
        <w:rPr>
          <w:rFonts w:ascii="Arial Narrow" w:hAnsi="Arial Narrow" w:cs="Arial Narrow"/>
        </w:rPr>
        <w:t>–</w:t>
      </w:r>
      <w:r w:rsidRPr="00C52C29">
        <w:rPr>
          <w:rFonts w:ascii="Arial Narrow" w:hAnsi="Arial Narrow"/>
        </w:rPr>
        <w:t xml:space="preserve">27. </w:t>
      </w:r>
      <w:hyperlink r:id="rId54" w:tgtFrame="_new" w:history="1">
        <w:r w:rsidRPr="00C52C29">
          <w:rPr>
            <w:rStyle w:val="Hyperlink"/>
            <w:rFonts w:ascii="Arial Narrow" w:hAnsi="Arial Narrow"/>
          </w:rPr>
          <w:t>https://doi.org/10.3390/su122410332</w:t>
        </w:r>
      </w:hyperlink>
    </w:p>
    <w:p w14:paraId="6C8BED8E"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Toscano, G., Hernandez-Suarez, J.S., Blank, J., Nejadhashemi, P., Deb, K., Linker, L., 2022. Large-scale Multi-objective Optimization for Water Quality in Chesapeake Bay Watershed, in: 2022 IEEE Congress on Evolutionary Computation, CEC 2022 - Conference Proceedings. </w:t>
      </w:r>
      <w:hyperlink r:id="rId55" w:tgtFrame="_new" w:history="1">
        <w:r w:rsidRPr="00C52C29">
          <w:rPr>
            <w:rStyle w:val="Hyperlink"/>
            <w:rFonts w:ascii="Arial Narrow" w:hAnsi="Arial Narrow"/>
          </w:rPr>
          <w:t>https://doi.org/10.1109/CEC55065.2022.9870286</w:t>
        </w:r>
      </w:hyperlink>
    </w:p>
    <w:p w14:paraId="4F254A3C"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UN, 2015. Transforming our world: the 2030 Agenda for Sustainable Development | Department of Economic and Social Affairs [WWW Document]. URL </w:t>
      </w:r>
      <w:hyperlink r:id="rId56" w:tgtFrame="_new" w:history="1">
        <w:r w:rsidRPr="00C52C29">
          <w:rPr>
            <w:rStyle w:val="Hyperlink"/>
            <w:rFonts w:ascii="Arial Narrow" w:hAnsi="Arial Narrow"/>
          </w:rPr>
          <w:t>https://sdgs.un.org/2030agenda</w:t>
        </w:r>
      </w:hyperlink>
      <w:r w:rsidRPr="00C52C29">
        <w:rPr>
          <w:rFonts w:ascii="Arial Narrow" w:hAnsi="Arial Narrow"/>
        </w:rPr>
        <w:t xml:space="preserve"> (accessed 6.12.24).</w:t>
      </w:r>
    </w:p>
    <w:p w14:paraId="649DBE21" w14:textId="77777777" w:rsidR="00C52C29" w:rsidRPr="00C52C29" w:rsidRDefault="00C52C29" w:rsidP="00C52C29">
      <w:pPr>
        <w:spacing w:line="276" w:lineRule="auto"/>
        <w:jc w:val="both"/>
        <w:rPr>
          <w:rFonts w:ascii="Arial Narrow" w:hAnsi="Arial Narrow"/>
        </w:rPr>
      </w:pPr>
      <w:r w:rsidRPr="00C52C29">
        <w:rPr>
          <w:rFonts w:ascii="Arial Narrow" w:hAnsi="Arial Narrow"/>
        </w:rPr>
        <w:lastRenderedPageBreak/>
        <w:t xml:space="preserve">Yang, Y.C.E., Son, K., Hung, F., Tidwell, V., 2020. Impact of climate change on adaptive management decisions in the face of water scarcity. J Hydrol (Amst) 588. </w:t>
      </w:r>
      <w:hyperlink r:id="rId57" w:tgtFrame="_new" w:history="1">
        <w:r w:rsidRPr="00C52C29">
          <w:rPr>
            <w:rStyle w:val="Hyperlink"/>
            <w:rFonts w:ascii="Arial Narrow" w:hAnsi="Arial Narrow"/>
          </w:rPr>
          <w:t>https://doi.org/10.1016/j.jhydrol.2020.125015</w:t>
        </w:r>
      </w:hyperlink>
    </w:p>
    <w:p w14:paraId="1293EC21"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Yoon, J., Klassert, C., Selby, P., Lachaut, T., Knox, S., Avisse, N., Harou, J., Tilmant, A., Klauer, B., Mustafa, D., Sigel, K., Talozi, S., Gawel, E., Medellín-Azuara, J., Bataineh, B., Zhang, H., Gorelick, S.M., 2021. A coupled human–natural system analysis of freshwater security under climate and population change. Proceedings of the National Academy of Sciences 118. </w:t>
      </w:r>
      <w:hyperlink r:id="rId58" w:tgtFrame="_new" w:history="1">
        <w:r w:rsidRPr="00C52C29">
          <w:rPr>
            <w:rStyle w:val="Hyperlink"/>
            <w:rFonts w:ascii="Arial Narrow" w:hAnsi="Arial Narrow"/>
          </w:rPr>
          <w:t>https://doi.org/10.1073/pnas.2020431118</w:t>
        </w:r>
      </w:hyperlink>
    </w:p>
    <w:p w14:paraId="4FD6764B"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Yoon, J., Romero-Lankao, P., Yang, Y.C.E., Klassert, C., Urban, N., Kaiser, K., Keller, K., Yarlagadda, B., Voisin, N., Reed, P.M., Moss, R., 2022. A Typology for Characterizing Human Action in MultiSector Dynamics Models. Earths Future 10. </w:t>
      </w:r>
      <w:hyperlink r:id="rId59" w:tgtFrame="_new" w:history="1">
        <w:r w:rsidRPr="00C52C29">
          <w:rPr>
            <w:rStyle w:val="Hyperlink"/>
            <w:rFonts w:ascii="Arial Narrow" w:hAnsi="Arial Narrow"/>
          </w:rPr>
          <w:t>https://doi.org/10.1029/2021EF002641</w:t>
        </w:r>
      </w:hyperlink>
    </w:p>
    <w:p w14:paraId="7184FFF2"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Yoon, J., Voisin, N., Klassert, C., Thurber, T., Xu, W., 2024. Representing farmer irrigated crop area adaptation in a large-scale hydrological model. Hydrol Earth Syst Sci 28, 899–916. </w:t>
      </w:r>
      <w:hyperlink r:id="rId60" w:tgtFrame="_new" w:history="1">
        <w:r w:rsidRPr="00C52C29">
          <w:rPr>
            <w:rStyle w:val="Hyperlink"/>
            <w:rFonts w:ascii="Arial Narrow" w:hAnsi="Arial Narrow"/>
          </w:rPr>
          <w:t>https://doi.org/10.5194/hess-28-899-2024</w:t>
        </w:r>
      </w:hyperlink>
    </w:p>
    <w:p w14:paraId="165BEBEA"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Zeff, H., Hadjimichael, A., Reed, P.M., Characklis, G.W., 2024. Using Financial Contracts to Facilitate Informal Leases Within a Western United States Water Market Based on Prior Appropriation. Earths Future 12. </w:t>
      </w:r>
      <w:hyperlink r:id="rId61" w:tgtFrame="_new" w:history="1">
        <w:r w:rsidRPr="00C52C29">
          <w:rPr>
            <w:rStyle w:val="Hyperlink"/>
            <w:rFonts w:ascii="Arial Narrow" w:hAnsi="Arial Narrow"/>
          </w:rPr>
          <w:t>https://doi.org/10.1029/2023EF003739</w:t>
        </w:r>
      </w:hyperlink>
    </w:p>
    <w:p w14:paraId="5F76335E" w14:textId="77777777" w:rsidR="00C52C29" w:rsidRPr="00C52C29" w:rsidRDefault="00C52C29" w:rsidP="00C52C29">
      <w:pPr>
        <w:spacing w:line="276" w:lineRule="auto"/>
        <w:jc w:val="both"/>
        <w:rPr>
          <w:rFonts w:ascii="Arial Narrow" w:hAnsi="Arial Narrow"/>
        </w:rPr>
      </w:pPr>
      <w:r w:rsidRPr="00C52C29">
        <w:rPr>
          <w:rFonts w:ascii="Arial Narrow" w:hAnsi="Arial Narrow"/>
        </w:rPr>
        <w:t xml:space="preserve">Zhang, J., Yang, Y.C.E., Abeshu, G.W., Li, H., Hung, F., Lin, C.Y., Leung, L.R., 2024. Exploring the food-energy-water nexus in coupled natural-human systems under climate change with a fully integrated agent-based modeling framework. J Hydrol (Amst) 634. </w:t>
      </w:r>
      <w:hyperlink r:id="rId62" w:tgtFrame="_new" w:history="1">
        <w:r w:rsidRPr="00C52C29">
          <w:rPr>
            <w:rStyle w:val="Hyperlink"/>
            <w:rFonts w:ascii="Arial Narrow" w:hAnsi="Arial Narrow"/>
          </w:rPr>
          <w:t>https://doi.org/10.1016/j.jhydrol.2024.131048</w:t>
        </w:r>
      </w:hyperlink>
    </w:p>
    <w:p w14:paraId="674004EC" w14:textId="77777777" w:rsidR="00C52C29" w:rsidRPr="00C52C29" w:rsidRDefault="00C52C29" w:rsidP="00B22F3D">
      <w:pPr>
        <w:spacing w:line="276" w:lineRule="auto"/>
        <w:jc w:val="both"/>
        <w:rPr>
          <w:rFonts w:ascii="Arial Narrow" w:hAnsi="Arial Narrow"/>
          <w:lang w:val="es-419"/>
        </w:rPr>
      </w:pPr>
    </w:p>
    <w:sectPr w:rsidR="00C52C29" w:rsidRPr="00C52C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32F9"/>
    <w:multiLevelType w:val="hybridMultilevel"/>
    <w:tmpl w:val="5C4403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EAD106B"/>
    <w:multiLevelType w:val="hybridMultilevel"/>
    <w:tmpl w:val="9B8CCC80"/>
    <w:lvl w:ilvl="0" w:tplc="3E9681DE">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24645575"/>
    <w:multiLevelType w:val="multilevel"/>
    <w:tmpl w:val="7FAC47C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39BF1AB1"/>
    <w:multiLevelType w:val="hybridMultilevel"/>
    <w:tmpl w:val="6C3E2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D5CCC"/>
    <w:multiLevelType w:val="hybridMultilevel"/>
    <w:tmpl w:val="797C01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9FD4383"/>
    <w:multiLevelType w:val="hybridMultilevel"/>
    <w:tmpl w:val="78783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BE7E6B"/>
    <w:multiLevelType w:val="hybridMultilevel"/>
    <w:tmpl w:val="362E0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3610656">
    <w:abstractNumId w:val="0"/>
  </w:num>
  <w:num w:numId="2" w16cid:durableId="447816318">
    <w:abstractNumId w:val="4"/>
  </w:num>
  <w:num w:numId="3" w16cid:durableId="178081223">
    <w:abstractNumId w:val="1"/>
  </w:num>
  <w:num w:numId="4" w16cid:durableId="1909001272">
    <w:abstractNumId w:val="5"/>
  </w:num>
  <w:num w:numId="5" w16cid:durableId="1639190035">
    <w:abstractNumId w:val="2"/>
  </w:num>
  <w:num w:numId="6" w16cid:durableId="481043284">
    <w:abstractNumId w:val="6"/>
  </w:num>
  <w:num w:numId="7" w16cid:durableId="125706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2B1"/>
    <w:rsid w:val="00016ADB"/>
    <w:rsid w:val="001F0C01"/>
    <w:rsid w:val="002013B6"/>
    <w:rsid w:val="005142F4"/>
    <w:rsid w:val="005D1CE9"/>
    <w:rsid w:val="005D51D0"/>
    <w:rsid w:val="00627C6B"/>
    <w:rsid w:val="007A5898"/>
    <w:rsid w:val="008221D8"/>
    <w:rsid w:val="00824505"/>
    <w:rsid w:val="0088482D"/>
    <w:rsid w:val="008E62D7"/>
    <w:rsid w:val="00994C41"/>
    <w:rsid w:val="00A0523B"/>
    <w:rsid w:val="00A35955"/>
    <w:rsid w:val="00AC299B"/>
    <w:rsid w:val="00B22F3D"/>
    <w:rsid w:val="00BD2B4A"/>
    <w:rsid w:val="00BF0057"/>
    <w:rsid w:val="00C52C29"/>
    <w:rsid w:val="00D24EE6"/>
    <w:rsid w:val="00DD02B1"/>
    <w:rsid w:val="00EB258F"/>
    <w:rsid w:val="00EF0824"/>
    <w:rsid w:val="00F41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1F528"/>
  <w15:chartTrackingRefBased/>
  <w15:docId w15:val="{DC809255-29A9-4203-8986-51454B7CE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F3D"/>
  </w:style>
  <w:style w:type="paragraph" w:styleId="Heading1">
    <w:name w:val="heading 1"/>
    <w:basedOn w:val="Normal"/>
    <w:next w:val="Normal"/>
    <w:link w:val="Heading1Char"/>
    <w:uiPriority w:val="9"/>
    <w:qFormat/>
    <w:rsid w:val="00DD02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02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02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02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02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02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02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02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02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2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02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02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02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02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02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02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02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02B1"/>
    <w:rPr>
      <w:rFonts w:eastAsiaTheme="majorEastAsia" w:cstheme="majorBidi"/>
      <w:color w:val="272727" w:themeColor="text1" w:themeTint="D8"/>
    </w:rPr>
  </w:style>
  <w:style w:type="paragraph" w:styleId="Title">
    <w:name w:val="Title"/>
    <w:basedOn w:val="Normal"/>
    <w:next w:val="Normal"/>
    <w:link w:val="TitleChar"/>
    <w:uiPriority w:val="10"/>
    <w:qFormat/>
    <w:rsid w:val="00DD02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2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02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02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02B1"/>
    <w:pPr>
      <w:spacing w:before="160"/>
      <w:jc w:val="center"/>
    </w:pPr>
    <w:rPr>
      <w:i/>
      <w:iCs/>
      <w:color w:val="404040" w:themeColor="text1" w:themeTint="BF"/>
    </w:rPr>
  </w:style>
  <w:style w:type="character" w:customStyle="1" w:styleId="QuoteChar">
    <w:name w:val="Quote Char"/>
    <w:basedOn w:val="DefaultParagraphFont"/>
    <w:link w:val="Quote"/>
    <w:uiPriority w:val="29"/>
    <w:rsid w:val="00DD02B1"/>
    <w:rPr>
      <w:i/>
      <w:iCs/>
      <w:color w:val="404040" w:themeColor="text1" w:themeTint="BF"/>
    </w:rPr>
  </w:style>
  <w:style w:type="paragraph" w:styleId="ListParagraph">
    <w:name w:val="List Paragraph"/>
    <w:basedOn w:val="Normal"/>
    <w:uiPriority w:val="34"/>
    <w:qFormat/>
    <w:rsid w:val="00DD02B1"/>
    <w:pPr>
      <w:ind w:left="720"/>
      <w:contextualSpacing/>
    </w:pPr>
  </w:style>
  <w:style w:type="character" w:styleId="IntenseEmphasis">
    <w:name w:val="Intense Emphasis"/>
    <w:basedOn w:val="DefaultParagraphFont"/>
    <w:uiPriority w:val="21"/>
    <w:qFormat/>
    <w:rsid w:val="00DD02B1"/>
    <w:rPr>
      <w:i/>
      <w:iCs/>
      <w:color w:val="0F4761" w:themeColor="accent1" w:themeShade="BF"/>
    </w:rPr>
  </w:style>
  <w:style w:type="paragraph" w:styleId="IntenseQuote">
    <w:name w:val="Intense Quote"/>
    <w:basedOn w:val="Normal"/>
    <w:next w:val="Normal"/>
    <w:link w:val="IntenseQuoteChar"/>
    <w:uiPriority w:val="30"/>
    <w:qFormat/>
    <w:rsid w:val="00DD02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02B1"/>
    <w:rPr>
      <w:i/>
      <w:iCs/>
      <w:color w:val="0F4761" w:themeColor="accent1" w:themeShade="BF"/>
    </w:rPr>
  </w:style>
  <w:style w:type="character" w:styleId="IntenseReference">
    <w:name w:val="Intense Reference"/>
    <w:basedOn w:val="DefaultParagraphFont"/>
    <w:uiPriority w:val="32"/>
    <w:qFormat/>
    <w:rsid w:val="00DD02B1"/>
    <w:rPr>
      <w:b/>
      <w:bCs/>
      <w:smallCaps/>
      <w:color w:val="0F4761" w:themeColor="accent1" w:themeShade="BF"/>
      <w:spacing w:val="5"/>
    </w:rPr>
  </w:style>
  <w:style w:type="character" w:styleId="Hyperlink">
    <w:name w:val="Hyperlink"/>
    <w:basedOn w:val="DefaultParagraphFont"/>
    <w:uiPriority w:val="99"/>
    <w:unhideWhenUsed/>
    <w:rsid w:val="00824505"/>
    <w:rPr>
      <w:color w:val="467886" w:themeColor="hyperlink"/>
      <w:u w:val="single"/>
    </w:rPr>
  </w:style>
  <w:style w:type="character" w:styleId="UnresolvedMention">
    <w:name w:val="Unresolved Mention"/>
    <w:basedOn w:val="DefaultParagraphFont"/>
    <w:uiPriority w:val="99"/>
    <w:semiHidden/>
    <w:unhideWhenUsed/>
    <w:rsid w:val="008245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gov.co/vercontenido/94" TargetMode="External"/><Relationship Id="rId18" Type="http://schemas.openxmlformats.org/officeDocument/2006/relationships/hyperlink" Target="https://doi.org/10.1016/j.scitotenv.2024.173289" TargetMode="External"/><Relationship Id="rId26" Type="http://schemas.openxmlformats.org/officeDocument/2006/relationships/hyperlink" Target="https://doi.org/10.5194/hess-23-2261-2019" TargetMode="External"/><Relationship Id="rId39" Type="http://schemas.openxmlformats.org/officeDocument/2006/relationships/hyperlink" Target="https://doi.org/10.1016/j.scitotenv.2019.07.337" TargetMode="External"/><Relationship Id="rId21" Type="http://schemas.openxmlformats.org/officeDocument/2006/relationships/hyperlink" Target="https://doi.org/10.1016/j.landurbplan.2021.104186" TargetMode="External"/><Relationship Id="rId34" Type="http://schemas.openxmlformats.org/officeDocument/2006/relationships/hyperlink" Target="https://doi.org/10.1016/j.ecolmodel.2011.08.020" TargetMode="External"/><Relationship Id="rId42" Type="http://schemas.openxmlformats.org/officeDocument/2006/relationships/hyperlink" Target="https://doi.org/10.3390/W12061699" TargetMode="External"/><Relationship Id="rId47" Type="http://schemas.openxmlformats.org/officeDocument/2006/relationships/hyperlink" Target="https://doi.org/10.1002/wat2.1577" TargetMode="External"/><Relationship Id="rId50" Type="http://schemas.openxmlformats.org/officeDocument/2006/relationships/hyperlink" Target="https://www.science.org/content/article/uruguay-water-crisis-upending-research" TargetMode="External"/><Relationship Id="rId55" Type="http://schemas.openxmlformats.org/officeDocument/2006/relationships/hyperlink" Target="https://doi.org/10.1109/CEC55065.2022.9870286" TargetMode="External"/><Relationship Id="rId63" Type="http://schemas.openxmlformats.org/officeDocument/2006/relationships/fontTable" Target="fontTable.xml"/><Relationship Id="rId7" Type="http://schemas.openxmlformats.org/officeDocument/2006/relationships/hyperlink" Target="https://doi.org/10.5194/hess-21-4449-2017" TargetMode="External"/><Relationship Id="rId2" Type="http://schemas.openxmlformats.org/officeDocument/2006/relationships/styles" Target="styles.xml"/><Relationship Id="rId16" Type="http://schemas.openxmlformats.org/officeDocument/2006/relationships/hyperlink" Target="https://doi.org/10.1002/2014WR016416" TargetMode="External"/><Relationship Id="rId29" Type="http://schemas.openxmlformats.org/officeDocument/2006/relationships/hyperlink" Target="https://doi.org/10.1029/2017WR022478" TargetMode="External"/><Relationship Id="rId11" Type="http://schemas.openxmlformats.org/officeDocument/2006/relationships/hyperlink" Target="https://doi.org/10.1016/j.earscirev.2006.06.002" TargetMode="External"/><Relationship Id="rId24" Type="http://schemas.openxmlformats.org/officeDocument/2006/relationships/hyperlink" Target="https://doi.org/10.1080/10807039.2019.1680526" TargetMode="External"/><Relationship Id="rId32" Type="http://schemas.openxmlformats.org/officeDocument/2006/relationships/hyperlink" Target="https://doi.org/10.1016/j.envsci.2016.11.006" TargetMode="External"/><Relationship Id="rId37" Type="http://schemas.openxmlformats.org/officeDocument/2006/relationships/hyperlink" Target="https://doi.org/10.1016/j.gloenvcha.2020.102186" TargetMode="External"/><Relationship Id="rId40" Type="http://schemas.openxmlformats.org/officeDocument/2006/relationships/hyperlink" Target="https://doi.org/10.1002/ldr.3106" TargetMode="External"/><Relationship Id="rId45" Type="http://schemas.openxmlformats.org/officeDocument/2006/relationships/hyperlink" Target="https://doi.org/10.1111/j.1745-6584.2010.00677.x" TargetMode="External"/><Relationship Id="rId53" Type="http://schemas.openxmlformats.org/officeDocument/2006/relationships/hyperlink" Target="https://doi.org/10.1080/1573062X.2022.2047735" TargetMode="External"/><Relationship Id="rId58" Type="http://schemas.openxmlformats.org/officeDocument/2006/relationships/hyperlink" Target="https://doi.org/10.1073/pnas.2020431118" TargetMode="External"/><Relationship Id="rId5" Type="http://schemas.openxmlformats.org/officeDocument/2006/relationships/hyperlink" Target="https://doi.org/10.1016/j.rse.2013.07.009" TargetMode="External"/><Relationship Id="rId61" Type="http://schemas.openxmlformats.org/officeDocument/2006/relationships/hyperlink" Target="https://doi.org/10.1029/2023EF003739" TargetMode="External"/><Relationship Id="rId19" Type="http://schemas.openxmlformats.org/officeDocument/2006/relationships/hyperlink" Target="https://doi.org/10.1007/978-3-031-05472-3_9" TargetMode="External"/><Relationship Id="rId14" Type="http://schemas.openxmlformats.org/officeDocument/2006/relationships/hyperlink" Target="https://doi.org/10.1109/TEVC.2022.3172302" TargetMode="External"/><Relationship Id="rId22" Type="http://schemas.openxmlformats.org/officeDocument/2006/relationships/hyperlink" Target="https://doi.org/10.1002/2016WR019363" TargetMode="External"/><Relationship Id="rId27" Type="http://schemas.openxmlformats.org/officeDocument/2006/relationships/hyperlink" Target="https://doi.org/10.46830/wrirpt.22.00046" TargetMode="External"/><Relationship Id="rId30" Type="http://schemas.openxmlformats.org/officeDocument/2006/relationships/hyperlink" Target="https://doi.org/10.5194/hess-21-6275-2017" TargetMode="External"/><Relationship Id="rId35" Type="http://schemas.openxmlformats.org/officeDocument/2006/relationships/hyperlink" Target="https://doi.org/10.1016/j.energy.2019.116824" TargetMode="External"/><Relationship Id="rId43" Type="http://schemas.openxmlformats.org/officeDocument/2006/relationships/hyperlink" Target="https://doi.org/10.3390/su13031424" TargetMode="External"/><Relationship Id="rId48" Type="http://schemas.openxmlformats.org/officeDocument/2006/relationships/hyperlink" Target="https://doi.org/10.1029/2008WR007327" TargetMode="External"/><Relationship Id="rId56" Type="http://schemas.openxmlformats.org/officeDocument/2006/relationships/hyperlink" Target="https://sdgs.un.org/2030agenda" TargetMode="External"/><Relationship Id="rId64" Type="http://schemas.openxmlformats.org/officeDocument/2006/relationships/theme" Target="theme/theme1.xml"/><Relationship Id="rId8" Type="http://schemas.openxmlformats.org/officeDocument/2006/relationships/hyperlink" Target="https://doi.org/10.1029/2019WR026325" TargetMode="External"/><Relationship Id="rId51" Type="http://schemas.openxmlformats.org/officeDocument/2006/relationships/hyperlink" Target="https://doi.org/10.1038/s43017-023-00450-9" TargetMode="External"/><Relationship Id="rId3" Type="http://schemas.openxmlformats.org/officeDocument/2006/relationships/settings" Target="settings.xml"/><Relationship Id="rId12" Type="http://schemas.openxmlformats.org/officeDocument/2006/relationships/hyperlink" Target="https://doi.org/10.1016/j.esd.2021.02.006" TargetMode="External"/><Relationship Id="rId17" Type="http://schemas.openxmlformats.org/officeDocument/2006/relationships/hyperlink" Target="https://doi.org/10.1038/s41467-021-22194-0" TargetMode="External"/><Relationship Id="rId25" Type="http://schemas.openxmlformats.org/officeDocument/2006/relationships/hyperlink" Target="https://doi.org/10.1016/j.jhydrol.2022.128015" TargetMode="External"/><Relationship Id="rId33" Type="http://schemas.openxmlformats.org/officeDocument/2006/relationships/hyperlink" Target="https://doi.org/10.1111/j.1539-6924.2007.00940.x" TargetMode="External"/><Relationship Id="rId38" Type="http://schemas.openxmlformats.org/officeDocument/2006/relationships/hyperlink" Target="https://doi.org/10.1016/j.scitotenv.2021.148539" TargetMode="External"/><Relationship Id="rId46" Type="http://schemas.openxmlformats.org/officeDocument/2006/relationships/hyperlink" Target="https://doi.org/10.3390/ijgi6090288" TargetMode="External"/><Relationship Id="rId59" Type="http://schemas.openxmlformats.org/officeDocument/2006/relationships/hyperlink" Target="https://doi.org/10.1029/2021EF002641" TargetMode="External"/><Relationship Id="rId20" Type="http://schemas.openxmlformats.org/officeDocument/2006/relationships/hyperlink" Target="https://doi.org/10.1016/j.envsoft.2013.03.017" TargetMode="External"/><Relationship Id="rId41" Type="http://schemas.openxmlformats.org/officeDocument/2006/relationships/hyperlink" Target="https://doi.org/10.3389/fenvs.2021.673215" TargetMode="External"/><Relationship Id="rId54" Type="http://schemas.openxmlformats.org/officeDocument/2006/relationships/hyperlink" Target="https://doi.org/10.3390/su122410332" TargetMode="External"/><Relationship Id="rId62" Type="http://schemas.openxmlformats.org/officeDocument/2006/relationships/hyperlink" Target="https://doi.org/10.1016/j.jhydrol.2024.131048" TargetMode="External"/><Relationship Id="rId1" Type="http://schemas.openxmlformats.org/officeDocument/2006/relationships/numbering" Target="numbering.xml"/><Relationship Id="rId6" Type="http://schemas.openxmlformats.org/officeDocument/2006/relationships/hyperlink" Target="https://doi.org/10.1088/1748-9326/aaa9c6" TargetMode="External"/><Relationship Id="rId15" Type="http://schemas.openxmlformats.org/officeDocument/2006/relationships/hyperlink" Target="https://doi.org/10.1111/eva.13065" TargetMode="External"/><Relationship Id="rId23" Type="http://schemas.openxmlformats.org/officeDocument/2006/relationships/hyperlink" Target="https://doi.org/10.1016/j.apenergy.2016.06.039" TargetMode="External"/><Relationship Id="rId28" Type="http://schemas.openxmlformats.org/officeDocument/2006/relationships/hyperlink" Target="https://doi.org/10.1016/j.envsoft.2022.105527" TargetMode="External"/><Relationship Id="rId36" Type="http://schemas.openxmlformats.org/officeDocument/2006/relationships/hyperlink" Target="https://doi.org/10.3389/feart.2019.00221" TargetMode="External"/><Relationship Id="rId49" Type="http://schemas.openxmlformats.org/officeDocument/2006/relationships/hyperlink" Target="https://doi.org/10.3390/w14030374" TargetMode="External"/><Relationship Id="rId57" Type="http://schemas.openxmlformats.org/officeDocument/2006/relationships/hyperlink" Target="https://doi.org/10.1016/j.jhydrol.2020.125015" TargetMode="External"/><Relationship Id="rId10" Type="http://schemas.openxmlformats.org/officeDocument/2006/relationships/hyperlink" Target="https://doi.org/10.1525/elementa.2022.00142" TargetMode="External"/><Relationship Id="rId31" Type="http://schemas.openxmlformats.org/officeDocument/2006/relationships/hyperlink" Target="https://doi.org/10.1038/s41893-023-01177-7" TargetMode="External"/><Relationship Id="rId44" Type="http://schemas.openxmlformats.org/officeDocument/2006/relationships/hyperlink" Target="https://doi.org/10.1029/2021EF002621" TargetMode="External"/><Relationship Id="rId52" Type="http://schemas.openxmlformats.org/officeDocument/2006/relationships/hyperlink" Target="https://doi.org/10.1002/2015WR017896" TargetMode="External"/><Relationship Id="rId60" Type="http://schemas.openxmlformats.org/officeDocument/2006/relationships/hyperlink" Target="https://doi.org/10.5194/hess-28-899-2024" TargetMode="External"/><Relationship Id="rId4" Type="http://schemas.openxmlformats.org/officeDocument/2006/relationships/webSettings" Target="webSettings.xml"/><Relationship Id="rId9" Type="http://schemas.openxmlformats.org/officeDocument/2006/relationships/hyperlink" Target="https://doi.org/10.15446/rcdg.v30n2.935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5882</Words>
  <Characters>33529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Hernandez Suarez</dc:creator>
  <cp:keywords/>
  <dc:description/>
  <cp:lastModifiedBy>Juan Sebastian Hernandez Suarez</cp:lastModifiedBy>
  <cp:revision>3</cp:revision>
  <dcterms:created xsi:type="dcterms:W3CDTF">2026-03-25T21:54:00Z</dcterms:created>
  <dcterms:modified xsi:type="dcterms:W3CDTF">2026-03-25T21:55:00Z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8b997c1c-7c19-4a54-839a-6bf851b51c94</vt:lpwstr>
  </property>
</Properties>
</file>