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A23BA0">
      <w:pPr>
        <w:keepNext w:val="0"/>
        <w:keepLines w:val="0"/>
        <w:widowControl/>
        <w:suppressLineNumbers w:val="0"/>
        <w:jc w:val="left"/>
      </w:pPr>
    </w:p>
    <w:p w14:paraId="7A7EF3FB">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Ensayo sobre la Optimización del Diseño de Equipos Agroindustriales y la Reforma en la Enseñanza del Diseño de Máquinas</w:t>
      </w:r>
    </w:p>
    <w:p w14:paraId="631EF5B1">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Introducción</w:t>
      </w:r>
    </w:p>
    <w:p w14:paraId="427C9D6C">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En un mundo marcado por una creciente demanda de alimentos y una necesidad imperiosa de sostenibilidad, la optimización del diseño de equipos agroindustriales se presenta como una estrategia crucial para mejorar la eficiencia en la agricultura. Al mismo tiempo, la transformación educativa en el campo del diseño de maquinaria es esencial para preparar a los futuros ingenieros ante los desafíos emergentes. Este ensayo explora una propuesta de investigación destinada a diseñar equipos agroindustriales para la agricultura de precisión en Colombia y presenta una reforma en el curso de Diseño de Máquinas en la Universidad Nacional de Colombia, sede Bogotá.</w:t>
      </w:r>
    </w:p>
    <w:p w14:paraId="27B4D4BF">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Optimización del Diseño de Equipos Agroindustriales</w:t>
      </w:r>
    </w:p>
    <w:p w14:paraId="7CD58B0F">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La agricultura de precisión ha surgido como una metodología revolucionaria en la gestión agrícola, utilizando tecnologías avanzadas para gestionar de manera detallada los recursos. Esta técnica se basa en la recopilación y análisis de datos temporales, espaciales e individuales para optimizar el uso de recursos, aumentar la productividad y mejorar la sostenibilidad. Aprobada por la International Society of Precision Agriculture (ISPA) en 2019, la agricultura de precisión no solo permite definir las propiedades del suelo y resolver problemas relacionados con el uso de recursos, sino que también contribuye a la reducción de costos y la minimización del impacto ambiental.</w:t>
      </w:r>
    </w:p>
    <w:p w14:paraId="0B6DE8AB">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En Colombia, el sector agroindustrial hortofrutícola es vital para la economía, desempeñando un papel crucial en el empleo y en el desarrollo socioeconómico. Este sector ha experimentado un notable crecimiento en las hectáreas sembradas, aumentando de 862 mil en 2015 a 1.035 millones en 2022. Sin embargo, enfrenta importantes desafíos debido a la desindustrialización y la falta de modernización tecnológica desde la década de 1970. Muchas plantas procesadoras hortofrutícolas han crecido lentamente y carecen de un diseño productivo adecuado, limitando su eficiencia y competitividad.</w:t>
      </w:r>
    </w:p>
    <w:p w14:paraId="7B73B53B">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La propuesta de investigación se centra en el diseño y desarrollo de equipos agroindustriales adaptados a las necesidades de la agricultura de precisión en Colombia. Los objetivos incluyen la integración de tecnologías avanzadas en estos equipos, la evaluación de su efectividad en diversas condiciones agrícolas y la optimización de su rendimiento y sostenibilidad mediante la incorporación de tecnologías emergentes. La metodología abarca desde la revisión bibliográfica hasta el desarrollo de prototipos, pruebas en campo y análisis de resultados, con el objetivo de generar nuevos diseños que mejoren la implementación de la agricultura de precisión y ofrecer recomendaciones para la adopción de nuevas tecnologías.</w:t>
      </w:r>
    </w:p>
    <w:p w14:paraId="54FEDE7A">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Reforma en la Enseñanza del Diseño de Máquinas</w:t>
      </w:r>
    </w:p>
    <w:p w14:paraId="6C63F373">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Junto con los avances en la tecnología agrícola, es fundamental reformar la enseñanza del diseño de máquinas para preparar adecuadamente a los futuros ingenieros. La propuesta de reforma para el curso de Diseño de Máquinas en la Universidad Nacional de Colombia busca mejorar la eficiencia del proceso educativo mediante la integración del aprendizaje activo y el uso de tecnologías avanzadas.</w:t>
      </w:r>
    </w:p>
    <w:p w14:paraId="4A62F69D">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Históricamente, el curso combinaba teoría y práctica de manera disjunta, limitando la integración completa del proceso de diseño. La reforma propuesta se basa en un enfoque pedagógico que combina clases teóricas con actividades de aprendizaje activo, promoviendo la participación de los estudiantes y la aplicación práctica de los conceptos. Las actividades clave incluyen clases teóricas sobre selección de materiales, resistencia de materiales y diseño de máquinas, actividades prácticas aplicadas a situaciones reales, sesiones de laboratorio y el desarrollo de proyectos menores y un proyecto principal integrador.</w:t>
      </w:r>
    </w:p>
    <w:p w14:paraId="293CDAA8">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El plan de implementación se divide en tres etapas: introducción y planificación, aplicación práctica e integración y evaluación. La primera etapa se enfoca en introducir el curso y las herramientas tecnológicas. La segunda etapa abarca el desarrollo de ejercicios prácticos y proyectos menores, mientras que la tercera etapa se dedica a la presentación de proyectos y la evaluación final. La evaluación considera la participación en clases, proyectos menores, el proyecto principal y exámenes teóricos, con el objetivo de medir la creatividad, aplicación de conceptos y calidad técnica.</w:t>
      </w:r>
    </w:p>
    <w:p w14:paraId="66F77546">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El proyecto principal del curso de ingeniería se estructura mediante una secuencia meticulosa de diseño que guía a los estudiantes a través de una serie de actividades clave. Este enfoque sistemático asegura que los futuros ingenieros desarrollen competencias esenciales en el proceso de diseño, desde la conceptualización hasta la documentación final del proyecto. A continuación, se detalla la secuencia general de diseño recomendada y los recursos necesarios para su implementación exitosa.</w:t>
      </w:r>
    </w:p>
    <w:p w14:paraId="1C010B27">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Secuencia General de Diseño</w:t>
      </w:r>
    </w:p>
    <w:p w14:paraId="0396055B">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La secuencia propuesta para el proyecto principal del curso abarca diversas fases críticas que deben ser abordadas de manera rigurosa:</w:t>
      </w:r>
    </w:p>
    <w:p w14:paraId="059B938B">
      <w:pPr>
        <w:pStyle w:val="4"/>
        <w:keepNext w:val="0"/>
        <w:keepLines w:val="0"/>
        <w:widowControl/>
        <w:suppressLineNumbers w:val="0"/>
        <w:bidi w:val="0"/>
        <w:spacing w:before="24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Especificación de los Principios de Trabajo</w:t>
      </w:r>
      <w:r>
        <w:rPr>
          <w:rFonts w:hint="default" w:ascii="Arial Narrow" w:hAnsi="Arial Narrow" w:cs="Arial Narrow"/>
          <w:i w:val="0"/>
          <w:iCs w:val="0"/>
          <w:color w:val="000000"/>
          <w:sz w:val="22"/>
          <w:szCs w:val="22"/>
          <w:u w:val="none"/>
          <w:vertAlign w:val="baseline"/>
        </w:rPr>
        <w:t>: En esta fase inicial, los estudiantes deben definir los principios de funcionamiento fundamentales del proyecto. Esta especificación establece el marco dentro del cual se desarrollarán todas las demás actividades de diseño.</w:t>
      </w:r>
    </w:p>
    <w:p w14:paraId="6A3062FC">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Definición de Objetivos y Limitaciones</w:t>
      </w:r>
      <w:r>
        <w:rPr>
          <w:rFonts w:hint="default" w:ascii="Arial Narrow" w:hAnsi="Arial Narrow" w:cs="Arial Narrow"/>
          <w:i w:val="0"/>
          <w:iCs w:val="0"/>
          <w:color w:val="000000"/>
          <w:sz w:val="22"/>
          <w:szCs w:val="22"/>
          <w:u w:val="none"/>
          <w:vertAlign w:val="baseline"/>
        </w:rPr>
        <w:t>: Se deben establecer claramente los objetivos del diseño, así como sus limitaciones. Estos incluyen la vida útil esperada, las dimensiones del producto, su forma y su apariencia estética.</w:t>
      </w:r>
    </w:p>
    <w:p w14:paraId="6291BF72">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Determinación de la Naturaleza y Características de las Cargas</w:t>
      </w:r>
      <w:r>
        <w:rPr>
          <w:rFonts w:hint="default" w:ascii="Arial Narrow" w:hAnsi="Arial Narrow" w:cs="Arial Narrow"/>
          <w:i w:val="0"/>
          <w:iCs w:val="0"/>
          <w:color w:val="000000"/>
          <w:sz w:val="22"/>
          <w:szCs w:val="22"/>
          <w:u w:val="none"/>
          <w:vertAlign w:val="baseline"/>
        </w:rPr>
        <w:t>: Es crucial identificar las cargas que afectarán a los componentes del diseño. Comprender la naturaleza de estas cargas es fundamental para asegurar la integridad estructural del diseño.</w:t>
      </w:r>
    </w:p>
    <w:p w14:paraId="34E07729">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Determinación de Magnitudes de Cargas y Condiciones de Operación</w:t>
      </w:r>
      <w:r>
        <w:rPr>
          <w:rFonts w:hint="default" w:ascii="Arial Narrow" w:hAnsi="Arial Narrow" w:cs="Arial Narrow"/>
          <w:i w:val="0"/>
          <w:iCs w:val="0"/>
          <w:color w:val="000000"/>
          <w:sz w:val="22"/>
          <w:szCs w:val="22"/>
          <w:u w:val="none"/>
          <w:vertAlign w:val="baseline"/>
        </w:rPr>
        <w:t>: Los estudiantes deben establecer las magnitudes precisas de las cargas y las condiciones operativas bajo las cuales el diseño funcionará. Esto incluye considerar diferentes escenarios de carga y operación.</w:t>
      </w:r>
    </w:p>
    <w:p w14:paraId="6FBA34AE">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Análisis de la Aplicación de Cargas</w:t>
      </w:r>
      <w:r>
        <w:rPr>
          <w:rFonts w:hint="default" w:ascii="Arial Narrow" w:hAnsi="Arial Narrow" w:cs="Arial Narrow"/>
          <w:i w:val="0"/>
          <w:iCs w:val="0"/>
          <w:color w:val="000000"/>
          <w:sz w:val="22"/>
          <w:szCs w:val="22"/>
          <w:u w:val="none"/>
          <w:vertAlign w:val="baseline"/>
        </w:rPr>
        <w:t>: Evaluar cómo las cargas se aplican a los elementos del diseño ayuda a identificar los puntos críticos que podrían afectar el rendimiento del producto.</w:t>
      </w:r>
    </w:p>
    <w:p w14:paraId="37152094">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Esbozo de la Geometría del Elemento</w:t>
      </w:r>
      <w:r>
        <w:rPr>
          <w:rFonts w:hint="default" w:ascii="Arial Narrow" w:hAnsi="Arial Narrow" w:cs="Arial Narrow"/>
          <w:i w:val="0"/>
          <w:iCs w:val="0"/>
          <w:color w:val="000000"/>
          <w:sz w:val="22"/>
          <w:szCs w:val="22"/>
          <w:u w:val="none"/>
          <w:vertAlign w:val="baseline"/>
        </w:rPr>
        <w:t>: Los estudiantes deben realizar bocetos detallados de la geometría del componente, considerando tanto los aspectos constructivos como tecnológicos y los materiales seleccionados para su fabricación.</w:t>
      </w:r>
    </w:p>
    <w:p w14:paraId="11344818">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Consideración del Tratamiento y Propiedades de los Materiales</w:t>
      </w:r>
      <w:r>
        <w:rPr>
          <w:rFonts w:hint="default" w:ascii="Arial Narrow" w:hAnsi="Arial Narrow" w:cs="Arial Narrow"/>
          <w:i w:val="0"/>
          <w:iCs w:val="0"/>
          <w:color w:val="000000"/>
          <w:sz w:val="22"/>
          <w:szCs w:val="22"/>
          <w:u w:val="none"/>
          <w:vertAlign w:val="baseline"/>
        </w:rPr>
        <w:t>: Es necesario analizar las condiciones de tratamiento de los materiales y las propiedades que se esperan de ellos, para garantizar que cumplen con los requisitos del diseño</w:t>
      </w:r>
    </w:p>
    <w:p w14:paraId="3F9C574B">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Definición de Factores de Seguridad</w:t>
      </w:r>
      <w:r>
        <w:rPr>
          <w:rFonts w:hint="default" w:ascii="Arial Narrow" w:hAnsi="Arial Narrow" w:cs="Arial Narrow"/>
          <w:i w:val="0"/>
          <w:iCs w:val="0"/>
          <w:color w:val="000000"/>
          <w:sz w:val="22"/>
          <w:szCs w:val="22"/>
          <w:u w:val="none"/>
          <w:vertAlign w:val="baseline"/>
        </w:rPr>
        <w:t>: Establecer los factores de seguridad adecuados es esencial para asegurar que el diseño será seguro y fiable en su aplicación práctica.</w:t>
      </w:r>
    </w:p>
    <w:p w14:paraId="0CA6E4B4">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Realización de Cálculos Geométricos Preliminares</w:t>
      </w:r>
      <w:r>
        <w:rPr>
          <w:rFonts w:hint="default" w:ascii="Arial Narrow" w:hAnsi="Arial Narrow" w:cs="Arial Narrow"/>
          <w:i w:val="0"/>
          <w:iCs w:val="0"/>
          <w:color w:val="000000"/>
          <w:sz w:val="22"/>
          <w:szCs w:val="22"/>
          <w:u w:val="none"/>
          <w:vertAlign w:val="baseline"/>
        </w:rPr>
        <w:t>: Los cálculos geométricos preliminares se deben efectuar para todas las partes individuales y conjuntos de transmisión, permitiendo una evaluación preliminar de la viabilidad del diseño.</w:t>
      </w:r>
    </w:p>
    <w:p w14:paraId="7808CF78">
      <w:pPr>
        <w:pStyle w:val="4"/>
        <w:keepNext w:val="0"/>
        <w:keepLines w:val="0"/>
        <w:widowControl/>
        <w:suppressLineNumbers w:val="0"/>
        <w:bidi w:val="0"/>
        <w:spacing w:before="0" w:beforeAutospacing="0" w:after="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Completar Análisis de Estrés, Rigidez y Estabilidad</w:t>
      </w:r>
      <w:r>
        <w:rPr>
          <w:rFonts w:hint="default" w:ascii="Arial Narrow" w:hAnsi="Arial Narrow" w:cs="Arial Narrow"/>
          <w:i w:val="0"/>
          <w:iCs w:val="0"/>
          <w:color w:val="000000"/>
          <w:sz w:val="22"/>
          <w:szCs w:val="22"/>
          <w:u w:val="none"/>
          <w:vertAlign w:val="baseline"/>
        </w:rPr>
        <w:t>: Los análisis detallados de estrés, rigidez y estabilidad son fundamentales para verificar que el diseño puede soportar las condiciones de operación previstas.</w:t>
      </w:r>
    </w:p>
    <w:p w14:paraId="35BAD98C">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Aplicación de Metodologías de Diseño Particularizadas</w:t>
      </w:r>
      <w:r>
        <w:rPr>
          <w:rFonts w:hint="default" w:ascii="Arial Narrow" w:hAnsi="Arial Narrow" w:cs="Arial Narrow"/>
          <w:i w:val="0"/>
          <w:iCs w:val="0"/>
          <w:color w:val="000000"/>
          <w:sz w:val="22"/>
          <w:szCs w:val="22"/>
          <w:u w:val="none"/>
          <w:vertAlign w:val="baseline"/>
        </w:rPr>
        <w:t>: Los estudiantes deben aplicar metodologías específicas para la selección y verificación de pares de transmisión de potencia, acoplamientos y rodamientos, entre otros componentes críticos.</w:t>
      </w:r>
    </w:p>
    <w:p w14:paraId="14176D58">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Verificación de Suposiciones de Diseño</w:t>
      </w:r>
      <w:r>
        <w:rPr>
          <w:rFonts w:hint="default" w:ascii="Arial Narrow" w:hAnsi="Arial Narrow" w:cs="Arial Narrow"/>
          <w:i w:val="0"/>
          <w:iCs w:val="0"/>
          <w:color w:val="000000"/>
          <w:sz w:val="22"/>
          <w:szCs w:val="22"/>
          <w:u w:val="none"/>
          <w:vertAlign w:val="baseline"/>
        </w:rPr>
        <w:t>: Comprobar todas las suposiciones realizadas en el diseño asegura que los elementos sean seguros y eficientes.</w:t>
      </w:r>
    </w:p>
    <w:p w14:paraId="25E5044B">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Especificación de Tolerancias Geométricas</w:t>
      </w:r>
      <w:r>
        <w:rPr>
          <w:rFonts w:hint="default" w:ascii="Arial Narrow" w:hAnsi="Arial Narrow" w:cs="Arial Narrow"/>
          <w:i w:val="0"/>
          <w:iCs w:val="0"/>
          <w:color w:val="000000"/>
          <w:sz w:val="22"/>
          <w:szCs w:val="22"/>
          <w:u w:val="none"/>
          <w:vertAlign w:val="baseline"/>
        </w:rPr>
        <w:t>: Definir tolerancias dimensionales y geométricas precisas es crucial para asegurar el ajuste correcto y la funcionalidad del diseño.</w:t>
      </w:r>
    </w:p>
    <w:p w14:paraId="2054E41A">
      <w:pPr>
        <w:pStyle w:val="4"/>
        <w:keepNext w:val="0"/>
        <w:keepLines w:val="0"/>
        <w:widowControl/>
        <w:suppressLineNumbers w:val="0"/>
        <w:bidi w:val="0"/>
        <w:spacing w:before="0" w:beforeAutospacing="0" w:after="0" w:afterAutospacing="0" w:line="360" w:lineRule="auto"/>
        <w:rPr>
          <w:rFonts w:hint="default" w:ascii="Arial Narrow" w:hAnsi="Arial Narrow" w:cs="Arial Narrow"/>
          <w:i w:val="0"/>
          <w:iCs w:val="0"/>
          <w:color w:val="000000"/>
          <w:sz w:val="22"/>
          <w:szCs w:val="22"/>
          <w:u w:val="none"/>
        </w:rPr>
      </w:pPr>
      <w:r>
        <w:rPr>
          <w:rFonts w:hint="default" w:ascii="Arial Narrow" w:hAnsi="Arial Narrow" w:cs="Arial Narrow"/>
          <w:b/>
          <w:bCs/>
          <w:i w:val="0"/>
          <w:iCs w:val="0"/>
          <w:color w:val="000000"/>
          <w:sz w:val="22"/>
          <w:szCs w:val="22"/>
          <w:u w:val="none"/>
          <w:vertAlign w:val="baseline"/>
        </w:rPr>
        <w:t>Elaboración de Dibujos Detallados y de Montaje</w:t>
      </w:r>
      <w:r>
        <w:rPr>
          <w:rFonts w:hint="default" w:ascii="Arial Narrow" w:hAnsi="Arial Narrow" w:cs="Arial Narrow"/>
          <w:i w:val="0"/>
          <w:iCs w:val="0"/>
          <w:color w:val="000000"/>
          <w:sz w:val="22"/>
          <w:szCs w:val="22"/>
          <w:u w:val="none"/>
          <w:vertAlign w:val="baseline"/>
        </w:rPr>
        <w:t>: Todos los dibujos técnicos y de montaje deben elaborarse conforme a las normas vigentes, proporcionando una guía clara para la fabricación y ensamblaje del producto.</w:t>
      </w:r>
    </w:p>
    <w:p w14:paraId="53017650">
      <w:pPr>
        <w:pStyle w:val="4"/>
        <w:keepNext w:val="0"/>
        <w:keepLines w:val="0"/>
        <w:widowControl/>
        <w:suppressLineNumbers w:val="0"/>
        <w:bidi w:val="0"/>
        <w:spacing w:before="0" w:beforeAutospacing="0" w:after="24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Documentación del Diseño Final</w:t>
      </w:r>
      <w:r>
        <w:rPr>
          <w:rFonts w:hint="default" w:ascii="Arial Narrow" w:hAnsi="Arial Narrow" w:cs="Arial Narrow"/>
          <w:i w:val="0"/>
          <w:iCs w:val="0"/>
          <w:color w:val="000000"/>
          <w:sz w:val="22"/>
          <w:szCs w:val="22"/>
          <w:u w:val="none"/>
          <w:vertAlign w:val="baseline"/>
        </w:rPr>
        <w:t>: Finalmente, el diseño debe documentarse exhaustivamente con dibujos y especificaciones que reflejen todos los aspectos del proyecto.</w:t>
      </w:r>
    </w:p>
    <w:p w14:paraId="3EF7E59D">
      <w:pPr>
        <w:keepNext w:val="0"/>
        <w:keepLines w:val="0"/>
        <w:widowControl/>
        <w:numPr>
          <w:ilvl w:val="0"/>
          <w:numId w:val="0"/>
        </w:numPr>
        <w:suppressLineNumbers w:val="0"/>
        <w:bidi w:val="0"/>
        <w:spacing w:before="0" w:beforeAutospacing="1" w:after="0" w:afterAutospacing="1" w:line="360" w:lineRule="auto"/>
        <w:textAlignment w:val="baseline"/>
        <w:rPr>
          <w:rFonts w:hint="default" w:ascii="Arial Narrow" w:hAnsi="Arial Narrow" w:cs="Arial Narrow"/>
          <w:i w:val="0"/>
          <w:iCs w:val="0"/>
          <w:color w:val="000000"/>
          <w:sz w:val="22"/>
          <w:szCs w:val="22"/>
          <w:u w:val="none"/>
        </w:rPr>
      </w:pPr>
    </w:p>
    <w:p w14:paraId="66F36E95">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Uso de Herramientas y Recursos</w:t>
      </w:r>
    </w:p>
    <w:p w14:paraId="525627BC">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Para facilitar el proceso de diseño, se recomienda el uso de hojas de cálculo y software de simulación y modelado. Estas herramientas permiten a los estudiantes definir las formas óptimas de los componentes, reducir masa y mantener la resistencia y rigidez necesarias. El objetivo es que los estudiantes integren la teoría del proceso de diseño con fundamentos prácticos de fabricación, desarrollando una conciencia crítica sobre la manufacturabilidad.</w:t>
      </w:r>
    </w:p>
    <w:p w14:paraId="664859CE">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Los informes de progreso periódicos son esenciales para proporcionar retroalimentación continua antes de la entrega del informe final. El uso de software y TIC facilita cálculos repetitivos y estudios paramétricos, optimizando el proceso de diseño.</w:t>
      </w:r>
    </w:p>
    <w:p w14:paraId="6E9F4B06">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Presentación y Evaluación</w:t>
      </w:r>
    </w:p>
    <w:p w14:paraId="3B7FD089">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El proyecto final se presenta a una audiencia de compañeros, y se alienta a los estudiantes a utilizar un cartel para mostrar el proceso de diseño y el desarrollo del producto. El cartel es revisado por el profesor para corregir errores y proporcionar retroalimentación formativa, mientras que el resto de la clase participa formulando preguntas y evaluando el proyecto.</w:t>
      </w:r>
    </w:p>
    <w:p w14:paraId="37F91D81">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Proyecto Opcional de "Ingeniería Inversa"</w:t>
      </w:r>
    </w:p>
    <w:p w14:paraId="2D975377">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En el marco de los fundamentos del diseño, los estudiantes tienen la opción de aplicar la teoría a un producto existente mediante la ingeniería inversa. Este enfoque implica desmontar y analizar un objeto para comprender su funcionalidad, los principios físicos involucrados, su manufacturabilidad y ensamblaje. A partir de esta comprensión, los estudiantes realizan un rediseño que abarca desde la declaración del problema hasta la producción del prototipo.</w:t>
      </w:r>
    </w:p>
    <w:p w14:paraId="1BACB157">
      <w:pPr>
        <w:keepNext w:val="0"/>
        <w:keepLines w:val="0"/>
        <w:widowControl/>
        <w:suppressLineNumbers w:val="0"/>
        <w:spacing w:line="360" w:lineRule="auto"/>
        <w:jc w:val="left"/>
        <w:rPr>
          <w:rFonts w:hint="default" w:ascii="Arial Narrow" w:hAnsi="Arial Narrow" w:cs="Arial Narrow"/>
          <w:sz w:val="22"/>
          <w:szCs w:val="22"/>
        </w:rPr>
      </w:pPr>
    </w:p>
    <w:p w14:paraId="4FFC4D84">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b/>
          <w:bCs/>
          <w:i w:val="0"/>
          <w:iCs w:val="0"/>
          <w:color w:val="000000"/>
          <w:sz w:val="22"/>
          <w:szCs w:val="22"/>
          <w:u w:val="none"/>
          <w:vertAlign w:val="baseline"/>
        </w:rPr>
        <w:t>Conclusión</w:t>
      </w:r>
    </w:p>
    <w:p w14:paraId="3E67F98E">
      <w:pPr>
        <w:pStyle w:val="4"/>
        <w:keepNext w:val="0"/>
        <w:keepLines w:val="0"/>
        <w:widowControl/>
        <w:suppressLineNumbers w:val="0"/>
        <w:bidi w:val="0"/>
        <w:spacing w:before="240" w:beforeAutospacing="0" w:after="240" w:afterAutospacing="0" w:line="360" w:lineRule="auto"/>
        <w:rPr>
          <w:rFonts w:hint="default" w:ascii="Arial Narrow" w:hAnsi="Arial Narrow" w:cs="Arial Narrow"/>
          <w:sz w:val="22"/>
          <w:szCs w:val="22"/>
        </w:rPr>
      </w:pPr>
      <w:r>
        <w:rPr>
          <w:rFonts w:hint="default" w:ascii="Arial Narrow" w:hAnsi="Arial Narrow" w:cs="Arial Narrow"/>
          <w:i w:val="0"/>
          <w:iCs w:val="0"/>
          <w:color w:val="000000"/>
          <w:sz w:val="22"/>
          <w:szCs w:val="22"/>
          <w:u w:val="none"/>
          <w:vertAlign w:val="baseline"/>
        </w:rPr>
        <w:t>La optimización del diseño de equipos agroindustriales para la agricultura de precisión y la reforma en la enseñanza del diseño de máquinas son esfuerzos fundamentales para avanzar en la eficiencia agrícola y en la formación de futuros ingenieros. Al integrar tecnologías avanzadas en el diseño de equipos y adoptar métodos pedagógicos más dinámicos y prácticos, se busca no solo mejorar la productividad y sostenibilidad en la agricultura, sino también preparar a los estudiantes para enfrentar los desafíos del diseño y la ingeniería en un contexto global en constante evolución. Estas iniciativas responden a las demandas actuales y abren el camino hacia una agricultura más eficiente y una formación académica más completa y relevante.</w:t>
      </w:r>
    </w:p>
    <w:p w14:paraId="704BA084">
      <w:pPr>
        <w:keepNext w:val="0"/>
        <w:keepLines w:val="0"/>
        <w:widowControl/>
        <w:suppressLineNumbers w:val="0"/>
        <w:spacing w:line="360" w:lineRule="auto"/>
        <w:jc w:val="left"/>
        <w:rPr>
          <w:rFonts w:hint="default" w:ascii="Arial Narrow" w:hAnsi="Arial Narrow" w:cs="Arial Narrow"/>
          <w:sz w:val="22"/>
          <w:szCs w:val="22"/>
        </w:rPr>
      </w:pPr>
    </w:p>
    <w:p w14:paraId="03D9778D">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Bibliografía </w:t>
      </w:r>
    </w:p>
    <w:p w14:paraId="437F0E39">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Aparecido Martins, J., Freir, E. J., &amp; Claro Romão, E. (2013). An unpretentious view of technical drawings – Historic evolution (Managerial approach). Industrial Engineering &amp; Management, 2(2). https://doi.org/10.4172/2169-0316.1000108 </w:t>
      </w:r>
    </w:p>
    <w:p w14:paraId="5B02090C">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Asociación Hortofrutícola de Colombia. (2016). Balance del sector hortofrutícola en 2016. Recuperado de http://www.asohofrucol.com.co/ [Consultado 30-11-2018] </w:t>
      </w:r>
    </w:p>
    <w:p w14:paraId="0E90B336">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Bartodziej, C. J. (2017). The concept industry 4.0: An empirical analysis of technologies and applications in production logistics. Berlin: Springer. </w:t>
      </w:r>
    </w:p>
    <w:p w14:paraId="4701AACE">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Beier, G., Niehoff, S., Ziems, T., &amp; Xue, B. (2017). Sustainability aspects of a digitalized industry – A comparative study from China and Germany. International Journal of Precision Engineering and Manufacturing-Green Technology, 4(2), 227-234. </w:t>
      </w:r>
    </w:p>
    <w:p w14:paraId="0C16F913">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Baur, C., &amp; Wee, D. (2015). Manufacturing’s next act. McKinsey &amp; Company. </w:t>
      </w:r>
    </w:p>
    <w:p w14:paraId="5CBA8419">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Borgford-Parnell, J., Deibel, K., &amp; Atman, C. J. (2010). From engineering design research to engineering pedagogy: Bringing research results directly to the students. International Journal of Engineering Educati</w:t>
      </w:r>
      <w:bookmarkStart w:id="0" w:name="_GoBack"/>
      <w:bookmarkEnd w:id="0"/>
      <w:r>
        <w:rPr>
          <w:rFonts w:hint="default" w:ascii="Arial Narrow" w:hAnsi="Arial Narrow" w:cs="Arial Narrow"/>
          <w:sz w:val="18"/>
          <w:szCs w:val="18"/>
        </w:rPr>
        <w:t xml:space="preserve">on, 26(4). </w:t>
      </w:r>
    </w:p>
    <w:p w14:paraId="5D9DAED8">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Brynjolfsson, E., &amp; McAfee, A. (2014). The second machine age: Work, progress, and prosperity in a time of brilliant technologies. New York, USA: W.W. Norton &amp; Company. </w:t>
      </w:r>
    </w:p>
    <w:p w14:paraId="30E5EA78">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Cámara de comercio de Bogotá. (2010). Caracterización del sector de industrias culturales y creativas en Bogotá y Cundinamarca. Bogotá D.C., Colombia: Cámara de comercio de Bogotá. </w:t>
      </w:r>
    </w:p>
    <w:p w14:paraId="356933F5">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Cámara de comercio de Santa Marta. (2017). Coyuntura empresarial del Magdalena enero a junio del 2017. Santa Marta D.T.C.H., Colombia: Cámara de comercio de Santa Marta. </w:t>
      </w:r>
    </w:p>
    <w:p w14:paraId="3D7A4A8B">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Campo-Arias, A., Sanabria, A. R., Ospino, A., Guerra, V. M., &amp; Caamaño, B. H. (2016). Polivictimización por el conflicto armado y sufrimiento emocional en el Departamento del Magdalena, Colombia. Revista Colombiana de Psiquiatría, 46(32), 147-153. </w:t>
      </w:r>
    </w:p>
    <w:p w14:paraId="173B4FAA">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Causado, E., &amp; Reatiga, I. (2013). Cadena logística de subproductos residuales en la industria de tajada de plátano para exportación. Revista Dimensión Empresarial, 11(2), 9-16. </w:t>
      </w:r>
    </w:p>
    <w:p w14:paraId="247CD0FA">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Causado-Rodríguez, E., Díaz, A. F., &amp; Sánchez, G. D. (2018). Reubicación de instalaciones productivas mediante método matemático de recálculo de coordenadas - MMRC. Revista Clío América, 12(23), 61-72. </w:t>
      </w:r>
    </w:p>
    <w:p w14:paraId="0AB75433">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Chovancova, B., Dorocakova, M., &amp; Malacka, V. (2018). Changes in industrial structure of GDP and stock indices also with regard to the Industry 4.0. Business and Economic Horizons (BEH), 14, 402-414. </w:t>
      </w:r>
    </w:p>
    <w:p w14:paraId="0C8297C5">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Corena, L., &amp; Cujia, D. (2012). Diseño de una propuesta de mejoramiento del sistema productivo de la empresa BANANITAS SAS de Santa Marta D.T.C.H (tesis de pregrado en ingeniería industrial). Santa Marta D.T.C.H., Colombia: Universidad del Magdalena. </w:t>
      </w:r>
    </w:p>
    <w:p w14:paraId="51401ECE">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DANE-Departamento Nacional de Estadística, MADR-Ministerio de Agricultura, CIAT - Desarrollo Rural, &amp; Centro Internacional de Agricultura Tropical. (2013). Censo de plantas procesadoras de yuca para uso industrial resultados. Recuperado de https://www.dane.gov.co/ [Consultado 17-11-2018] </w:t>
      </w:r>
    </w:p>
    <w:p w14:paraId="24010392">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Departamento Administrativo Nacional de Estadística. (2017a). Encuesta Nacional Agropecuaria ENA-2016. Recuperado de https://www.dane.gov.co/ [Consultado 15-11-2018] </w:t>
      </w:r>
    </w:p>
    <w:p w14:paraId="0AD99D27">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Departamento Nacional de Planeación. (2015). Conpes 3850 Fondo Colombia en Paz. Consejo Nacional de Política Económica y Social. Recuperado de https://colaboracion.dnp.gov.co/CDT/Conpes/Económicos/3850.pdf [Consultado 30-11-2018] </w:t>
      </w:r>
    </w:p>
    <w:p w14:paraId="1D4576C3">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Deloitte. (2017). Forces of change: Industry 4.0. </w:t>
      </w:r>
    </w:p>
    <w:p w14:paraId="1CAAAEA0">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Decreto N° 3075. (1997). Ministerio de Salud, Bogotá, Colombia. </w:t>
      </w:r>
    </w:p>
    <w:p w14:paraId="2E272493">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Dym, C. L. (2004). Design, systems, and engineering education. International Journal of Engineering Education, 20(3), 305-312. </w:t>
      </w:r>
    </w:p>
    <w:p w14:paraId="0CCC928D">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Dym, C. L., Agogino, A. M., Eris, O., Frey, D. D., &amp; Leifer, L. J. (2005). Engineering design thinking, teaching, and learning. Journal of Engineering Education, 94(1), 103-120. https://doi.org/10.1002/j.2168-9830.2005.tb00832.x </w:t>
      </w:r>
    </w:p>
    <w:p w14:paraId="2F2B482C">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Đuričin, D., &amp; Herceg, I. V. (2018). Industry 4.0 and paradigm change in economics and business management. In J. Ni et al. (Eds.), AMP 2018, LNME (pp. 37–56). </w:t>
      </w:r>
    </w:p>
    <w:p w14:paraId="35C37154">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Gilchrist, A. (2016). Industry 4.0: The Industrial Internet of Things. Bangken, Nonthaburi, Thailand: Apress. </w:t>
      </w:r>
    </w:p>
    <w:p w14:paraId="3AC7EF01">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Hedvicakova, M. (2018). Unemployment and effects of the first work experience of university graduates on their idea of a job. Applied Economics, 50(31), 3357-3363. </w:t>
      </w:r>
    </w:p>
    <w:p w14:paraId="0AA79B45">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Hermann, M., Pentek, T., &amp; Otto, B. (2015). Design principles for Industry 4.0 scenarios: A literature review. </w:t>
      </w:r>
    </w:p>
    <w:p w14:paraId="58AB1D68">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Hirsch-Kreinsen, H. (2016). Digitization of industrial work: Development paths and prospects. Journal for Labour Market Research, 49(1), 1-14. </w:t>
      </w:r>
    </w:p>
    <w:p w14:paraId="47C83125">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Kagermann, H., Wahlster, W., &amp; Helbig, J. (2013). Recommendations for implementing the strategic initiative INDUSTRIE 4.0. Final report of the Industrie 4.0 Working Group. </w:t>
      </w:r>
    </w:p>
    <w:p w14:paraId="0BCD7D67">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Kuttolamadom, M. A. (2014). The benefits of a final applied design project that comprehensively integrates course material content &amp; concepts. In Proceedings of the 2014 ASEE Conference for Industry &amp; Education Collaboration (CIEC-2014), Savannah, GA. </w:t>
      </w:r>
    </w:p>
    <w:p w14:paraId="2758B169">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Le, X., Duva, A. W., &amp; Jackson, M. (2014). The balance of theory, simulation and projects for mechanical component design course. In ASEE Annual Conference &amp; Exposition. </w:t>
      </w:r>
    </w:p>
    <w:p w14:paraId="51BF7749">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Loc, N. H. Integrated learning experiences in the machine design course to assess the effectiveness of project-based learning. International Journal of Engineering Education, vol. 29, no. 2, pp. 396-409. </w:t>
      </w:r>
    </w:p>
    <w:p w14:paraId="7A2E590D">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Maldonado, H., Lee, B., Klemmer, S. R., &amp; Pea, R. (2007). Patterns of collaboration in design courses: Team dynamics affect technology appropriation, artifact creation, and course performance. In 7th International Conference on Computer Supported Collaborative Learning, vol. 8, pp. 490-499. </w:t>
      </w:r>
    </w:p>
    <w:p w14:paraId="36B83154">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McMasters, J. H. (2006). Influencing student learning: An industry perspective. International Journal of Engineering Education, 22(3), 447-459. </w:t>
      </w:r>
    </w:p>
    <w:p w14:paraId="2B148502">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Norton, R. L. (2006). Machine design: An integrated approach (3rd ed.). Worcester Polytechnic Institute: Pearson. </w:t>
      </w:r>
    </w:p>
    <w:p w14:paraId="079884B0">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Shigley, J. E., Mischke, C. R., &amp; Budynas, R. G. (2003). Mechanical engineering design (7th ed.). McGraw-Hill. </w:t>
      </w:r>
    </w:p>
    <w:p w14:paraId="4DC24C40">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Simpson, T. W., et al. (2004). IME Inc.: A new course for integrating design, manufacturing and production into the engineering curriculum. International Journal of Engineering Education, 20(5), 764-776. </w:t>
      </w:r>
    </w:p>
    <w:p w14:paraId="74733CF3">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Slightam, J., &amp; Nagurka, M. (2015). Machine design experiments using gears to foster discovery learning. In 121st ASEE Annual Conference &amp; Exposition. </w:t>
      </w:r>
    </w:p>
    <w:p w14:paraId="0AD07959">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Venkataswamy, A., Sodh, R., Abdildin, Y., &amp; Bailey, B. P. (2009). Groupware for design: An interactive system to facilitate creative processes in team design work. In 2009 42nd Hawaii International Conference on System Sciences, pp. 1-10. </w:t>
      </w:r>
    </w:p>
    <w:p w14:paraId="00C5C890">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Wood, K. L., Jensen, D., Bezdek, J., &amp; Otto, K. N. (2001). Reverse engineering and redesign: Courses to incrementally and systematically teach design. Journal of Engineering Education, 90(3), 363-374. </w:t>
      </w:r>
    </w:p>
    <w:p w14:paraId="14F4D08A">
      <w:pPr>
        <w:pStyle w:val="4"/>
        <w:keepNext w:val="0"/>
        <w:keepLines w:val="0"/>
        <w:widowControl/>
        <w:suppressLineNumbers w:val="0"/>
        <w:rPr>
          <w:rFonts w:hint="default" w:ascii="Arial Narrow" w:hAnsi="Arial Narrow" w:cs="Arial Narrow"/>
          <w:sz w:val="18"/>
          <w:szCs w:val="18"/>
        </w:rPr>
      </w:pPr>
      <w:r>
        <w:rPr>
          <w:rFonts w:hint="default" w:ascii="Arial Narrow" w:hAnsi="Arial Narrow" w:cs="Arial Narrow"/>
          <w:sz w:val="18"/>
          <w:szCs w:val="18"/>
        </w:rPr>
        <w:t xml:space="preserve">Wood, K. L., Jensen, D., &amp; Wood, K. (2005). Enhancing machine design courses through use of a multimedia-based review </w:t>
      </w:r>
    </w:p>
    <w:p w14:paraId="0AB3F0EA">
      <w:pPr>
        <w:keepNext w:val="0"/>
        <w:keepLines w:val="0"/>
        <w:widowControl/>
        <w:suppressLineNumbers w:val="0"/>
        <w:spacing w:line="360" w:lineRule="auto"/>
        <w:jc w:val="left"/>
        <w:rPr>
          <w:rFonts w:hint="default" w:ascii="Arial Narrow" w:hAnsi="Arial Narrow" w:cs="Arial Narrow"/>
          <w:sz w:val="22"/>
          <w:szCs w:val="22"/>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auto"/>
    <w:pitch w:val="default"/>
    <w:sig w:usb0="00000287" w:usb1="00000800" w:usb2="00000000" w:usb3="00000000" w:csb0="2000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A92A4C"/>
    <w:rsid w:val="27A92A4C"/>
    <w:rsid w:val="42C50E90"/>
    <w:rsid w:val="522143CD"/>
    <w:rsid w:val="77380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TotalTime>
  <ScaleCrop>false</ScaleCrop>
  <LinksUpToDate>false</LinksUpToDate>
  <CharactersWithSpaces>0</CharactersWithSpaces>
  <Application>WPS Office_12.2.0.18199_F1E327BC-269C-435d-A152-05C5408002CA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2024-09-16T12:45:00Z</dcterms:created>
  <dc:creator>Luis Carlos Gonzalez Susatama</dc:creator>
  <cp:lastModifiedBy>Luis Carlos Gonzalez Susatama</cp:lastModifiedBy>
  <dcterms:modified xsi:type="dcterms:W3CDTF">2024-09-16T21:11:12Z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1033-12.2.0.18199</vt:lpwstr>
  </property>
  <property fmtid="{D5CDD505-2E9C-101B-9397-08002B2CF9AE}" pid="3" name="ICV">
    <vt:lpwstr>F6A7CDB32B0F4D0EA231ECDA76584306_13</vt:lpwstr>
  </property>
</Properties>
</file>