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816E0" w14:textId="4E78BC1F" w:rsidR="001B7EF6" w:rsidRDefault="001B7EF6" w:rsidP="001B7EF6">
      <w:pPr>
        <w:spacing w:line="276" w:lineRule="auto"/>
        <w:jc w:val="center"/>
        <w:rPr>
          <w:rFonts w:ascii="Arial Narrow" w:hAnsi="Arial Narrow"/>
          <w:b/>
          <w:bCs/>
          <w:lang w:val="es-ES"/>
        </w:rPr>
      </w:pPr>
      <w:r>
        <w:rPr>
          <w:rFonts w:ascii="Arial Narrow" w:hAnsi="Arial Narrow"/>
          <w:b/>
          <w:bCs/>
          <w:lang w:val="es-ES"/>
        </w:rPr>
        <w:t xml:space="preserve">Componente escrito – Ensayo </w:t>
      </w:r>
    </w:p>
    <w:p w14:paraId="08D5C230" w14:textId="3030FAC8" w:rsidR="00467C30" w:rsidRDefault="00467C30" w:rsidP="001B7EF6">
      <w:pPr>
        <w:spacing w:line="276" w:lineRule="auto"/>
        <w:jc w:val="center"/>
        <w:rPr>
          <w:rFonts w:ascii="Arial Narrow" w:hAnsi="Arial Narrow"/>
          <w:b/>
          <w:bCs/>
          <w:lang w:val="es-ES"/>
        </w:rPr>
      </w:pPr>
      <w:r>
        <w:rPr>
          <w:rFonts w:ascii="Arial Narrow" w:hAnsi="Arial Narrow"/>
          <w:b/>
          <w:bCs/>
          <w:lang w:val="es-ES"/>
        </w:rPr>
        <w:t xml:space="preserve">Luis Daniel Daza Ramírez </w:t>
      </w:r>
      <w:r>
        <w:rPr>
          <w:rFonts w:ascii="Arial Narrow" w:hAnsi="Arial Narrow"/>
          <w:b/>
          <w:bCs/>
          <w:lang w:val="es-ES"/>
        </w:rPr>
        <w:t>–</w:t>
      </w:r>
      <w:r>
        <w:rPr>
          <w:rFonts w:ascii="Arial Narrow" w:hAnsi="Arial Narrow"/>
          <w:b/>
          <w:bCs/>
          <w:lang w:val="es-ES"/>
        </w:rPr>
        <w:t xml:space="preserve"> (TC2) </w:t>
      </w:r>
    </w:p>
    <w:p w14:paraId="4A4308ED" w14:textId="09F15D86" w:rsidR="00A84B62" w:rsidRPr="001B7EF6" w:rsidRDefault="00A84B62" w:rsidP="001B7EF6">
      <w:pPr>
        <w:spacing w:line="276" w:lineRule="auto"/>
        <w:jc w:val="both"/>
        <w:rPr>
          <w:rFonts w:ascii="Arial Narrow" w:hAnsi="Arial Narrow"/>
          <w:b/>
          <w:bCs/>
          <w:lang w:val="es-ES"/>
        </w:rPr>
      </w:pPr>
      <w:r w:rsidRPr="001B7EF6">
        <w:rPr>
          <w:rFonts w:ascii="Arial Narrow" w:hAnsi="Arial Narrow"/>
          <w:b/>
          <w:bCs/>
          <w:lang w:val="es-ES"/>
        </w:rPr>
        <w:t xml:space="preserve">Área de desempeño: </w:t>
      </w:r>
      <w:r w:rsidR="001B7EF6" w:rsidRPr="001B7EF6">
        <w:rPr>
          <w:rFonts w:ascii="Arial Narrow" w:hAnsi="Arial Narrow"/>
          <w:b/>
          <w:bCs/>
          <w:lang w:val="es-ES"/>
        </w:rPr>
        <w:t>Acondicionamiento, manejo, conservación o Aprovechamiento de productos o subproductos agrícolas</w:t>
      </w:r>
      <w:r w:rsidR="000A41E5">
        <w:rPr>
          <w:rFonts w:ascii="Arial Narrow" w:hAnsi="Arial Narrow"/>
          <w:b/>
          <w:bCs/>
          <w:lang w:val="es-ES"/>
        </w:rPr>
        <w:t xml:space="preserve"> </w:t>
      </w:r>
    </w:p>
    <w:p w14:paraId="1F74E94C" w14:textId="710CF8BD" w:rsidR="008D6FEF" w:rsidRPr="004046DF" w:rsidRDefault="00DC6CBD" w:rsidP="004046DF">
      <w:pPr>
        <w:pStyle w:val="Prrafodelista"/>
        <w:numPr>
          <w:ilvl w:val="0"/>
          <w:numId w:val="1"/>
        </w:numPr>
        <w:spacing w:line="276" w:lineRule="auto"/>
        <w:rPr>
          <w:rFonts w:ascii="Arial Narrow" w:hAnsi="Arial Narrow"/>
          <w:b/>
          <w:bCs/>
          <w:lang w:val="es-ES"/>
        </w:rPr>
      </w:pPr>
      <w:r w:rsidRPr="004046DF">
        <w:rPr>
          <w:rFonts w:ascii="Arial Narrow" w:hAnsi="Arial Narrow"/>
          <w:b/>
          <w:bCs/>
          <w:lang w:val="es-ES"/>
        </w:rPr>
        <w:t>Justificación</w:t>
      </w:r>
    </w:p>
    <w:p w14:paraId="44FC715F" w14:textId="63B15252" w:rsidR="0060029F" w:rsidRPr="00A52E60" w:rsidRDefault="00A52E60" w:rsidP="0060029F">
      <w:pPr>
        <w:spacing w:line="276" w:lineRule="auto"/>
        <w:jc w:val="both"/>
        <w:rPr>
          <w:rFonts w:ascii="Arial Narrow" w:hAnsi="Arial Narrow"/>
        </w:rPr>
      </w:pPr>
      <w:r w:rsidRPr="00A52E60">
        <w:rPr>
          <w:rFonts w:ascii="Arial Narrow" w:hAnsi="Arial Narrow"/>
        </w:rPr>
        <w:t>El crecimiento continuo de la población mundial, que se estima alcanzará los 10 mil millones de habitantes hacia el año 2050</w:t>
      </w:r>
      <w:r w:rsidR="0060029F" w:rsidRPr="0060029F">
        <w:rPr>
          <w:rFonts w:ascii="Arial Narrow" w:hAnsi="Arial Narrow"/>
        </w:rPr>
        <w:t xml:space="preserve">, junto con el </w:t>
      </w:r>
      <w:r>
        <w:rPr>
          <w:rFonts w:ascii="Arial Narrow" w:hAnsi="Arial Narrow"/>
        </w:rPr>
        <w:t xml:space="preserve">acelerado proceso </w:t>
      </w:r>
      <w:r w:rsidR="0060029F" w:rsidRPr="0060029F">
        <w:rPr>
          <w:rFonts w:ascii="Arial Narrow" w:hAnsi="Arial Narrow"/>
        </w:rPr>
        <w:t xml:space="preserve">de urbanización, la </w:t>
      </w:r>
      <w:r>
        <w:rPr>
          <w:rFonts w:ascii="Arial Narrow" w:hAnsi="Arial Narrow"/>
        </w:rPr>
        <w:t xml:space="preserve">adopción </w:t>
      </w:r>
      <w:r w:rsidR="0060029F" w:rsidRPr="0060029F">
        <w:rPr>
          <w:rFonts w:ascii="Arial Narrow" w:hAnsi="Arial Narrow"/>
        </w:rPr>
        <w:t xml:space="preserve">de nuevas tecnologías, el cambio climático y los </w:t>
      </w:r>
      <w:r>
        <w:rPr>
          <w:rFonts w:ascii="Arial Narrow" w:hAnsi="Arial Narrow"/>
        </w:rPr>
        <w:t xml:space="preserve">factores </w:t>
      </w:r>
      <w:r w:rsidR="0060029F" w:rsidRPr="0060029F">
        <w:rPr>
          <w:rFonts w:ascii="Arial Narrow" w:hAnsi="Arial Narrow"/>
        </w:rPr>
        <w:t xml:space="preserve">asociados a la producción y distribución de alimentos, ha </w:t>
      </w:r>
      <w:r>
        <w:rPr>
          <w:rFonts w:ascii="Arial Narrow" w:hAnsi="Arial Narrow"/>
        </w:rPr>
        <w:t>transformado</w:t>
      </w:r>
      <w:r w:rsidR="0060029F" w:rsidRPr="0060029F">
        <w:rPr>
          <w:rFonts w:ascii="Arial Narrow" w:hAnsi="Arial Narrow"/>
        </w:rPr>
        <w:t xml:space="preserve"> las tendencias de consumo</w:t>
      </w:r>
      <w:r>
        <w:rPr>
          <w:rFonts w:ascii="Arial Narrow" w:hAnsi="Arial Narrow"/>
        </w:rPr>
        <w:t xml:space="preserve"> de forma significativa</w:t>
      </w:r>
      <w:r w:rsidR="0060029F" w:rsidRPr="0060029F">
        <w:rPr>
          <w:rFonts w:ascii="Arial Narrow" w:hAnsi="Arial Narrow"/>
        </w:rPr>
        <w:t xml:space="preserve">, dando lugar a desabastecimientos en la cadena </w:t>
      </w:r>
      <w:r w:rsidR="0060029F">
        <w:rPr>
          <w:rFonts w:ascii="Arial Narrow" w:hAnsi="Arial Narrow"/>
        </w:rPr>
        <w:t xml:space="preserve">agroalimentaria </w:t>
      </w:r>
      <w:r w:rsidR="0060029F" w:rsidRPr="0060029F">
        <w:rPr>
          <w:rFonts w:ascii="Arial Narrow" w:hAnsi="Arial Narrow"/>
        </w:rPr>
        <w:t xml:space="preserve">y, en consecuencia, </w:t>
      </w:r>
      <w:r>
        <w:rPr>
          <w:rFonts w:ascii="Arial Narrow" w:hAnsi="Arial Narrow"/>
        </w:rPr>
        <w:t xml:space="preserve">un </w:t>
      </w:r>
      <w:r w:rsidR="0060029F">
        <w:rPr>
          <w:rFonts w:ascii="Arial Narrow" w:hAnsi="Arial Narrow"/>
        </w:rPr>
        <w:t>increment</w:t>
      </w:r>
      <w:r>
        <w:rPr>
          <w:rFonts w:ascii="Arial Narrow" w:hAnsi="Arial Narrow"/>
        </w:rPr>
        <w:t>o de</w:t>
      </w:r>
      <w:r w:rsidR="0060029F" w:rsidRPr="0060029F">
        <w:rPr>
          <w:rFonts w:ascii="Arial Narrow" w:hAnsi="Arial Narrow"/>
        </w:rPr>
        <w:t xml:space="preserve"> la inseguridad alimentaria </w:t>
      </w:r>
      <w:r>
        <w:rPr>
          <w:rFonts w:ascii="Arial Narrow" w:hAnsi="Arial Narrow"/>
        </w:rPr>
        <w:fldChar w:fldCharType="begin" w:fldLock="1"/>
      </w:r>
      <w:r w:rsidR="00152805">
        <w:rPr>
          <w:rFonts w:ascii="Arial Narrow" w:hAnsi="Arial Narrow"/>
        </w:rPr>
        <w:instrText>ADDIN CSL_CITATION {"citationItems":[{"id":"ITEM-1","itemData":{"DOI":"10.1016/j.plantsci.2020.110412","ISSN":"18732259","PMID":"32081261","abstract":"Anthropogenic increases in fossil fuel emissions have been a primary driver of increased concentrations of atmospheric carbon dioxide ([CO2]) and other greenhouse gases resulting in warmer temperatures, alterations in precipitation patterns, and increased occurrence of extreme weather events in terrestrial areas across the globe. In agricultural growing regions, alterations in climate can challenge plant productivity in ways that impact the ability of the world to sustain adequate food production for a growing and increasingly affluent population with shifting access to affordable and nutritious food. While the knowledge gap that exists regarding potential climate change impacts is large across agriculture, it is especially large in specialty cropping systems. This includes fruit and vegetable crops, and perennial cropping systems which also contribute (along with row crops) to our global diet. In order to obtain a comprehensive view of the true impact of climate change on our global food supply, we must expand our narrow focus from improving yield and plant productivity to include the impact of climate change on the nutritional value of these crops. In order to address these questions, we need a multi-faceted approach that integrates physiology and genomics tools and conducts comprehensive experiments under realistic depictions of future projected climate. This review describes gaps in our knowledge in relation to these responses, and future questions and actions that are needed to develop a sustainable future food supply in light of global climate change.","author":[{"dropping-particle":"","family":"Leisner","given":"Courtney P.","non-dropping-particle":"","parse-names":false,"suffix":""}],"container-title":"Plant Science","id":"ITEM-1","issue":"January","issued":{"date-parts":[["2020"]]},"page":"110412","publisher":"Elsevier","title":"Review: Climate change impacts on food security- focus on perennial cropping systems and nutritional value","type":"article-journal","volume":"293"},"uris":["http://www.mendeley.com/documents/?uuid=5ee3b204-7762-4a26-bf69-d2c5014ef823"]},{"id":"ITEM-2","itemData":{"DOI":"10.1016/j.fufo.2022.100124","ISSN":"26668335","abstract":"Innovative food products containing new ingredients have been designed to meet nutritional needs and new consumption trends. In this way, different vegetable species, named unconventional food plants (UFPs), are being studied in the literature and are emerging as candidates to provide foods containing a better composition, providing greater healthiness. Furthermore, specific vegetable tissues discarded in post-harvest and/or industrial pre-processing operations can be considered UFPs adequate for human consumption. Therefore, this review presents UFPs as alternative sources of nutrients, especially proteins and bioactive compounds. For food purposes, white acacia (Moringa oleifera), ora-pro-nobis (Pereskia aculeata Miller), jatropha (Jatropha curcas L.), bamboo (Bambusa vulgaris and Gramineae bambusoideae), and edible flowers, among others, are considered as UFPs with interesting nutritional components such as fibers, proteins, phenolic compounds, and carotenoids. We believe that studies on new food sources with a focus on UFPs can be a breakthrough for developing nutritious and sustainable foods and stimulating their acceptability by consumers.","author":[{"dropping-particle":"","family":"Milião","given":"Gustavo Leite","non-dropping-particle":"","parse-names":false,"suffix":""},{"dropping-particle":"","family":"Oliveira","given":"Ana Paula Hanke","non-dropping-particle":"de","parse-names":false,"suffix":""},{"dropping-particle":"","family":"Soares","given":"Lucas de Souza","non-dropping-particle":"","parse-names":false,"suffix":""},{"dropping-particle":"","family":"Arruda","given":"Tarsila Rodrigues","non-dropping-particle":"","parse-names":false,"suffix":""},{"dropping-particle":"","family":"Vieira","given":"Érica Nascif Rufino","non-dropping-particle":"","parse-names":false,"suffix":""},{"dropping-particle":"","family":"Leite Junior","given":"Bruno Ricardo de Castro","non-dropping-particle":"","parse-names":false,"suffix":""}],"container-title":"Future Foods","id":"ITEM-2","issue":"January","issued":{"date-parts":[["2022"]]},"title":"Unconventional food plants: Nutritional aspects and perspectives for industrial applications","type":"article-journal","volume":"5"},"uris":["http://www.mendeley.com/documents/?uuid=4741fdb7-de4e-42f3-ae8c-54a5f0113f0c"]}],"mendeley":{"formattedCitation":"(Leisner, 2020; Milião et al., 2022)","plainTextFormattedCitation":"(Leisner, 2020; Milião et al., 2022)","previouslyFormattedCitation":"(Leisner, 2020; Milião et al., 2022)"},"properties":{"noteIndex":0},"schema":"https://github.com/citation-style-language/schema/raw/master/csl-citation.json"}</w:instrText>
      </w:r>
      <w:r>
        <w:rPr>
          <w:rFonts w:ascii="Arial Narrow" w:hAnsi="Arial Narrow"/>
        </w:rPr>
        <w:fldChar w:fldCharType="separate"/>
      </w:r>
      <w:r w:rsidR="00050692" w:rsidRPr="00050692">
        <w:rPr>
          <w:rFonts w:ascii="Arial Narrow" w:hAnsi="Arial Narrow"/>
          <w:noProof/>
        </w:rPr>
        <w:t>(Leisner, 2020; Milião et al., 2022)</w:t>
      </w:r>
      <w:r>
        <w:rPr>
          <w:rFonts w:ascii="Arial Narrow" w:hAnsi="Arial Narrow"/>
        </w:rPr>
        <w:fldChar w:fldCharType="end"/>
      </w:r>
      <w:r w:rsidR="0060029F" w:rsidRPr="0060029F">
        <w:rPr>
          <w:rFonts w:ascii="Arial Narrow" w:hAnsi="Arial Narrow"/>
        </w:rPr>
        <w:t>. Según informes de la FAO, en 202</w:t>
      </w:r>
      <w:r w:rsidR="0060029F">
        <w:rPr>
          <w:rFonts w:ascii="Arial Narrow" w:hAnsi="Arial Narrow"/>
        </w:rPr>
        <w:t>4</w:t>
      </w:r>
      <w:r w:rsidR="0060029F" w:rsidRPr="0060029F">
        <w:rPr>
          <w:rFonts w:ascii="Arial Narrow" w:hAnsi="Arial Narrow"/>
        </w:rPr>
        <w:t xml:space="preserve"> el hambre mundial, medid</w:t>
      </w:r>
      <w:r>
        <w:rPr>
          <w:rFonts w:ascii="Arial Narrow" w:hAnsi="Arial Narrow"/>
        </w:rPr>
        <w:t>o</w:t>
      </w:r>
      <w:r w:rsidR="0060029F" w:rsidRPr="0060029F">
        <w:rPr>
          <w:rFonts w:ascii="Arial Narrow" w:hAnsi="Arial Narrow"/>
        </w:rPr>
        <w:t xml:space="preserve"> a través de la prevalencia de la subalimentación, afectó </w:t>
      </w:r>
      <w:r w:rsidR="0060029F">
        <w:rPr>
          <w:rFonts w:ascii="Arial Narrow" w:hAnsi="Arial Narrow"/>
        </w:rPr>
        <w:t>entre el 7,8</w:t>
      </w:r>
      <w:r w:rsidR="00EA7357">
        <w:rPr>
          <w:rFonts w:ascii="Arial Narrow" w:hAnsi="Arial Narrow"/>
        </w:rPr>
        <w:t xml:space="preserve"> </w:t>
      </w:r>
      <w:r w:rsidR="0060029F">
        <w:rPr>
          <w:rFonts w:ascii="Arial Narrow" w:hAnsi="Arial Narrow"/>
        </w:rPr>
        <w:t>% y el 8,8</w:t>
      </w:r>
      <w:r w:rsidR="00EA7357">
        <w:rPr>
          <w:rFonts w:ascii="Arial Narrow" w:hAnsi="Arial Narrow"/>
        </w:rPr>
        <w:t xml:space="preserve"> </w:t>
      </w:r>
      <w:r w:rsidR="0060029F" w:rsidRPr="0060029F">
        <w:rPr>
          <w:rFonts w:ascii="Arial Narrow" w:hAnsi="Arial Narrow"/>
        </w:rPr>
        <w:t>% de la población global</w:t>
      </w:r>
      <w:r>
        <w:rPr>
          <w:rFonts w:ascii="Arial Narrow" w:hAnsi="Arial Narrow"/>
        </w:rPr>
        <w:t xml:space="preserve"> </w:t>
      </w:r>
      <w:r w:rsidR="000A41E5">
        <w:rPr>
          <w:rFonts w:ascii="Arial Narrow" w:hAnsi="Arial Narrow"/>
        </w:rPr>
        <w:fldChar w:fldCharType="begin" w:fldLock="1"/>
      </w:r>
      <w:r w:rsidR="00152805">
        <w:rPr>
          <w:rFonts w:ascii="Arial Narrow" w:hAnsi="Arial Narrow"/>
        </w:rPr>
        <w:instrText>ADDIN CSL_CITATION {"citationItems":[{"id":"ITEM-1","itemData":{"DOI":"10.4060/cd6008es","ISBN":"978-92-5-140128-6","author":[{"dropping-particle":"","family":"FAO","given":"","non-dropping-particle":"","parse-names":false,"suffix":""},{"dropping-particle":"","family":"FIDA","given":"","non-dropping-particle":"","parse-names":false,"suffix":""},{"dropping-particle":"","family":"OMS","given":"","non-dropping-particle":"","parse-names":false,"suffix":""},{"dropping-particle":"","family":"PMA","given":"","non-dropping-particle":"","parse-names":false,"suffix":""},{"dropping-particle":"","family":"UNICEF","given":"","non-dropping-particle":"","parse-names":false,"suffix":""}],"id":"ITEM-1","issued":{"date-parts":[["2025","10","22"]]},"publisher":"FAO; IFAD; WHO; WFP; UNICEF;","title":"El estado de la seguridad alimentaria y la nutrición en el mundo 2025","type":"book"},"uris":["http://www.mendeley.com/documents/?uuid=542ce6a9-622a-4b57-be00-af2d5580106e"]}],"mendeley":{"formattedCitation":"(FAO et al., 2025)","plainTextFormattedCitation":"(FAO et al., 2025)","previouslyFormattedCitation":"(FAO et al., 2025)"},"properties":{"noteIndex":0},"schema":"https://github.com/citation-style-language/schema/raw/master/csl-citation.json"}</w:instrText>
      </w:r>
      <w:r w:rsidR="000A41E5">
        <w:rPr>
          <w:rFonts w:ascii="Arial Narrow" w:hAnsi="Arial Narrow"/>
        </w:rPr>
        <w:fldChar w:fldCharType="separate"/>
      </w:r>
      <w:r w:rsidR="00050692" w:rsidRPr="00050692">
        <w:rPr>
          <w:rFonts w:ascii="Arial Narrow" w:hAnsi="Arial Narrow"/>
          <w:noProof/>
        </w:rPr>
        <w:t>(FAO et al., 2025)</w:t>
      </w:r>
      <w:r w:rsidR="000A41E5">
        <w:rPr>
          <w:rFonts w:ascii="Arial Narrow" w:hAnsi="Arial Narrow"/>
        </w:rPr>
        <w:fldChar w:fldCharType="end"/>
      </w:r>
      <w:r w:rsidR="0060029F" w:rsidRPr="0060029F">
        <w:rPr>
          <w:rFonts w:ascii="Arial Narrow" w:hAnsi="Arial Narrow"/>
        </w:rPr>
        <w:t xml:space="preserve">. </w:t>
      </w:r>
      <w:r w:rsidRPr="00A52E60">
        <w:rPr>
          <w:rFonts w:ascii="Arial Narrow" w:hAnsi="Arial Narrow"/>
        </w:rPr>
        <w:t>Estas cifras evidencian un rezago en el cumplimiento de los Objetivos de Desarrollo Sostenible, en particular aquellos relacionados con el fin de la pobreza, el hambre cero, el trabajo decente y crecimiento económico, la reducción de las desigualdades y la acción por el clima.</w:t>
      </w:r>
    </w:p>
    <w:p w14:paraId="55AEA125" w14:textId="3427AD57" w:rsidR="004E645B" w:rsidRDefault="000A41E5" w:rsidP="0060029F">
      <w:pPr>
        <w:spacing w:line="276" w:lineRule="auto"/>
        <w:jc w:val="both"/>
        <w:rPr>
          <w:rFonts w:ascii="Arial Narrow" w:hAnsi="Arial Narrow"/>
        </w:rPr>
      </w:pPr>
      <w:r>
        <w:rPr>
          <w:rFonts w:ascii="Arial Narrow" w:hAnsi="Arial Narrow"/>
        </w:rPr>
        <w:t>Concomitantemente</w:t>
      </w:r>
      <w:r w:rsidR="0060029F" w:rsidRPr="0060029F">
        <w:rPr>
          <w:rFonts w:ascii="Arial Narrow" w:hAnsi="Arial Narrow"/>
        </w:rPr>
        <w:t xml:space="preserve">, </w:t>
      </w:r>
      <w:r w:rsidR="00292317">
        <w:rPr>
          <w:rFonts w:ascii="Arial Narrow" w:hAnsi="Arial Narrow"/>
        </w:rPr>
        <w:t xml:space="preserve">se ha observado </w:t>
      </w:r>
      <w:r w:rsidR="00292317" w:rsidRPr="00292317">
        <w:rPr>
          <w:rFonts w:ascii="Arial Narrow" w:hAnsi="Arial Narrow"/>
        </w:rPr>
        <w:t xml:space="preserve">una </w:t>
      </w:r>
      <w:r w:rsidR="004E645B">
        <w:rPr>
          <w:rFonts w:ascii="Arial Narrow" w:hAnsi="Arial Narrow"/>
        </w:rPr>
        <w:t xml:space="preserve">rápida </w:t>
      </w:r>
      <w:r w:rsidR="00292317" w:rsidRPr="00292317">
        <w:rPr>
          <w:rFonts w:ascii="Arial Narrow" w:hAnsi="Arial Narrow"/>
        </w:rPr>
        <w:t xml:space="preserve">expansión de las industrias </w:t>
      </w:r>
      <w:r w:rsidR="00E426C4">
        <w:rPr>
          <w:rFonts w:ascii="Arial Narrow" w:hAnsi="Arial Narrow"/>
        </w:rPr>
        <w:t xml:space="preserve">no alimentarias </w:t>
      </w:r>
      <w:r w:rsidR="00292317" w:rsidRPr="00292317">
        <w:rPr>
          <w:rFonts w:ascii="Arial Narrow" w:hAnsi="Arial Narrow"/>
        </w:rPr>
        <w:t xml:space="preserve">que utilizan materias primas de origen agrícola, tales como la textil, farmacéutica, papelera, de adhesivos, pinturas, biodiésel y bioplásticos, entre otras, lo que ha </w:t>
      </w:r>
      <w:r w:rsidR="00EA7357">
        <w:rPr>
          <w:rFonts w:ascii="Arial Narrow" w:hAnsi="Arial Narrow"/>
        </w:rPr>
        <w:t xml:space="preserve">incrementado de manera </w:t>
      </w:r>
      <w:r w:rsidR="00292317" w:rsidRPr="00292317">
        <w:rPr>
          <w:rFonts w:ascii="Arial Narrow" w:hAnsi="Arial Narrow"/>
        </w:rPr>
        <w:t>significativ</w:t>
      </w:r>
      <w:r w:rsidR="00EA7357">
        <w:rPr>
          <w:rFonts w:ascii="Arial Narrow" w:hAnsi="Arial Narrow"/>
        </w:rPr>
        <w:t>a</w:t>
      </w:r>
      <w:r w:rsidR="00292317" w:rsidRPr="00292317">
        <w:rPr>
          <w:rFonts w:ascii="Arial Narrow" w:hAnsi="Arial Narrow"/>
        </w:rPr>
        <w:t xml:space="preserve"> la demanda de </w:t>
      </w:r>
      <w:r w:rsidR="00EA7357">
        <w:rPr>
          <w:rFonts w:ascii="Arial Narrow" w:hAnsi="Arial Narrow"/>
        </w:rPr>
        <w:t xml:space="preserve">biomasa </w:t>
      </w:r>
      <w:r w:rsidR="00E426C4">
        <w:rPr>
          <w:rFonts w:ascii="Arial Narrow" w:hAnsi="Arial Narrow"/>
        </w:rPr>
        <w:t>vegetal</w:t>
      </w:r>
      <w:r w:rsidR="004E645B">
        <w:rPr>
          <w:rFonts w:ascii="Arial Narrow" w:hAnsi="Arial Narrow"/>
        </w:rPr>
        <w:t xml:space="preserve"> </w:t>
      </w:r>
      <w:r w:rsidR="004E645B">
        <w:rPr>
          <w:rFonts w:ascii="Arial Narrow" w:hAnsi="Arial Narrow"/>
        </w:rPr>
        <w:fldChar w:fldCharType="begin" w:fldLock="1"/>
      </w:r>
      <w:r w:rsidR="00152805">
        <w:rPr>
          <w:rFonts w:ascii="Arial Narrow" w:hAnsi="Arial Narrow"/>
        </w:rPr>
        <w:instrText>ADDIN CSL_CITATION {"citationItems":[{"id":"ITEM-1","itemData":{"DOI":"10.3390/agriculture14071143","ISSN":"20770472","abstract":"This review examines the essential components of a circular economy (CE) in relation to the agricultural sector. The bioeconomy and circular economy are crucial for sustainable global industrial growth, focusing on closed-loop systems. The sustainability debate centers on intergenerational equity and natural capital. The CE requires new environmental technologies and global coordination in order to combat climate change and biodiversity loss. In addition, efficient food production and waste reduction are essential due to population growth. However, biomass is vital for a bio-based economy, impacting food waste and climate change. Grasslands support sustainable dairy production and carbon sequestration. Thus, effective waste and wastewater management are critical, with biomass energy providing renewable alternatives. Nonetheless, biofuels remain key for sustainability, focusing on pollution control and Green Chemistry. It is well known that sustainable transportation relies on bioenergy, with ongoing research improving processes and discovering new fuels. One notable challenge is managing heavy metals in biofuel production, and this underscores the need for eco-friendly energy solutions. The main purpose for this review paper is to create a connection between circular economy aspects and the agricultural system, with focus on the following: bioeconomy research, biomass utilities, and biofuel production. Extensive research was performed on the specialized literature by putting in common the main problems. Key subjects in this paper include the use of biomass in agriculture, the problems of plastic recycling, and the function of the CE in mitigating climate change and biodiversity loss. Efficient food production and waste minimization are highlighted due to their relevance in a growing population. The study’s detailed research and discussion aim to give important insights into how these practices might promote economic development and sustainability. Furthermore, the study covers important waste management issues such as food waste, plant composting, and chemical waste neutralization. These topics are critical to understanding the circular economy’s broader implications for minimizing environmental damage and implementing sustainable waste management strategies.","author":[{"dropping-particle":"","family":"Toplicean","given":"Ioana Maria","non-dropping-particle":"","parse-names":false,"suffix":""},{"dropping-particle":"","family":"Datcu","given":"Adina Daniela","non-dropping-particle":"","parse-names":false,"suffix":""}],"container-title":"Agriculture (Switzerland)","id":"ITEM-1","issue":"7","issued":{"date-parts":[["2024"]]},"title":"An Overview on Bioeconomy in Agricultural Sector, Biomass Production, Recycling Methods, and Circular Economy Considerations","type":"article-journal","volume":"14"},"uris":["http://www.mendeley.com/documents/?uuid=ad948f6d-037b-49ac-9849-ce2f99801df3"]},{"id":"ITEM-2","itemData":{"DOI":"10.3390/polym13050832","ISSN":"20734360","abstract":"Starch is the second most abundantly available natural polymer in the world, after cellu-lose. If we add its biodegradability and non</w:instrText>
      </w:r>
      <w:r w:rsidR="00152805">
        <w:rPr>
          <w:rFonts w:ascii="Cambria Math" w:hAnsi="Cambria Math" w:cs="Cambria Math"/>
        </w:rPr>
        <w:instrText>‐</w:instrText>
      </w:r>
      <w:r w:rsidR="00152805">
        <w:rPr>
          <w:rFonts w:ascii="Arial Narrow" w:hAnsi="Arial Narrow"/>
        </w:rPr>
        <w:instrText>toxicity to the natural environment, it becomes a raw material very attractive for the food and non</w:instrText>
      </w:r>
      <w:r w:rsidR="00152805">
        <w:rPr>
          <w:rFonts w:ascii="Cambria Math" w:hAnsi="Cambria Math" w:cs="Cambria Math"/>
        </w:rPr>
        <w:instrText>‐</w:instrText>
      </w:r>
      <w:r w:rsidR="00152805">
        <w:rPr>
          <w:rFonts w:ascii="Arial Narrow" w:hAnsi="Arial Narrow"/>
        </w:rPr>
        <w:instrText>food industries. However, in the latter case, mainly due to the high hydrophilicity of starch, it is necessary to carry out many more or less complex operations and processes. One of the fastest growing industries in the last decade is the processing of biodegradable materials for packaging purposes. This is mainly due to awareness of producers and consumers about the dangers of unlimited production and the use of non</w:instrText>
      </w:r>
      <w:r w:rsidR="00152805">
        <w:rPr>
          <w:rFonts w:ascii="Cambria Math" w:hAnsi="Cambria Math" w:cs="Cambria Math"/>
        </w:rPr>
        <w:instrText>‐</w:instrText>
      </w:r>
      <w:r w:rsidR="00152805">
        <w:rPr>
          <w:rFonts w:ascii="Arial Narrow" w:hAnsi="Arial Narrow"/>
        </w:rPr>
        <w:instrText>degradable petroleum polymers. Therefore, in the present review, an attempt was made to show the possibilities and lim-itations of using starch as a packaging material. The most important physicochemical features of this biopolymer are discussed, and special attention is paid to more or less environmentally friendly methods of improving its processing properties.","author":[{"dropping-particle":"","family":"Zarski","given":"Arkadiusz","non-dropping-particle":"","parse-names":false,"suffix":""},{"dropping-particle":"","family":"Bajer","given":"Krzysztof","non-dropping-particle":"","parse-names":false,"suffix":""},{"dropping-particle":"","family":"Kapuśniak","given":"Janusz","non-dropping-particle":"","parse-names":false,"suffix":""}],"container-title":"Polymers","id":"ITEM-2","issue":"5","issued":{"date-parts":[["2021"]]},"page":"1-33","title":"Review of the most important methods of improving the processing properties of starch toward non</w:instrText>
      </w:r>
      <w:r w:rsidR="00152805">
        <w:rPr>
          <w:rFonts w:ascii="Cambria Math" w:hAnsi="Cambria Math" w:cs="Cambria Math"/>
        </w:rPr>
        <w:instrText>‐</w:instrText>
      </w:r>
      <w:r w:rsidR="00152805">
        <w:rPr>
          <w:rFonts w:ascii="Arial Narrow" w:hAnsi="Arial Narrow"/>
        </w:rPr>
        <w:instrText>food applications","type":"article-journal","volume":"13"},"uris":["http://www.mendeley.com/documents/?uuid=208e40fe-7346-430a-8ec9-49f86a57a2b3"]}],"mendeley":{"formattedCitation":"(Toplicean &amp; Datcu, 2024; Zarski et al., 2021)","plainTextFormattedCitation":"(Toplicean &amp; Datcu, 2024; Zarski et al., 2021)","previouslyFormattedCitation":"(Toplicean &amp; Datcu, 2024; Zarski et al., 2021)"},"properties":{"noteIndex":0},"schema":"https://github.com/citation-style-language/schema/raw/master/csl-citation.json"}</w:instrText>
      </w:r>
      <w:r w:rsidR="004E645B">
        <w:rPr>
          <w:rFonts w:ascii="Arial Narrow" w:hAnsi="Arial Narrow"/>
        </w:rPr>
        <w:fldChar w:fldCharType="separate"/>
      </w:r>
      <w:r w:rsidR="00050692" w:rsidRPr="00050692">
        <w:rPr>
          <w:rFonts w:ascii="Arial Narrow" w:hAnsi="Arial Narrow"/>
          <w:noProof/>
        </w:rPr>
        <w:t>(Toplicean &amp; Datcu, 2024; Zarski et al., 2021)</w:t>
      </w:r>
      <w:r w:rsidR="004E645B">
        <w:rPr>
          <w:rFonts w:ascii="Arial Narrow" w:hAnsi="Arial Narrow"/>
        </w:rPr>
        <w:fldChar w:fldCharType="end"/>
      </w:r>
      <w:r w:rsidR="00292317">
        <w:rPr>
          <w:rFonts w:ascii="Arial Narrow" w:hAnsi="Arial Narrow"/>
        </w:rPr>
        <w:t xml:space="preserve">. </w:t>
      </w:r>
      <w:r w:rsidR="00EA7357" w:rsidRPr="00EA7357">
        <w:rPr>
          <w:rFonts w:ascii="Arial Narrow" w:hAnsi="Arial Narrow"/>
        </w:rPr>
        <w:t>No obstante, esta creciente demanda plantea desafíos importantes, ya que su satisfacción podría comprometer la seguridad alimentaria, considerando que muchos de los cultivos empleados como materia prima también están destinados al consumo humano. Esta situación se agrava al tener en cuenta que, de las más de 7</w:t>
      </w:r>
      <w:r w:rsidR="009A3C35">
        <w:rPr>
          <w:rFonts w:ascii="Arial Narrow" w:hAnsi="Arial Narrow"/>
        </w:rPr>
        <w:t>,</w:t>
      </w:r>
      <w:r w:rsidR="00EA7357" w:rsidRPr="00EA7357">
        <w:rPr>
          <w:rFonts w:ascii="Arial Narrow" w:hAnsi="Arial Narrow"/>
        </w:rPr>
        <w:t>000 plantas comestibles cultivadas y utilizadas a nivel mundial, menos de veinte especies aportan cerca del 90 % de las necesidades alimentarias globales, siendo el trigo, el maíz y el arroz los cultivos más representativos, al constituir aproximadamente el 60 % de la dieta humana</w:t>
      </w:r>
      <w:r w:rsidR="00EA7357">
        <w:rPr>
          <w:rFonts w:ascii="Arial Narrow" w:hAnsi="Arial Narrow"/>
        </w:rPr>
        <w:t xml:space="preserve"> </w:t>
      </w:r>
      <w:r w:rsidR="004E645B">
        <w:rPr>
          <w:rFonts w:ascii="Arial Narrow" w:hAnsi="Arial Narrow"/>
        </w:rPr>
        <w:fldChar w:fldCharType="begin" w:fldLock="1"/>
      </w:r>
      <w:r w:rsidR="00152805">
        <w:rPr>
          <w:rFonts w:ascii="Arial Narrow" w:hAnsi="Arial Narrow"/>
        </w:rPr>
        <w:instrText>ADDIN CSL_CITATION {"citationItems":[{"id":"ITEM-1","itemData":{"DOI":"10.3390/ijerph120605685","ISSN":"16604601","PMID":"26016431","abstract":"Modern agricultural systems that promote cultivation of a very limited number of crop species have relegated indigenous crops to the status of neglected and underutilised crop species (NUCS). The complex interactions of water scarcity associated with climate change and variability in sub-Saharan Africa (SSA), and population pressure require innovative strategies to address food insecurity and undernourishment. Current research efforts have identified NUCS as having potential to reduce food and nutrition insecurity, particularly for resource poor households in SSA. This is because of their adaptability to low input agricultural systems and nutritional composition. However, what is required to promote NUCS is scientific research including agronomy, breeding, post-harvest handling and value addition, and linking farmers to markets. Among the essential knowledge base is reliable information about water utilisation by NUCS with potential for commercialisation. This commentary identifies and characterises NUCS with agronomic potential in SSA, especially in the semi-arid areas taking into consideration inter alia: (i) what can grow under water-scarce conditions, (ii) water requirements, and (iii) water productivity. Several representative leafy vegetables, tuber crops, cereal crops and grain legumes were identified as fitting the NUCS category. Agro-biodiversity remains essential for sustainable agriculture.","author":[{"dropping-particle":"","family":"Chivenge","given":"Pauline","non-dropping-particle":"","parse-names":false,"suffix":""},{"dropping-particle":"","family":"Mabhaudhi","given":"Tafadzwanashe","non-dropping-particle":"","parse-names":false,"suffix":""},{"dropping-particle":"","family":"Modi","given":"Albert T.","non-dropping-particle":"","parse-names":false,"suffix":""},{"dropping-particle":"","family":"Mafongoya","given":"Paramu","non-dropping-particle":"","parse-names":false,"suffix":""}],"container-title":"International Journal of Environmental Research and Public Health","id":"ITEM-1","issue":"6","issued":{"date-parts":[["2015"]]},"page":"5685-5711","title":"The potential role of neglected and underutilised crop species as future crops under water scarce conditions in Sub-Saharan Africa","type":"article-journal","volume":"12"},"uris":["http://www.mendeley.com/documents/?uuid=54b65b72-577d-4f43-8142-4fb793693da7"]}],"mendeley":{"formattedCitation":"(Chivenge et al., 2015)","plainTextFormattedCitation":"(Chivenge et al., 2015)","previouslyFormattedCitation":"(Chivenge et al., 2015)"},"properties":{"noteIndex":0},"schema":"https://github.com/citation-style-language/schema/raw/master/csl-citation.json"}</w:instrText>
      </w:r>
      <w:r w:rsidR="004E645B">
        <w:rPr>
          <w:rFonts w:ascii="Arial Narrow" w:hAnsi="Arial Narrow"/>
        </w:rPr>
        <w:fldChar w:fldCharType="separate"/>
      </w:r>
      <w:r w:rsidR="00050692" w:rsidRPr="00050692">
        <w:rPr>
          <w:rFonts w:ascii="Arial Narrow" w:hAnsi="Arial Narrow"/>
          <w:noProof/>
        </w:rPr>
        <w:t>(Chivenge et al., 2015)</w:t>
      </w:r>
      <w:r w:rsidR="004E645B">
        <w:rPr>
          <w:rFonts w:ascii="Arial Narrow" w:hAnsi="Arial Narrow"/>
        </w:rPr>
        <w:fldChar w:fldCharType="end"/>
      </w:r>
    </w:p>
    <w:p w14:paraId="0E0551B0" w14:textId="5E6D45AD" w:rsidR="00642DFC" w:rsidRDefault="007313C0" w:rsidP="00642DFC">
      <w:pPr>
        <w:spacing w:line="276" w:lineRule="auto"/>
        <w:jc w:val="both"/>
        <w:rPr>
          <w:rFonts w:ascii="Arial Narrow" w:hAnsi="Arial Narrow"/>
        </w:rPr>
      </w:pPr>
      <w:r>
        <w:rPr>
          <w:rFonts w:ascii="Arial Narrow" w:hAnsi="Arial Narrow"/>
        </w:rPr>
        <w:t xml:space="preserve">Como consecuencia de las dinámicas mencionados anteriormente, </w:t>
      </w:r>
      <w:r w:rsidRPr="007313C0">
        <w:rPr>
          <w:rFonts w:ascii="Arial Narrow" w:hAnsi="Arial Narrow"/>
        </w:rPr>
        <w:t xml:space="preserve">la producción agrícola ha experimentado un crecimiento significativo; sin embargo, este incremento ha estado acompañado por un aumento sustancial en las pérdidas y el desperdicio de alimentos, lo que pone </w:t>
      </w:r>
      <w:r w:rsidR="009A3C35">
        <w:rPr>
          <w:rFonts w:ascii="Arial Narrow" w:hAnsi="Arial Narrow"/>
        </w:rPr>
        <w:t>en evidencia las</w:t>
      </w:r>
      <w:r w:rsidRPr="007313C0">
        <w:rPr>
          <w:rFonts w:ascii="Arial Narrow" w:hAnsi="Arial Narrow"/>
        </w:rPr>
        <w:t xml:space="preserve"> ineficiencias estructurales en los sistemas alimentarios. Se estima que más del 31 % de los alimentos producidos a nivel mundial se pierde a lo largo de la cadena de producción y distribución, distribuyéndose en pérdidas </w:t>
      </w:r>
      <w:proofErr w:type="spellStart"/>
      <w:r w:rsidRPr="007313C0">
        <w:rPr>
          <w:rFonts w:ascii="Arial Narrow" w:hAnsi="Arial Narrow"/>
        </w:rPr>
        <w:t>poscosecha</w:t>
      </w:r>
      <w:proofErr w:type="spellEnd"/>
      <w:r w:rsidRPr="007313C0">
        <w:rPr>
          <w:rFonts w:ascii="Arial Narrow" w:hAnsi="Arial Narrow"/>
        </w:rPr>
        <w:t xml:space="preserve"> (14 %) y pérdidas en las etapas de comercialización, servicios de alimentación y consumo (17 %). Este panorama no solo limita la disponibilidad efectiva de alimentos, sino que también intensifica los impactos ambientales y compromete la sostenibilidad de los sistemas productivos</w:t>
      </w:r>
      <w:r>
        <w:rPr>
          <w:rFonts w:ascii="Arial Narrow" w:hAnsi="Arial Narrow"/>
        </w:rPr>
        <w:t xml:space="preserve"> </w:t>
      </w:r>
      <w:r>
        <w:rPr>
          <w:rFonts w:ascii="Arial Narrow" w:hAnsi="Arial Narrow"/>
        </w:rPr>
        <w:fldChar w:fldCharType="begin" w:fldLock="1"/>
      </w:r>
      <w:r w:rsidR="00152805">
        <w:rPr>
          <w:rFonts w:ascii="Arial Narrow" w:hAnsi="Arial Narrow"/>
        </w:rPr>
        <w:instrText>ADDIN CSL_CITATION {"citationItems":[{"id":"ITEM-1","itemData":{"DOI":"10.4060/cb9433es","ISBN":"978-92-5-136342-3","abstract":"FAO (2021 b)","author":[{"dropping-particle":"","family":"FAO","given":"","non-dropping-particle":"","parse-names":false,"suffix":""}],"container-title":"Código de conducta voluntario para la reducción de las pérdidas y el desperdicio de alimentos","id":"ITEM-1","issued":{"date-parts":[["2022","7","7"]]},"publisher":"FAO","title":"Código de conducta voluntario para la reducción de las pérdidas y el desperdicio de alimentos","type":"book"},"uris":["http://www.mendeley.com/documents/?uuid=5f890959-17ab-45bf-b251-3ed54052fe0f"]},{"id":"ITEM-2","itemData":{"ISBN":"9789280738377","abstract":"Plan científico para hacer frente a las emergencias del clima, la biodiversidad y la contaminación Mensajes clave y resumen ejecutivo","author":[{"dropping-particle":"","family":"ONU","given":"","non-dropping-particle":"","parse-names":false,"suffix":""}],"id":"ITEM-2","issued":{"date-parts":[["2021"]]},"page":"168","title":"Hacer las paces con la naturaleza","type":"article-journal"},"uris":["http://www.mendeley.com/documents/?uuid=f7424ef0-50ef-4088-929b-b776b0f067e1"]},{"id":"ITEM-3","itemData":{"DOI":"10.3390/waste3020018","abstract":"Agricultural waste poses significant environmental, economic, and social challenges globally, with estimates indicating that 10–50% of agricultural products are discarded annually as waste. This review explores strategies for managing agricultural waste to mitigate its adverse impacts and promote sustainable development. Agricultural residues, such as those from sugarcane, rice, and wheat, contribute to pollution when improperly disposed of through burning or burying, contaminating soil, water, and air. However, these residues also represent untapped resources for bioenergy production, composting, mulching, and the creation of value-added products like biochar, bioplastics, single-cell protein and biobased building blocks. The paper highlights various solutions, including integrating agricultural waste into livestock feed formulations to reduce competition for human food crops, producing biofuels like ethanol and biodiesel from lignocellulosic materials, and adopting circular economy practices to upcycle waste into high-value products. Technologies such as anaerobic digestion for biogas production and gasification for synthesis gas offer renewable energy alternatives and ample feedstocks for gas fermentation while addressing waste management issues. Composting and vermicomposting enhance soil fertility, while mulching improves moisture retention and reduces erosion. Moreover, the review emphasizes the importance of policy frameworks, public-private partnerships, and farmer education in promoting effective waste management practices. By implementing these strategies, agricultural waste can be transformed into a resource, contributing to food security, environmental conservation, and economic growth.","author":[{"dropping-particle":"","family":"Lackner","given":"Maximilian","non-dropping-particle":"","parse-names":false,"suffix":""},{"dropping-particle":"","family":"Besharati","given":"Maghsoud","non-dropping-particle":"","parse-names":false,"suffix":""}],"container-title":"Waste","id":"ITEM-3","issue":"2","issued":{"date-parts":[["2025"]]},"page":"18","title":"Agricultural Waste: Challenges and Solutions, a Review","type":"article-journal","volume":"3"},"uris":["http://www.mendeley.com/documents/?uuid=68043c84-ad7a-4f4b-a822-e9e7fbaf49b1"]}],"mendeley":{"formattedCitation":"(FAO, 2022; Lackner &amp; Besharati, 2025; ONU, 2021)","plainTextFormattedCitation":"(FAO, 2022; Lackner &amp; Besharati, 2025; ONU, 2021)","previouslyFormattedCitation":"(FAO, 2022; Lackner &amp; Besharati, 2025; ONU, 2021)"},"properties":{"noteIndex":0},"schema":"https://github.com/citation-style-language/schema/raw/master/csl-citation.json"}</w:instrText>
      </w:r>
      <w:r>
        <w:rPr>
          <w:rFonts w:ascii="Arial Narrow" w:hAnsi="Arial Narrow"/>
        </w:rPr>
        <w:fldChar w:fldCharType="separate"/>
      </w:r>
      <w:r w:rsidR="00050692" w:rsidRPr="00050692">
        <w:rPr>
          <w:rFonts w:ascii="Arial Narrow" w:hAnsi="Arial Narrow"/>
          <w:noProof/>
        </w:rPr>
        <w:t>(FAO, 2022; Lackner &amp; Besharati, 2025; ONU, 2021)</w:t>
      </w:r>
      <w:r>
        <w:rPr>
          <w:rFonts w:ascii="Arial Narrow" w:hAnsi="Arial Narrow"/>
        </w:rPr>
        <w:fldChar w:fldCharType="end"/>
      </w:r>
      <w:r w:rsidR="00642DFC" w:rsidRPr="00E426C4">
        <w:rPr>
          <w:rFonts w:ascii="Arial Narrow" w:hAnsi="Arial Narrow"/>
        </w:rPr>
        <w:t>.</w:t>
      </w:r>
    </w:p>
    <w:p w14:paraId="7CED1648" w14:textId="097B6C60" w:rsidR="009A3C35" w:rsidRDefault="003A7177" w:rsidP="00642DFC">
      <w:pPr>
        <w:spacing w:line="276" w:lineRule="auto"/>
        <w:jc w:val="both"/>
        <w:rPr>
          <w:rFonts w:ascii="Arial Narrow" w:hAnsi="Arial Narrow"/>
        </w:rPr>
      </w:pPr>
      <w:r w:rsidRPr="003A7177">
        <w:rPr>
          <w:rFonts w:ascii="Arial Narrow" w:hAnsi="Arial Narrow"/>
        </w:rPr>
        <w:t>Colombia</w:t>
      </w:r>
      <w:r w:rsidR="00467C30">
        <w:rPr>
          <w:rFonts w:ascii="Arial Narrow" w:hAnsi="Arial Narrow"/>
        </w:rPr>
        <w:t xml:space="preserve"> no es ajeno a esto</w:t>
      </w:r>
      <w:r w:rsidRPr="003A7177">
        <w:rPr>
          <w:rFonts w:ascii="Arial Narrow" w:hAnsi="Arial Narrow"/>
        </w:rPr>
        <w:t>, gracias a sus favorables condiciones agroecológicas, ha mantenido una sólida tradición agropecuaria, posicionándose este sector como la cuarta actividad económica con mayor aporte al producto interno bruto (PIB), con una participación del 10,5 %</w:t>
      </w:r>
      <w:r w:rsidR="00E443C9">
        <w:rPr>
          <w:rFonts w:ascii="Arial Narrow" w:hAnsi="Arial Narrow"/>
        </w:rPr>
        <w:t xml:space="preserve"> y un crecimiento del 3</w:t>
      </w:r>
      <w:r w:rsidR="00467C30">
        <w:rPr>
          <w:rFonts w:ascii="Arial Narrow" w:hAnsi="Arial Narrow"/>
        </w:rPr>
        <w:t>,</w:t>
      </w:r>
      <w:r w:rsidR="00E443C9">
        <w:rPr>
          <w:rFonts w:ascii="Arial Narrow" w:hAnsi="Arial Narrow"/>
        </w:rPr>
        <w:t xml:space="preserve">1 % entre los años 2024 y 2025 </w:t>
      </w:r>
      <w:r w:rsidR="00E443C9">
        <w:rPr>
          <w:rFonts w:ascii="Arial Narrow" w:hAnsi="Arial Narrow"/>
        </w:rPr>
        <w:fldChar w:fldCharType="begin" w:fldLock="1"/>
      </w:r>
      <w:r w:rsidR="00152805">
        <w:rPr>
          <w:rFonts w:ascii="Arial Narrow" w:hAnsi="Arial Narrow"/>
        </w:rPr>
        <w:instrText>ADDIN CSL_CITATION {"citationItems":[{"id":"ITEM-1","itemData":{"author":[{"dropping-particle":"","family":"DANE","given":"","non-dropping-particle":"","parse-names":false,"suffix":""}],"id":"ITEM-1","issued":{"date-parts":[["2026"]]},"page":"1-51","title":"Boletín técnico Boletín técnico","type":"article-journal"},"uris":["http://www.mendeley.com/documents/?uuid=cb1a068c-f0e5-4fe5-b77f-d3f4534ec4d5"]}],"mendeley":{"formattedCitation":"(DANE, 2026)","plainTextFormattedCitation":"(DANE, 2026)","previouslyFormattedCitation":"(DANE, 2026)"},"properties":{"noteIndex":0},"schema":"https://github.com/citation-style-language/schema/raw/master/csl-citation.json"}</w:instrText>
      </w:r>
      <w:r w:rsidR="00E443C9">
        <w:rPr>
          <w:rFonts w:ascii="Arial Narrow" w:hAnsi="Arial Narrow"/>
        </w:rPr>
        <w:fldChar w:fldCharType="separate"/>
      </w:r>
      <w:r w:rsidR="00050692" w:rsidRPr="00050692">
        <w:rPr>
          <w:rFonts w:ascii="Arial Narrow" w:hAnsi="Arial Narrow"/>
          <w:noProof/>
        </w:rPr>
        <w:t>(DANE, 2026)</w:t>
      </w:r>
      <w:r w:rsidR="00E443C9">
        <w:rPr>
          <w:rFonts w:ascii="Arial Narrow" w:hAnsi="Arial Narrow"/>
        </w:rPr>
        <w:fldChar w:fldCharType="end"/>
      </w:r>
      <w:r w:rsidRPr="003A7177">
        <w:rPr>
          <w:rFonts w:ascii="Arial Narrow" w:hAnsi="Arial Narrow"/>
        </w:rPr>
        <w:t>. En este contexto, la Encuesta Nacional Agropecuaria 2023 (ENA 2023)</w:t>
      </w:r>
      <w:r>
        <w:rPr>
          <w:rFonts w:ascii="Arial Narrow" w:hAnsi="Arial Narrow"/>
        </w:rPr>
        <w:t xml:space="preserve"> </w:t>
      </w:r>
      <w:r w:rsidR="0060220E">
        <w:rPr>
          <w:rFonts w:ascii="Arial Narrow" w:hAnsi="Arial Narrow"/>
        </w:rPr>
        <w:fldChar w:fldCharType="begin" w:fldLock="1"/>
      </w:r>
      <w:r w:rsidR="00152805">
        <w:rPr>
          <w:rFonts w:ascii="Arial Narrow" w:hAnsi="Arial Narrow"/>
        </w:rPr>
        <w:instrText>ADDIN CSL_CITATION {"citationItems":[{"id":"ITEM-1","itemData":{"URL":"https://www.dane.gov.co/index.php/estadisticas-por-tema/agropecuario/encuesta-nacional-agropecuaria-ena","author":[{"dropping-particle":"","family":"DANE","given":"","non-dropping-particle":"","parse-names":false,"suffix":""}],"id":"ITEM-1","issued":{"date-parts":[["2023"]]},"title":"Encuesta nacional agropecuaria (ENA)","type":"webpage"},"uris":["http://www.mendeley.com/documents/?uuid=e9ab7783-7404-4f08-b924-a074be3039ae"]}],"mendeley":{"formattedCitation":"(DANE, 2023)","plainTextFormattedCitation":"(DANE, 2023)","previouslyFormattedCitation":"(DANE, 2023)"},"properties":{"noteIndex":0},"schema":"https://github.com/citation-style-language/schema/raw/master/csl-citation.json"}</w:instrText>
      </w:r>
      <w:r w:rsidR="0060220E">
        <w:rPr>
          <w:rFonts w:ascii="Arial Narrow" w:hAnsi="Arial Narrow"/>
        </w:rPr>
        <w:fldChar w:fldCharType="separate"/>
      </w:r>
      <w:r w:rsidR="00050692" w:rsidRPr="00050692">
        <w:rPr>
          <w:rFonts w:ascii="Arial Narrow" w:hAnsi="Arial Narrow"/>
          <w:noProof/>
        </w:rPr>
        <w:t>(DANE, 2023)</w:t>
      </w:r>
      <w:r w:rsidR="0060220E">
        <w:rPr>
          <w:rFonts w:ascii="Arial Narrow" w:hAnsi="Arial Narrow"/>
        </w:rPr>
        <w:fldChar w:fldCharType="end"/>
      </w:r>
      <w:r w:rsidR="0060220E">
        <w:rPr>
          <w:rFonts w:ascii="Arial Narrow" w:hAnsi="Arial Narrow"/>
        </w:rPr>
        <w:t>,</w:t>
      </w:r>
      <w:r w:rsidR="0060220E" w:rsidRPr="0060220E">
        <w:rPr>
          <w:rFonts w:ascii="Arial Narrow" w:hAnsi="Arial Narrow"/>
        </w:rPr>
        <w:t xml:space="preserve"> report</w:t>
      </w:r>
      <w:r>
        <w:rPr>
          <w:rFonts w:ascii="Arial Narrow" w:hAnsi="Arial Narrow"/>
        </w:rPr>
        <w:t xml:space="preserve">ó </w:t>
      </w:r>
      <w:r w:rsidR="00E443C9" w:rsidRPr="00E443C9">
        <w:rPr>
          <w:rFonts w:ascii="Arial Narrow" w:hAnsi="Arial Narrow"/>
        </w:rPr>
        <w:t>que el país cuenta con aproximadamente 49,8 millones de hectáreas de área rural dispersa con uso agropecuario, de las cuales 4,7 millones (9,4 %) corresponden a uso agrícola</w:t>
      </w:r>
      <w:r w:rsidR="00D25EA0">
        <w:rPr>
          <w:rFonts w:ascii="Arial Narrow" w:hAnsi="Arial Narrow"/>
        </w:rPr>
        <w:t xml:space="preserve">, principalmente al cultivo de especies agroindustriales (café, palma de aceite, caña de azúcar, cacao y soya), cereales, tubérculos, frutales </w:t>
      </w:r>
      <w:r w:rsidR="00D25EA0">
        <w:rPr>
          <w:rFonts w:ascii="Arial Narrow" w:hAnsi="Arial Narrow"/>
        </w:rPr>
        <w:lastRenderedPageBreak/>
        <w:t>y hortalizas</w:t>
      </w:r>
      <w:r w:rsidR="00E443C9" w:rsidRPr="00E443C9">
        <w:rPr>
          <w:rFonts w:ascii="Arial Narrow" w:hAnsi="Arial Narrow"/>
        </w:rPr>
        <w:t xml:space="preserve">. </w:t>
      </w:r>
      <w:r w:rsidR="00D25EA0">
        <w:rPr>
          <w:rFonts w:ascii="Arial Narrow" w:hAnsi="Arial Narrow"/>
        </w:rPr>
        <w:t>No obstante, e</w:t>
      </w:r>
      <w:r w:rsidR="00E443C9" w:rsidRPr="00E443C9">
        <w:rPr>
          <w:rFonts w:ascii="Arial Narrow" w:hAnsi="Arial Narrow"/>
        </w:rPr>
        <w:t>stas cifras evidencian una subutilización de la frontera agrícola y, en consecuencia, un importante potencial de expansión productiva</w:t>
      </w:r>
      <w:r w:rsidR="00E443C9">
        <w:rPr>
          <w:rFonts w:ascii="Arial Narrow" w:hAnsi="Arial Narrow"/>
        </w:rPr>
        <w:t xml:space="preserve"> </w:t>
      </w:r>
      <w:r w:rsidR="0060220E">
        <w:rPr>
          <w:rFonts w:ascii="Arial Narrow" w:hAnsi="Arial Narrow"/>
        </w:rPr>
        <w:fldChar w:fldCharType="begin" w:fldLock="1"/>
      </w:r>
      <w:r w:rsidR="00152805">
        <w:rPr>
          <w:rFonts w:ascii="Arial Narrow" w:hAnsi="Arial Narrow"/>
        </w:rPr>
        <w:instrText>ADDIN CSL_CITATION {"citationItems":[{"id":"ITEM-1","itemData":{"abstract":"En las páginas siguientes, se encuentra una descripción del marco metodológico y conceptual con el cual se construyó el Pectia, los resultados más sobresalientes del diagnóstico del sector agropecuario desde la perspectiva de la CTi y el plan estratégico en sí, partiendo de su misión, visión, objetivos estratégicos, factores habilitantes y factores específicos, con sus respectivas estrategias ylíneas de acción. En el último capítulo, se proponen mecanismos para su implementación, seguimiento y evaluación.","author":[{"dropping-particle":"","family":"CORPOICA","given":"","non-dropping-particle":"","parse-names":false,"suffix":""},{"dropping-particle":"","family":"MINAGRICULTURA","given":"","non-dropping-particle":"","parse-names":false,"suffix":""},{"dropping-particle":"","family":"COLCIENCIAS","given":"","non-dropping-particle":"","parse-names":false,"suffix":""}],"id":"ITEM-1","issued":{"date-parts":[["2016"]]},"page":"148 páginas","title":"PECTIA :Plan Estratégico de Ciencia, Tecnología e Innovación del sector Agropecuario colombiano (2017-2027)","type":"article-journal"},"uris":["http://www.mendeley.com/documents/?uuid=4980eabf-7606-4918-985d-81e24bc48c7b"]}],"mendeley":{"formattedCitation":"(CORPOICA et al., 2016)","plainTextFormattedCitation":"(CORPOICA et al., 2016)","previouslyFormattedCitation":"(CORPOICA et al., 2016)"},"properties":{"noteIndex":0},"schema":"https://github.com/citation-style-language/schema/raw/master/csl-citation.json"}</w:instrText>
      </w:r>
      <w:r w:rsidR="0060220E">
        <w:rPr>
          <w:rFonts w:ascii="Arial Narrow" w:hAnsi="Arial Narrow"/>
        </w:rPr>
        <w:fldChar w:fldCharType="separate"/>
      </w:r>
      <w:r w:rsidR="00050692" w:rsidRPr="00050692">
        <w:rPr>
          <w:rFonts w:ascii="Arial Narrow" w:hAnsi="Arial Narrow"/>
          <w:noProof/>
        </w:rPr>
        <w:t>(CORPOICA et al., 2016)</w:t>
      </w:r>
      <w:r w:rsidR="0060220E">
        <w:rPr>
          <w:rFonts w:ascii="Arial Narrow" w:hAnsi="Arial Narrow"/>
        </w:rPr>
        <w:fldChar w:fldCharType="end"/>
      </w:r>
      <w:r w:rsidR="0060220E">
        <w:rPr>
          <w:rFonts w:ascii="Arial Narrow" w:hAnsi="Arial Narrow"/>
        </w:rPr>
        <w:t>.</w:t>
      </w:r>
      <w:r>
        <w:rPr>
          <w:rFonts w:ascii="Arial Narrow" w:hAnsi="Arial Narrow"/>
        </w:rPr>
        <w:t xml:space="preserve"> </w:t>
      </w:r>
    </w:p>
    <w:p w14:paraId="645E2F33" w14:textId="711942A3" w:rsidR="006E5599" w:rsidRDefault="006E5599" w:rsidP="006E5599">
      <w:pPr>
        <w:spacing w:line="276" w:lineRule="auto"/>
        <w:jc w:val="both"/>
        <w:rPr>
          <w:rFonts w:ascii="Arial Narrow" w:hAnsi="Arial Narrow"/>
        </w:rPr>
      </w:pPr>
      <w:r>
        <w:rPr>
          <w:rFonts w:ascii="Arial Narrow" w:hAnsi="Arial Narrow"/>
        </w:rPr>
        <w:t>Por su parte, s</w:t>
      </w:r>
      <w:r w:rsidR="00D25EA0">
        <w:rPr>
          <w:rFonts w:ascii="Arial Narrow" w:hAnsi="Arial Narrow"/>
        </w:rPr>
        <w:t xml:space="preserve">egún el </w:t>
      </w:r>
      <w:r w:rsidR="00D25EA0" w:rsidRPr="00D25EA0">
        <w:rPr>
          <w:rFonts w:ascii="Arial Narrow" w:hAnsi="Arial Narrow"/>
        </w:rPr>
        <w:t>Departamento Nacional de Planeación</w:t>
      </w:r>
      <w:r w:rsidR="00D25EA0">
        <w:rPr>
          <w:rFonts w:ascii="Arial Narrow" w:hAnsi="Arial Narrow"/>
        </w:rPr>
        <w:t xml:space="preserve"> </w:t>
      </w:r>
      <w:r w:rsidR="00D25EA0">
        <w:rPr>
          <w:rFonts w:ascii="Arial Narrow" w:hAnsi="Arial Narrow"/>
        </w:rPr>
        <w:fldChar w:fldCharType="begin" w:fldLock="1"/>
      </w:r>
      <w:r w:rsidR="00152805">
        <w:rPr>
          <w:rFonts w:ascii="Arial Narrow" w:hAnsi="Arial Narrow"/>
        </w:rPr>
        <w:instrText>ADDIN CSL_CITATION {"citationItems":[{"id":"ITEM-1","itemData":{"abstract":"Disminuir la pérdida y el desperdicio de alimentos se convirtió en un propósito mundial a partir de la aprobación de los Objetivos de Desarrollo Sostenible suscritos por 193 países en la Asamblea General de Naciones Unidas el pasado 25 de septiembre de 2015. Dicho objetivo quedó plasmado como una de las 169 metas que estas naciones se comprometieron a alcanzar para el año 2030. Específicamente en este tema, el compromiso establece la obligación de “reducir a la mitad el desperdicio de alimentos per cápita mundial en la venta al por menor y a nivel de los consumidores y reducir las pérdidas de alimentos en las cadenas de producción y suministro, incluidas las pérdidas posteriores a la cosecha” (Naciones Unidas, 2015).","author":[{"dropping-particle":"","family":"DNP","given":"","non-dropping-particle":"","parse-names":false,"suffix":""}],"container-title":"Departamento Nacional de Planeación","id":"ITEM-1","issued":{"date-parts":[["2016"]]},"page":"116","title":"Pérdida y Desperdicio de alimentos en Colombia","type":"article-journal","volume":"39"},"uris":["http://www.mendeley.com/documents/?uuid=79121928-30e2-43a8-8c40-83742e9a28ca"]}],"mendeley":{"formattedCitation":"(DNP, 2016)","plainTextFormattedCitation":"(DNP, 2016)","previouslyFormattedCitation":"(DNP, 2016)"},"properties":{"noteIndex":0},"schema":"https://github.com/citation-style-language/schema/raw/master/csl-citation.json"}</w:instrText>
      </w:r>
      <w:r w:rsidR="00D25EA0">
        <w:rPr>
          <w:rFonts w:ascii="Arial Narrow" w:hAnsi="Arial Narrow"/>
        </w:rPr>
        <w:fldChar w:fldCharType="separate"/>
      </w:r>
      <w:r w:rsidR="00050692" w:rsidRPr="00050692">
        <w:rPr>
          <w:rFonts w:ascii="Arial Narrow" w:hAnsi="Arial Narrow"/>
          <w:noProof/>
        </w:rPr>
        <w:t>(DNP, 2016)</w:t>
      </w:r>
      <w:r w:rsidR="00D25EA0">
        <w:rPr>
          <w:rFonts w:ascii="Arial Narrow" w:hAnsi="Arial Narrow"/>
        </w:rPr>
        <w:fldChar w:fldCharType="end"/>
      </w:r>
      <w:r w:rsidR="00D25EA0">
        <w:rPr>
          <w:rFonts w:ascii="Arial Narrow" w:hAnsi="Arial Narrow"/>
        </w:rPr>
        <w:t>, en Colombia se pierden y se desperdician más de 9</w:t>
      </w:r>
      <w:r>
        <w:rPr>
          <w:rFonts w:ascii="Arial Narrow" w:hAnsi="Arial Narrow"/>
        </w:rPr>
        <w:t>,7</w:t>
      </w:r>
      <w:r w:rsidR="00D25EA0">
        <w:rPr>
          <w:rFonts w:ascii="Arial Narrow" w:hAnsi="Arial Narrow"/>
        </w:rPr>
        <w:t xml:space="preserve"> millones de toneladas de </w:t>
      </w:r>
      <w:r>
        <w:rPr>
          <w:rFonts w:ascii="Arial Narrow" w:hAnsi="Arial Narrow"/>
        </w:rPr>
        <w:t xml:space="preserve">alimentos provenientes de la cadena agropecuaria, que corresponden a </w:t>
      </w:r>
      <w:r w:rsidRPr="006E5599">
        <w:rPr>
          <w:rFonts w:ascii="Arial Narrow" w:hAnsi="Arial Narrow"/>
        </w:rPr>
        <w:t xml:space="preserve">en las etapas de producción, </w:t>
      </w:r>
      <w:proofErr w:type="spellStart"/>
      <w:r w:rsidRPr="006E5599">
        <w:rPr>
          <w:rFonts w:ascii="Arial Narrow" w:hAnsi="Arial Narrow"/>
        </w:rPr>
        <w:t>poscosecha</w:t>
      </w:r>
      <w:proofErr w:type="spellEnd"/>
      <w:r w:rsidRPr="006E5599">
        <w:rPr>
          <w:rFonts w:ascii="Arial Narrow" w:hAnsi="Arial Narrow"/>
        </w:rPr>
        <w:t>, almacenamiento y procesamiento industrial</w:t>
      </w:r>
      <w:r>
        <w:rPr>
          <w:rFonts w:ascii="Arial Narrow" w:hAnsi="Arial Narrow"/>
        </w:rPr>
        <w:t xml:space="preserve"> (más del 60%) y el restante se asocia </w:t>
      </w:r>
      <w:r w:rsidRPr="006E5599">
        <w:rPr>
          <w:rFonts w:ascii="Arial Narrow" w:hAnsi="Arial Narrow"/>
        </w:rPr>
        <w:t>a desperdicios generados durante la distribución, el comercio minorista y el consumo en los hogares</w:t>
      </w:r>
      <w:r>
        <w:rPr>
          <w:rFonts w:ascii="Arial Narrow" w:hAnsi="Arial Narrow"/>
        </w:rPr>
        <w:t xml:space="preserve"> </w:t>
      </w:r>
      <w:r>
        <w:rPr>
          <w:rFonts w:ascii="Arial Narrow" w:hAnsi="Arial Narrow"/>
        </w:rPr>
        <w:fldChar w:fldCharType="begin" w:fldLock="1"/>
      </w:r>
      <w:r w:rsidR="00152805">
        <w:rPr>
          <w:rFonts w:ascii="Arial Narrow" w:hAnsi="Arial Narrow"/>
        </w:rPr>
        <w:instrText>ADDIN CSL_CITATION {"citationItems":[{"id":"ITEM-1","itemData":{"DOI":"10.22490/25394088.7446","ISSN":"1900-6608","abstract":"This work presents an advance in the systemic representation of the generation of waste and food losses in a food production system of agricultural origin in the context of Colombian food chains. For this, the phases of the production system were identified, and after that, some causes associated with food loss were identified. Once the system was understood in a linear manner, it was possible to interconnect the entire system from the systemic perspective, using a causal diagram with feedback structures. This made it evident that the problem must be addressed with tools that allow studying complex systems, since the food production system has feedbacks, interconnections and delays that cannot be demonstrated separately from each other. This is a first advance in order to understand food production chains in a systemic and complex way, in order to mitigate the generation of waste and food losses in Colombia.En este trabajo se presenta un avance en la representación sistémica de la generación de residuos y pérdidas de alimentos en un sistema de producción de alimentos de origen agrícola en el contexto de las cadenas alimentarias de Colombia. Para esto, se identificaron las fases del sistema de producción, y posterior a ello, se identificaron unas causas asociadas a la pérdida de alimentos. Una vez comprendido el sistema de manera lineal, se logró interconectar todo el sistema desde la perspectiva sistémica, usando un diagrama causal con estructuras de realimentación. Esto permitió evidenciar que se debe abordar el problema con herramientas que permitan estudiar sistemas complejos, pues el sistema de producción de alimentos tiene, realimentaciones, interconexiones y demoras que separadas entre si no es posible evidenciar. Este es un primer avance en aras de comprender las cadenas productivas alimentarias de una manera sistémica y compleja, con el fin de poder mitigar la generación de residuos y pérdidas de alimentos en Colombia.","author":[{"dropping-particle":"","family":"Ibarra Vega","given":"Danny","non-dropping-particle":"","parse-names":false,"suffix":""}],"container-title":"Publicaciones e Investigación","id":"ITEM-1","issue":"3","issued":{"date-parts":[["2023"]]},"page":"1-4","title":"Perspectiva sistémica de la generación de residuos y pérdidas de alimentos en Colombia","type":"article-journal","volume":"17"},"uris":["http://www.mendeley.com/documents/?uuid=b08ba22b-cd6c-442a-aad5-ac361189ed92"]}],"mendeley":{"formattedCitation":"(Ibarra Vega, 2023)","plainTextFormattedCitation":"(Ibarra Vega, 2023)","previouslyFormattedCitation":"(Ibarra Vega, 2023)"},"properties":{"noteIndex":0},"schema":"https://github.com/citation-style-language/schema/raw/master/csl-citation.json"}</w:instrText>
      </w:r>
      <w:r>
        <w:rPr>
          <w:rFonts w:ascii="Arial Narrow" w:hAnsi="Arial Narrow"/>
        </w:rPr>
        <w:fldChar w:fldCharType="separate"/>
      </w:r>
      <w:r w:rsidR="00050692" w:rsidRPr="00050692">
        <w:rPr>
          <w:rFonts w:ascii="Arial Narrow" w:hAnsi="Arial Narrow"/>
          <w:noProof/>
        </w:rPr>
        <w:t>(Ibarra Vega, 2023)</w:t>
      </w:r>
      <w:r>
        <w:rPr>
          <w:rFonts w:ascii="Arial Narrow" w:hAnsi="Arial Narrow"/>
        </w:rPr>
        <w:fldChar w:fldCharType="end"/>
      </w:r>
      <w:r>
        <w:rPr>
          <w:rFonts w:ascii="Arial Narrow" w:hAnsi="Arial Narrow"/>
        </w:rPr>
        <w:t>.</w:t>
      </w:r>
    </w:p>
    <w:p w14:paraId="12A33515" w14:textId="2A3AF052" w:rsidR="006E5599" w:rsidRDefault="006E5599" w:rsidP="006E5599">
      <w:pPr>
        <w:spacing w:line="276" w:lineRule="auto"/>
        <w:jc w:val="both"/>
        <w:rPr>
          <w:rFonts w:ascii="Arial Narrow" w:hAnsi="Arial Narrow"/>
        </w:rPr>
      </w:pPr>
      <w:r w:rsidRPr="006E5599">
        <w:rPr>
          <w:rFonts w:ascii="Arial Narrow" w:hAnsi="Arial Narrow"/>
        </w:rPr>
        <w:t xml:space="preserve">En este contexto, se hace </w:t>
      </w:r>
      <w:r w:rsidR="00D5188C">
        <w:rPr>
          <w:rFonts w:ascii="Arial Narrow" w:hAnsi="Arial Narrow"/>
        </w:rPr>
        <w:t>necesaria</w:t>
      </w:r>
      <w:r w:rsidRPr="006E5599">
        <w:rPr>
          <w:rFonts w:ascii="Arial Narrow" w:hAnsi="Arial Narrow"/>
        </w:rPr>
        <w:t xml:space="preserve"> la implementación de estrategias integrales de sostenibilidad</w:t>
      </w:r>
      <w:r w:rsidR="00D5188C">
        <w:rPr>
          <w:rFonts w:ascii="Arial Narrow" w:hAnsi="Arial Narrow"/>
        </w:rPr>
        <w:t>,</w:t>
      </w:r>
      <w:r w:rsidRPr="006E5599">
        <w:rPr>
          <w:rFonts w:ascii="Arial Narrow" w:hAnsi="Arial Narrow"/>
        </w:rPr>
        <w:t xml:space="preserve"> economía circular</w:t>
      </w:r>
      <w:r w:rsidR="00D5188C">
        <w:rPr>
          <w:rFonts w:ascii="Arial Narrow" w:hAnsi="Arial Narrow"/>
        </w:rPr>
        <w:t>, eficiencia y bioeconomía</w:t>
      </w:r>
      <w:r w:rsidRPr="006E5599">
        <w:rPr>
          <w:rFonts w:ascii="Arial Narrow" w:hAnsi="Arial Narrow"/>
        </w:rPr>
        <w:t xml:space="preserve">, </w:t>
      </w:r>
      <w:r w:rsidR="00D5188C" w:rsidRPr="00D5188C">
        <w:rPr>
          <w:rFonts w:ascii="Arial Narrow" w:hAnsi="Arial Narrow"/>
        </w:rPr>
        <w:t>que permitan aumentar la producción, optimizar el uso de los recursos disponibles, reducir pérdidas a lo largo de la cadena agroalimentaria, diversificar los sistemas productivos y promover el aprovechamiento de subproductos y residuos agrícolas como insumos para nuevos ciclos productivos, disminuyendo así la competencia directa entre el uso alimentario e industrial de la biomasa vegetal</w:t>
      </w:r>
      <w:r w:rsidR="00D82F28">
        <w:rPr>
          <w:rFonts w:ascii="Arial Narrow" w:hAnsi="Arial Narrow"/>
        </w:rPr>
        <w:t>, además de mitigar el impacto ambiental</w:t>
      </w:r>
      <w:r w:rsidR="00D5188C" w:rsidRPr="00D5188C">
        <w:rPr>
          <w:rFonts w:ascii="Arial Narrow" w:hAnsi="Arial Narrow"/>
        </w:rPr>
        <w:t>.</w:t>
      </w:r>
      <w:r w:rsidR="00D82F28">
        <w:rPr>
          <w:rFonts w:ascii="Arial Narrow" w:hAnsi="Arial Narrow"/>
        </w:rPr>
        <w:t xml:space="preserve"> </w:t>
      </w:r>
      <w:r w:rsidRPr="006E5599">
        <w:rPr>
          <w:rFonts w:ascii="Arial Narrow" w:hAnsi="Arial Narrow"/>
        </w:rPr>
        <w:t>Estas estrategias deben abordarse desde tres ejes fundamentales</w:t>
      </w:r>
      <w:r w:rsidR="00D82F28">
        <w:rPr>
          <w:rFonts w:ascii="Arial Narrow" w:hAnsi="Arial Narrow"/>
        </w:rPr>
        <w:t xml:space="preserve"> i). </w:t>
      </w:r>
      <w:r w:rsidRPr="006E5599">
        <w:rPr>
          <w:rFonts w:ascii="Arial Narrow" w:hAnsi="Arial Narrow"/>
        </w:rPr>
        <w:t xml:space="preserve">la formación de capital humano en ingeniería agrícola con competencias técnicas, analíticas y sistémicas que permitan comprender y enfrentar los desafíos </w:t>
      </w:r>
      <w:r w:rsidR="00D82F28">
        <w:rPr>
          <w:rFonts w:ascii="Arial Narrow" w:hAnsi="Arial Narrow"/>
        </w:rPr>
        <w:t xml:space="preserve">regionales, nacionales e internacionales; </w:t>
      </w:r>
      <w:proofErr w:type="spellStart"/>
      <w:r w:rsidR="00D82F28">
        <w:rPr>
          <w:rFonts w:ascii="Arial Narrow" w:hAnsi="Arial Narrow"/>
        </w:rPr>
        <w:t>ii</w:t>
      </w:r>
      <w:proofErr w:type="spellEnd"/>
      <w:r w:rsidR="00D82F28">
        <w:rPr>
          <w:rFonts w:ascii="Arial Narrow" w:hAnsi="Arial Narrow"/>
        </w:rPr>
        <w:t xml:space="preserve">). </w:t>
      </w:r>
      <w:r w:rsidRPr="006E5599">
        <w:rPr>
          <w:rFonts w:ascii="Arial Narrow" w:hAnsi="Arial Narrow"/>
        </w:rPr>
        <w:t>el fortalecimiento de estrategias de investigación orientadas a la generación de nuevo conocimiento, que no solo contribuya a la mitigación de estas problemáticas, sino que también promueva la innovación, la diversificación productiva y la ampliación sostenible de la frontera agrícola</w:t>
      </w:r>
      <w:r w:rsidR="00467C30">
        <w:rPr>
          <w:rFonts w:ascii="Arial Narrow" w:hAnsi="Arial Narrow"/>
        </w:rPr>
        <w:t>, y</w:t>
      </w:r>
      <w:r w:rsidRPr="006E5599">
        <w:rPr>
          <w:rFonts w:ascii="Arial Narrow" w:hAnsi="Arial Narrow"/>
        </w:rPr>
        <w:t xml:space="preserve"> </w:t>
      </w:r>
      <w:r w:rsidR="00467C30">
        <w:rPr>
          <w:rFonts w:ascii="Arial Narrow" w:hAnsi="Arial Narrow"/>
        </w:rPr>
        <w:t>f</w:t>
      </w:r>
      <w:r w:rsidRPr="006E5599">
        <w:rPr>
          <w:rFonts w:ascii="Arial Narrow" w:hAnsi="Arial Narrow"/>
        </w:rPr>
        <w:t xml:space="preserve">inalmente, </w:t>
      </w:r>
      <w:proofErr w:type="spellStart"/>
      <w:r w:rsidR="00D82F28">
        <w:rPr>
          <w:rFonts w:ascii="Arial Narrow" w:hAnsi="Arial Narrow"/>
        </w:rPr>
        <w:t>iii</w:t>
      </w:r>
      <w:proofErr w:type="spellEnd"/>
      <w:r w:rsidR="00D82F28">
        <w:rPr>
          <w:rFonts w:ascii="Arial Narrow" w:hAnsi="Arial Narrow"/>
        </w:rPr>
        <w:t xml:space="preserve">). </w:t>
      </w:r>
      <w:r w:rsidRPr="006E5599">
        <w:rPr>
          <w:rFonts w:ascii="Arial Narrow" w:hAnsi="Arial Narrow"/>
        </w:rPr>
        <w:t>es necesario consolidar procesos de apropiación social del conocimiento mediante estrategias de educación, transferencia tecnológica y acompañamiento en territorio, que faciliten la implementación efectiva de soluciones en contextos reales y promuevan el desarrollo rural sostenible.</w:t>
      </w:r>
      <w:r w:rsidR="00D82F28">
        <w:rPr>
          <w:rFonts w:ascii="Arial Narrow" w:hAnsi="Arial Narrow"/>
        </w:rPr>
        <w:t xml:space="preserve"> </w:t>
      </w:r>
      <w:r w:rsidRPr="006E5599">
        <w:rPr>
          <w:rFonts w:ascii="Arial Narrow" w:hAnsi="Arial Narrow"/>
        </w:rPr>
        <w:t>En este sentido, la presente propuesta tiene como objetivo presentar las estrategias que se abordarían desde estas tres perspectivas o ejes misionales</w:t>
      </w:r>
      <w:r w:rsidR="00D82F28">
        <w:rPr>
          <w:rFonts w:ascii="Arial Narrow" w:hAnsi="Arial Narrow"/>
        </w:rPr>
        <w:t xml:space="preserve"> (</w:t>
      </w:r>
      <w:r w:rsidR="00D82F28" w:rsidRPr="006E5599">
        <w:rPr>
          <w:rFonts w:ascii="Arial Narrow" w:hAnsi="Arial Narrow"/>
        </w:rPr>
        <w:t>docencia, investigación y extensión social</w:t>
      </w:r>
      <w:r w:rsidR="00D82F28">
        <w:rPr>
          <w:rFonts w:ascii="Arial Narrow" w:hAnsi="Arial Narrow"/>
        </w:rPr>
        <w:t>) asociados a la Universidad Nacional de Colombia y considerando los lineamientos del Proyecto Educativo del Programa en Ingeniería Agrícola.</w:t>
      </w:r>
    </w:p>
    <w:p w14:paraId="54AF3C26" w14:textId="11EEDF2E" w:rsidR="00DC6CBD" w:rsidRPr="004046DF" w:rsidRDefault="00DC6CBD" w:rsidP="004046DF">
      <w:pPr>
        <w:pStyle w:val="Prrafodelista"/>
        <w:numPr>
          <w:ilvl w:val="0"/>
          <w:numId w:val="1"/>
        </w:numPr>
        <w:spacing w:line="276" w:lineRule="auto"/>
        <w:rPr>
          <w:rFonts w:ascii="Arial Narrow" w:hAnsi="Arial Narrow"/>
          <w:b/>
          <w:bCs/>
          <w:lang w:val="es-ES"/>
        </w:rPr>
      </w:pPr>
      <w:r w:rsidRPr="004046DF">
        <w:rPr>
          <w:rFonts w:ascii="Arial Narrow" w:hAnsi="Arial Narrow"/>
          <w:b/>
          <w:bCs/>
          <w:lang w:val="es-ES"/>
        </w:rPr>
        <w:t>Objetivos</w:t>
      </w:r>
    </w:p>
    <w:p w14:paraId="3C86280D" w14:textId="5CBFA85C" w:rsidR="004046DF" w:rsidRPr="004046DF" w:rsidRDefault="004046DF" w:rsidP="004046DF">
      <w:pPr>
        <w:pStyle w:val="Prrafodelista"/>
        <w:numPr>
          <w:ilvl w:val="1"/>
          <w:numId w:val="1"/>
        </w:numPr>
        <w:spacing w:line="276" w:lineRule="auto"/>
        <w:rPr>
          <w:rFonts w:ascii="Arial Narrow" w:hAnsi="Arial Narrow"/>
          <w:b/>
          <w:bCs/>
        </w:rPr>
      </w:pPr>
      <w:r w:rsidRPr="004046DF">
        <w:rPr>
          <w:rFonts w:ascii="Arial Narrow" w:hAnsi="Arial Narrow"/>
          <w:b/>
          <w:bCs/>
        </w:rPr>
        <w:t>Objetivo General</w:t>
      </w:r>
    </w:p>
    <w:p w14:paraId="0153F188" w14:textId="42B61855" w:rsidR="00A84B62" w:rsidRDefault="00D82F28" w:rsidP="00D82F28">
      <w:pPr>
        <w:spacing w:line="276" w:lineRule="auto"/>
        <w:jc w:val="both"/>
        <w:rPr>
          <w:rFonts w:ascii="Arial Narrow" w:hAnsi="Arial Narrow"/>
        </w:rPr>
      </w:pPr>
      <w:r w:rsidRPr="00D82F28">
        <w:rPr>
          <w:rFonts w:ascii="Arial Narrow" w:hAnsi="Arial Narrow"/>
        </w:rPr>
        <w:t>Aportar al fortalecimiento del Programa de Ingeniería Agrícola mediante el desarrollo de una propuesta integral que articule</w:t>
      </w:r>
      <w:r w:rsidRPr="00D82F28">
        <w:t xml:space="preserve"> </w:t>
      </w:r>
      <w:r w:rsidRPr="00D82F28">
        <w:rPr>
          <w:rFonts w:ascii="Arial Narrow" w:hAnsi="Arial Narrow"/>
        </w:rPr>
        <w:t>la docencia, la investigación y la extensión social, orientada a promover la sostenibilidad, la eficiencia productiva y la apropiación tecnológica en el sector agropecuario.</w:t>
      </w:r>
    </w:p>
    <w:p w14:paraId="3295A60D" w14:textId="4A875056" w:rsidR="00A84B62" w:rsidRPr="004046DF" w:rsidRDefault="00A84B62" w:rsidP="004046DF">
      <w:pPr>
        <w:pStyle w:val="Prrafodelista"/>
        <w:numPr>
          <w:ilvl w:val="1"/>
          <w:numId w:val="1"/>
        </w:numPr>
        <w:spacing w:line="276" w:lineRule="auto"/>
        <w:rPr>
          <w:rFonts w:ascii="Arial Narrow" w:hAnsi="Arial Narrow"/>
          <w:b/>
          <w:bCs/>
        </w:rPr>
      </w:pPr>
      <w:r w:rsidRPr="004046DF">
        <w:rPr>
          <w:rFonts w:ascii="Arial Narrow" w:hAnsi="Arial Narrow"/>
          <w:b/>
          <w:bCs/>
        </w:rPr>
        <w:t>Objetivos específicos</w:t>
      </w:r>
    </w:p>
    <w:p w14:paraId="2BB4648E" w14:textId="77777777" w:rsidR="004218DA" w:rsidRDefault="004218DA" w:rsidP="00A84B62">
      <w:pPr>
        <w:pStyle w:val="Prrafodelista"/>
        <w:numPr>
          <w:ilvl w:val="0"/>
          <w:numId w:val="4"/>
        </w:numPr>
        <w:spacing w:line="276" w:lineRule="auto"/>
        <w:jc w:val="both"/>
        <w:rPr>
          <w:rFonts w:ascii="Arial Narrow" w:hAnsi="Arial Narrow"/>
        </w:rPr>
      </w:pPr>
      <w:r>
        <w:rPr>
          <w:rFonts w:ascii="Arial Narrow" w:hAnsi="Arial Narrow"/>
        </w:rPr>
        <w:t>I</w:t>
      </w:r>
      <w:r w:rsidRPr="004218DA">
        <w:rPr>
          <w:rFonts w:ascii="Arial Narrow" w:hAnsi="Arial Narrow"/>
        </w:rPr>
        <w:t>mplementar estrategias de enseñanza-aprendizaje basadas en metodologías activas que articulen la formación en ingeniería agrícola con la resolución de problemáticas reales del sector, promoviendo el desarrollo de competencias técnicas, analíticas y contextuales en los estudiantes.</w:t>
      </w:r>
    </w:p>
    <w:p w14:paraId="183634D3" w14:textId="77777777" w:rsidR="004218DA" w:rsidRDefault="004218DA" w:rsidP="004218DA">
      <w:pPr>
        <w:pStyle w:val="Prrafodelista"/>
        <w:numPr>
          <w:ilvl w:val="0"/>
          <w:numId w:val="4"/>
        </w:numPr>
        <w:spacing w:line="276" w:lineRule="auto"/>
        <w:jc w:val="both"/>
        <w:rPr>
          <w:rFonts w:ascii="Arial Narrow" w:hAnsi="Arial Narrow"/>
        </w:rPr>
      </w:pPr>
      <w:r w:rsidRPr="004218DA">
        <w:rPr>
          <w:rFonts w:ascii="Arial Narrow" w:hAnsi="Arial Narrow"/>
        </w:rPr>
        <w:t xml:space="preserve">Desarrollar investigación aplicada orientada a la reducción de pérdidas </w:t>
      </w:r>
      <w:proofErr w:type="spellStart"/>
      <w:r w:rsidRPr="004218DA">
        <w:rPr>
          <w:rFonts w:ascii="Arial Narrow" w:hAnsi="Arial Narrow"/>
        </w:rPr>
        <w:t>poscosecha</w:t>
      </w:r>
      <w:proofErr w:type="spellEnd"/>
      <w:r w:rsidRPr="004218DA">
        <w:rPr>
          <w:rFonts w:ascii="Arial Narrow" w:hAnsi="Arial Narrow"/>
        </w:rPr>
        <w:t xml:space="preserve"> y la agregación de valor, en articulación con los lineamientos institucionales y las necesidades del sector agropecuario.</w:t>
      </w:r>
    </w:p>
    <w:p w14:paraId="7A44C286" w14:textId="02019FF3" w:rsidR="004046DF" w:rsidRDefault="004218DA" w:rsidP="004218DA">
      <w:pPr>
        <w:pStyle w:val="Prrafodelista"/>
        <w:numPr>
          <w:ilvl w:val="0"/>
          <w:numId w:val="4"/>
        </w:numPr>
        <w:spacing w:line="276" w:lineRule="auto"/>
        <w:jc w:val="both"/>
        <w:rPr>
          <w:rFonts w:ascii="Arial Narrow" w:hAnsi="Arial Narrow"/>
        </w:rPr>
      </w:pPr>
      <w:r w:rsidRPr="004218DA">
        <w:rPr>
          <w:rFonts w:ascii="Arial Narrow" w:hAnsi="Arial Narrow"/>
        </w:rPr>
        <w:t>Fortalecer la articulación universidad–sector productivo mediante extensión y transferencia tecnológica, formando ingenieros agrícolas con enfoque territorial, conciencia social y compromiso ético</w:t>
      </w:r>
    </w:p>
    <w:p w14:paraId="1361F091" w14:textId="32223163" w:rsidR="00416B18" w:rsidRDefault="00416B18" w:rsidP="00416B18">
      <w:pPr>
        <w:spacing w:line="276" w:lineRule="auto"/>
        <w:jc w:val="both"/>
        <w:rPr>
          <w:rFonts w:ascii="Arial Narrow" w:hAnsi="Arial Narrow"/>
        </w:rPr>
      </w:pPr>
    </w:p>
    <w:p w14:paraId="64CD7443" w14:textId="77777777" w:rsidR="00467C30" w:rsidRPr="00416B18" w:rsidRDefault="00467C30" w:rsidP="00416B18">
      <w:pPr>
        <w:spacing w:line="276" w:lineRule="auto"/>
        <w:jc w:val="both"/>
        <w:rPr>
          <w:rFonts w:ascii="Arial Narrow" w:hAnsi="Arial Narrow"/>
        </w:rPr>
      </w:pPr>
    </w:p>
    <w:p w14:paraId="0FDFE493" w14:textId="6E58FE79" w:rsidR="004046DF" w:rsidRPr="004046DF" w:rsidRDefault="004046DF" w:rsidP="004046DF">
      <w:pPr>
        <w:pStyle w:val="Prrafodelista"/>
        <w:numPr>
          <w:ilvl w:val="0"/>
          <w:numId w:val="1"/>
        </w:numPr>
        <w:spacing w:line="276" w:lineRule="auto"/>
        <w:rPr>
          <w:rFonts w:ascii="Arial Narrow" w:hAnsi="Arial Narrow"/>
          <w:b/>
          <w:bCs/>
          <w:lang w:val="es-ES"/>
        </w:rPr>
      </w:pPr>
      <w:r w:rsidRPr="004046DF">
        <w:rPr>
          <w:rFonts w:ascii="Arial Narrow" w:hAnsi="Arial Narrow"/>
          <w:b/>
          <w:bCs/>
          <w:lang w:val="es-ES"/>
        </w:rPr>
        <w:lastRenderedPageBreak/>
        <w:t>Propuesta por componente</w:t>
      </w:r>
    </w:p>
    <w:p w14:paraId="186E3A2B" w14:textId="7A3DB38B" w:rsidR="00DC6CBD" w:rsidRDefault="00DC6CBD" w:rsidP="004046DF">
      <w:pPr>
        <w:pStyle w:val="Prrafodelista"/>
        <w:numPr>
          <w:ilvl w:val="1"/>
          <w:numId w:val="1"/>
        </w:numPr>
        <w:spacing w:line="276" w:lineRule="auto"/>
        <w:rPr>
          <w:rFonts w:ascii="Arial Narrow" w:hAnsi="Arial Narrow"/>
          <w:b/>
          <w:bCs/>
          <w:lang w:val="es-ES"/>
        </w:rPr>
      </w:pPr>
      <w:r w:rsidRPr="004046DF">
        <w:rPr>
          <w:rFonts w:ascii="Arial Narrow" w:hAnsi="Arial Narrow"/>
          <w:b/>
          <w:bCs/>
          <w:lang w:val="es-ES"/>
        </w:rPr>
        <w:t>Propuesta en el componente de docencia</w:t>
      </w:r>
    </w:p>
    <w:p w14:paraId="2C1DDC99" w14:textId="5A2FA431" w:rsidR="005874E1" w:rsidRPr="005874E1" w:rsidRDefault="005874E1" w:rsidP="005874E1">
      <w:pPr>
        <w:spacing w:line="276" w:lineRule="auto"/>
        <w:rPr>
          <w:rFonts w:ascii="Arial Narrow" w:hAnsi="Arial Narrow"/>
          <w:b/>
          <w:bCs/>
          <w:lang w:val="es-ES"/>
        </w:rPr>
      </w:pPr>
      <w:r>
        <w:rPr>
          <w:rFonts w:ascii="Arial Narrow" w:hAnsi="Arial Narrow"/>
          <w:b/>
          <w:bCs/>
          <w:lang w:val="es-ES"/>
        </w:rPr>
        <w:t xml:space="preserve">Temática: </w:t>
      </w:r>
      <w:r w:rsidRPr="005874E1">
        <w:rPr>
          <w:rFonts w:ascii="Arial Narrow" w:hAnsi="Arial Narrow"/>
          <w:lang w:val="es-ES"/>
        </w:rPr>
        <w:t>Aprovechamiento de productos o subproductos agrícolas</w:t>
      </w:r>
    </w:p>
    <w:p w14:paraId="591CF649" w14:textId="3317B47E" w:rsidR="005874E1" w:rsidRPr="005874E1" w:rsidRDefault="005874E1" w:rsidP="005874E1">
      <w:pPr>
        <w:pStyle w:val="Prrafodelista"/>
        <w:numPr>
          <w:ilvl w:val="2"/>
          <w:numId w:val="1"/>
        </w:numPr>
        <w:spacing w:line="276" w:lineRule="auto"/>
        <w:jc w:val="both"/>
        <w:rPr>
          <w:rFonts w:ascii="Arial Narrow" w:hAnsi="Arial Narrow"/>
          <w:b/>
          <w:bCs/>
          <w:lang w:val="es-ES"/>
        </w:rPr>
      </w:pPr>
      <w:r w:rsidRPr="005874E1">
        <w:rPr>
          <w:rFonts w:ascii="Arial Narrow" w:hAnsi="Arial Narrow"/>
          <w:b/>
          <w:bCs/>
          <w:lang w:val="es-ES"/>
        </w:rPr>
        <w:t>Modelo Pedagógico</w:t>
      </w:r>
      <w:r>
        <w:rPr>
          <w:rFonts w:ascii="Arial Narrow" w:hAnsi="Arial Narrow"/>
          <w:b/>
          <w:bCs/>
          <w:lang w:val="es-ES"/>
        </w:rPr>
        <w:t xml:space="preserve"> </w:t>
      </w:r>
      <w:r w:rsidRPr="005874E1">
        <w:rPr>
          <w:rFonts w:ascii="Arial Narrow" w:hAnsi="Arial Narrow"/>
          <w:b/>
          <w:bCs/>
          <w:lang w:val="es-ES"/>
        </w:rPr>
        <w:t>y Enfoque Didáctico</w:t>
      </w:r>
    </w:p>
    <w:p w14:paraId="1C286B52" w14:textId="67D87B71" w:rsidR="00DC791F" w:rsidRDefault="00DC791F" w:rsidP="00DC791F">
      <w:pPr>
        <w:spacing w:line="276" w:lineRule="auto"/>
        <w:jc w:val="both"/>
        <w:rPr>
          <w:rFonts w:ascii="Arial Narrow" w:hAnsi="Arial Narrow"/>
          <w:lang w:val="es-ES"/>
        </w:rPr>
      </w:pPr>
      <w:r w:rsidRPr="00DC791F">
        <w:rPr>
          <w:rFonts w:ascii="Arial Narrow" w:hAnsi="Arial Narrow"/>
          <w:lang w:val="es-ES"/>
        </w:rPr>
        <w:t>Como modelo pedagógico para el diseño y desarrollo del</w:t>
      </w:r>
      <w:r>
        <w:rPr>
          <w:rFonts w:ascii="Arial Narrow" w:hAnsi="Arial Narrow"/>
          <w:lang w:val="es-ES"/>
        </w:rPr>
        <w:t xml:space="preserve"> </w:t>
      </w:r>
      <w:r w:rsidRPr="00DC791F">
        <w:rPr>
          <w:rFonts w:ascii="Arial Narrow" w:hAnsi="Arial Narrow"/>
          <w:lang w:val="es-ES"/>
        </w:rPr>
        <w:t>plan de clase</w:t>
      </w:r>
      <w:r w:rsidR="00416B18">
        <w:rPr>
          <w:rFonts w:ascii="Arial Narrow" w:hAnsi="Arial Narrow"/>
          <w:lang w:val="es-ES"/>
        </w:rPr>
        <w:t>s</w:t>
      </w:r>
      <w:r w:rsidRPr="00DC791F">
        <w:rPr>
          <w:rFonts w:ascii="Arial Narrow" w:hAnsi="Arial Narrow"/>
          <w:lang w:val="es-ES"/>
        </w:rPr>
        <w:t xml:space="preserve"> se seleccion</w:t>
      </w:r>
      <w:r w:rsidR="005874E1">
        <w:rPr>
          <w:rFonts w:ascii="Arial Narrow" w:hAnsi="Arial Narrow"/>
          <w:lang w:val="es-ES"/>
        </w:rPr>
        <w:t>ará</w:t>
      </w:r>
      <w:r w:rsidRPr="00DC791F">
        <w:rPr>
          <w:rFonts w:ascii="Arial Narrow" w:hAnsi="Arial Narrow"/>
          <w:lang w:val="es-ES"/>
        </w:rPr>
        <w:t xml:space="preserve"> el “Modelo pedagógico</w:t>
      </w:r>
      <w:r>
        <w:rPr>
          <w:rFonts w:ascii="Arial Narrow" w:hAnsi="Arial Narrow"/>
          <w:lang w:val="es-ES"/>
        </w:rPr>
        <w:t xml:space="preserve"> </w:t>
      </w:r>
      <w:r w:rsidRPr="00DC791F">
        <w:rPr>
          <w:rFonts w:ascii="Arial Narrow" w:hAnsi="Arial Narrow"/>
          <w:lang w:val="es-ES"/>
        </w:rPr>
        <w:t>Social Cultural”</w:t>
      </w:r>
      <w:r>
        <w:rPr>
          <w:rFonts w:ascii="Arial Narrow" w:hAnsi="Arial Narrow"/>
          <w:lang w:val="es-ES"/>
        </w:rPr>
        <w:t xml:space="preserve"> </w:t>
      </w:r>
      <w:r>
        <w:rPr>
          <w:rFonts w:ascii="Arial Narrow" w:hAnsi="Arial Narrow"/>
          <w:lang w:val="es-ES"/>
        </w:rPr>
        <w:fldChar w:fldCharType="begin" w:fldLock="1"/>
      </w:r>
      <w:r w:rsidR="00152805">
        <w:rPr>
          <w:rFonts w:ascii="Arial Narrow" w:hAnsi="Arial Narrow"/>
          <w:lang w:val="es-ES"/>
        </w:rPr>
        <w:instrText>ADDIN CSL_CITATION {"citationItems":[{"id":"ITEM-1","itemData":{"author":[{"dropping-particle":"","family":"Pablo","given":"Lorenzo","non-dropping-particle":"","parse-names":false,"suffix":""},{"dropping-particle":"","family":"Ramos","given":"Camejo","non-dropping-particle":"","parse-names":false,"suffix":""},{"dropping-particle":"","family":"Felipe","given":"Daniel","non-dropping-particle":"","parse-names":false,"suffix":""},{"dropping-particle":"","family":"Díaz","given":"Fernández","non-dropping-particle":"","parse-names":false,"suffix":""},{"dropping-particle":"","family":"Sierra","given":"Ismael Valdés","non-dropping-particle":"","parse-names":false,"suffix":""}],"id":"ITEM-1","issue":"1","issued":{"date-parts":[["2019"]]},"page":"67-69","title":"Modelo pedagógico con enfoque sociocultural para mejorar el desempeño profesional en la Escuela Latinoamericana de Medicina","type":"article-journal","volume":"14"},"uris":["http://www.mendeley.com/documents/?uuid=4c2fc8b5-c69d-4ff7-b642-b7b7e2dfe6ea"]}],"mendeley":{"formattedCitation":"(Pablo et al., 2019)","plainTextFormattedCitation":"(Pablo et al., 2019)","previouslyFormattedCitation":"(Pablo et al., 2019)"},"properties":{"noteIndex":0},"schema":"https://github.com/citation-style-language/schema/raw/master/csl-citation.json"}</w:instrText>
      </w:r>
      <w:r>
        <w:rPr>
          <w:rFonts w:ascii="Arial Narrow" w:hAnsi="Arial Narrow"/>
          <w:lang w:val="es-ES"/>
        </w:rPr>
        <w:fldChar w:fldCharType="separate"/>
      </w:r>
      <w:r w:rsidR="00050692" w:rsidRPr="00050692">
        <w:rPr>
          <w:rFonts w:ascii="Arial Narrow" w:hAnsi="Arial Narrow"/>
          <w:noProof/>
          <w:lang w:val="es-ES"/>
        </w:rPr>
        <w:t>(Pablo et al., 2019)</w:t>
      </w:r>
      <w:r>
        <w:rPr>
          <w:rFonts w:ascii="Arial Narrow" w:hAnsi="Arial Narrow"/>
          <w:lang w:val="es-ES"/>
        </w:rPr>
        <w:fldChar w:fldCharType="end"/>
      </w:r>
      <w:r>
        <w:rPr>
          <w:rFonts w:ascii="Arial Narrow" w:hAnsi="Arial Narrow"/>
          <w:lang w:val="es-ES"/>
        </w:rPr>
        <w:t xml:space="preserve">, el cual </w:t>
      </w:r>
      <w:r w:rsidRPr="00DC791F">
        <w:rPr>
          <w:rFonts w:ascii="Arial Narrow" w:hAnsi="Arial Narrow"/>
          <w:lang w:val="es-ES"/>
        </w:rPr>
        <w:t>permitirá un aprendizaje enfocado a los estudiantes, en donde el papel del docente será la mediación entre el conocimiento y el estudiante, para que este último logre la generación de un aprendizaje significativo y relevante.</w:t>
      </w:r>
    </w:p>
    <w:p w14:paraId="139ADC27" w14:textId="128338B5" w:rsidR="005874E1" w:rsidRDefault="00DC791F" w:rsidP="00DC791F">
      <w:pPr>
        <w:spacing w:line="276" w:lineRule="auto"/>
        <w:jc w:val="both"/>
        <w:rPr>
          <w:rFonts w:ascii="Arial Narrow" w:hAnsi="Arial Narrow"/>
          <w:lang w:val="es-ES"/>
        </w:rPr>
      </w:pPr>
      <w:r w:rsidRPr="00DC791F">
        <w:rPr>
          <w:rFonts w:ascii="Arial Narrow" w:hAnsi="Arial Narrow"/>
          <w:lang w:val="es-ES"/>
        </w:rPr>
        <w:t>Por su parte, la implementación de este modelo permitirá un proceso dual, en donde la cultura permeará y formará al individuo (estudiante), pero a su vez el individuo (estudiante) será capaz de crear cultura desde su proceso cognitivo. La asociación entre las diferentes culturas (cultura crítica, cultura académica, cultura social, cultura institucional y cultura experiencial) y el estudiante generará un conocimiento amplio de su entorno, permitiendo que este sea capaz de identificar y apropiar problemáticas y a su vez planear, diseñar y generar alternativas o posibles soluciones asociadas a la temática de la clase, así como evaluar el impacto de la implementación de estas.</w:t>
      </w:r>
      <w:r w:rsidR="005874E1">
        <w:rPr>
          <w:rFonts w:ascii="Arial Narrow" w:hAnsi="Arial Narrow"/>
          <w:lang w:val="es-ES"/>
        </w:rPr>
        <w:t xml:space="preserve"> </w:t>
      </w:r>
      <w:r w:rsidR="00FE318C" w:rsidRPr="00FE318C">
        <w:rPr>
          <w:rFonts w:ascii="Arial Narrow" w:hAnsi="Arial Narrow"/>
          <w:lang w:val="es-ES"/>
        </w:rPr>
        <w:t xml:space="preserve">Adicionalmente, la implementación de este modelo permitirá la formación de pensamiento crítico y reflexivo enfocado a la investigación. </w:t>
      </w:r>
    </w:p>
    <w:p w14:paraId="1AB30753" w14:textId="42207602" w:rsidR="00FE318C" w:rsidRDefault="00FE318C" w:rsidP="00DC791F">
      <w:pPr>
        <w:spacing w:line="276" w:lineRule="auto"/>
        <w:jc w:val="both"/>
        <w:rPr>
          <w:rFonts w:ascii="Arial Narrow" w:hAnsi="Arial Narrow"/>
          <w:lang w:val="es-ES"/>
        </w:rPr>
      </w:pPr>
      <w:r w:rsidRPr="00FE318C">
        <w:rPr>
          <w:rFonts w:ascii="Arial Narrow" w:hAnsi="Arial Narrow"/>
          <w:lang w:val="es-ES"/>
        </w:rPr>
        <w:t>Teniendo en cuenta las características del modelo pedagógico seleccionado para este plan de clase y la temática a tratar, se adoptará la metodología de aprendizaje basado en proyectos (ABP) la cual permitirá la promoción de saberes, así como el desarrollo de un aprendizaje enfocado al fomento de habilidades asociadas a la planeación, articulación, interacción, negociación, evaluación y generación de ideas</w:t>
      </w:r>
      <w:r w:rsidR="005874E1">
        <w:rPr>
          <w:rFonts w:ascii="Arial Narrow" w:hAnsi="Arial Narrow"/>
          <w:lang w:val="es-ES"/>
        </w:rPr>
        <w:t xml:space="preserve"> </w:t>
      </w:r>
      <w:r w:rsidR="005874E1">
        <w:rPr>
          <w:rFonts w:ascii="Arial Narrow" w:hAnsi="Arial Narrow"/>
          <w:lang w:val="es-ES"/>
        </w:rPr>
        <w:fldChar w:fldCharType="begin" w:fldLock="1"/>
      </w:r>
      <w:r w:rsidR="00152805">
        <w:rPr>
          <w:rFonts w:ascii="Arial Narrow" w:hAnsi="Arial Narrow"/>
          <w:lang w:val="es-ES"/>
        </w:rPr>
        <w:instrText>ADDIN CSL_CITATION {"citationItems":[{"id":"ITEM-1","itemData":{"DOI":"10.37811/cl_rcm.v8i4.13186","ISBN":"0009000941","ISSN":"2707-2215","abstract":"La educación demanda cambios y adaptaciones conforme transcurre el tiempo. En la actualidad, la sociedad requiere de nuevas metodologías para aprender, lo cual se ve reflejado en las aulas de clase, y con la inserción del internet en la vida cotidiana, las personas tienen acceso a un sinfín de fuentes de información y enseñanza que representa una realidad competitividad para los docentes y el contenido impartido en el aula. La necesidad de lograr un rendimiento académico positivo lleva a los docentes a considerar nuevas estrategias en su proceso de enseñanza y aprendizaje, es por ello que el Aprendizaje Basado en Proyectos (ABP) se posiciona como una estrategia atractiva para lograr mejorar el rendimiento académico en las aulas de clase. En el presente artículo el objetivo es analizar el Aprendizaje Basado en Proyectos (ABP) como estrategia didáctica para lograr un rendimiento académico. Por lo tanto, se escoge como metodología de investigación la revisión bibliográfica y el análisis de la información recolectada. En lo que respecta al resultado, se observa que el ABP es una metodología activa que los docentes están considerando implementar en las aulas debido a los beneficios que aporta al estudiante; de hecho, beneficia el aprendizaje significativo reflejando como influye en el rendimiento académico de los estudiantes.","author":[{"dropping-particle":"","family":"Puenayan Piñan","given":"Mirian Rocio","non-dropping-particle":"","parse-names":false,"suffix":""},{"dropping-particle":"","family":"Estupiñan Suárez","given":"María Gabriela","non-dropping-particle":"","parse-names":false,"suffix":""},{"dropping-particle":"","family":"Vásquez Sampedro","given":"Nancy María","non-dropping-particle":"","parse-names":false,"suffix":""},{"dropping-particle":"","family":"Almeida Almachi","given":"Laura Patricia","non-dropping-particle":"","parse-names":false,"suffix":""},{"dropping-particle":"","family":"Abad Jiménez","given":"Nerida Isabel","non-dropping-particle":"","parse-names":false,"suffix":""}],"container-title":"Ciencia Latina Revista Científica Multidisciplinar","id":"ITEM-1","issue":"4","issued":{"date-parts":[["2024","9","24"]]},"page":"10447-10459","title":"El Aprendizaje Basado en Proyectos (ABP) como Estrategia Didáctica para Mejorar el Rendimiento Académico","type":"article-journal","volume":"8"},"uris":["http://www.mendeley.com/documents/?uuid=50622a7c-8c64-4eab-ab93-69c247a10cf7"]}],"mendeley":{"formattedCitation":"(Puenayan Piñan et al., 2024)","plainTextFormattedCitation":"(Puenayan Piñan et al., 2024)","previouslyFormattedCitation":"(Puenayan Piñan et al., 2024)"},"properties":{"noteIndex":0},"schema":"https://github.com/citation-style-language/schema/raw/master/csl-citation.json"}</w:instrText>
      </w:r>
      <w:r w:rsidR="005874E1">
        <w:rPr>
          <w:rFonts w:ascii="Arial Narrow" w:hAnsi="Arial Narrow"/>
          <w:lang w:val="es-ES"/>
        </w:rPr>
        <w:fldChar w:fldCharType="separate"/>
      </w:r>
      <w:r w:rsidR="00050692" w:rsidRPr="00050692">
        <w:rPr>
          <w:rFonts w:ascii="Arial Narrow" w:hAnsi="Arial Narrow"/>
          <w:noProof/>
          <w:lang w:val="es-ES"/>
        </w:rPr>
        <w:t>(Puenayan Piñan et al., 2024)</w:t>
      </w:r>
      <w:r w:rsidR="005874E1">
        <w:rPr>
          <w:rFonts w:ascii="Arial Narrow" w:hAnsi="Arial Narrow"/>
          <w:lang w:val="es-ES"/>
        </w:rPr>
        <w:fldChar w:fldCharType="end"/>
      </w:r>
      <w:r w:rsidRPr="00FE318C">
        <w:rPr>
          <w:rFonts w:ascii="Arial Narrow" w:hAnsi="Arial Narrow"/>
          <w:lang w:val="es-ES"/>
        </w:rPr>
        <w:t>.</w:t>
      </w:r>
    </w:p>
    <w:p w14:paraId="3C37A80F" w14:textId="5D8A9A9D" w:rsidR="00FE318C" w:rsidRPr="005874E1" w:rsidRDefault="005874E1" w:rsidP="005874E1">
      <w:pPr>
        <w:pStyle w:val="Prrafodelista"/>
        <w:numPr>
          <w:ilvl w:val="2"/>
          <w:numId w:val="1"/>
        </w:numPr>
        <w:spacing w:line="276" w:lineRule="auto"/>
        <w:jc w:val="both"/>
        <w:rPr>
          <w:rFonts w:ascii="Arial Narrow" w:hAnsi="Arial Narrow"/>
          <w:b/>
          <w:bCs/>
          <w:lang w:val="es-ES"/>
        </w:rPr>
      </w:pPr>
      <w:r w:rsidRPr="005874E1">
        <w:rPr>
          <w:rFonts w:ascii="Arial Narrow" w:hAnsi="Arial Narrow"/>
          <w:b/>
          <w:bCs/>
          <w:lang w:val="es-ES"/>
        </w:rPr>
        <w:t>O</w:t>
      </w:r>
      <w:r w:rsidR="008F3E55" w:rsidRPr="005874E1">
        <w:rPr>
          <w:rFonts w:ascii="Arial Narrow" w:hAnsi="Arial Narrow"/>
          <w:b/>
          <w:bCs/>
          <w:lang w:val="es-ES"/>
        </w:rPr>
        <w:t>bjetivo</w:t>
      </w:r>
      <w:r w:rsidR="008F3E55">
        <w:rPr>
          <w:rFonts w:ascii="Arial Narrow" w:hAnsi="Arial Narrow"/>
          <w:b/>
          <w:bCs/>
          <w:lang w:val="es-ES"/>
        </w:rPr>
        <w:t>s</w:t>
      </w:r>
      <w:r w:rsidR="008F3E55" w:rsidRPr="005874E1">
        <w:rPr>
          <w:rFonts w:ascii="Arial Narrow" w:hAnsi="Arial Narrow"/>
          <w:b/>
          <w:bCs/>
          <w:lang w:val="es-ES"/>
        </w:rPr>
        <w:t xml:space="preserve"> de aprendizaje</w:t>
      </w:r>
    </w:p>
    <w:p w14:paraId="4A16AD82" w14:textId="13121119" w:rsidR="005874E1" w:rsidRDefault="005874E1" w:rsidP="005874E1">
      <w:pPr>
        <w:spacing w:line="276" w:lineRule="auto"/>
        <w:jc w:val="both"/>
        <w:rPr>
          <w:rFonts w:ascii="Arial Narrow" w:hAnsi="Arial Narrow"/>
          <w:lang w:val="es-ES"/>
        </w:rPr>
      </w:pPr>
      <w:r w:rsidRPr="005874E1">
        <w:rPr>
          <w:rFonts w:ascii="Arial Narrow" w:hAnsi="Arial Narrow"/>
          <w:lang w:val="es-ES"/>
        </w:rPr>
        <w:t>Como ob</w:t>
      </w:r>
      <w:r>
        <w:rPr>
          <w:rFonts w:ascii="Arial Narrow" w:hAnsi="Arial Narrow"/>
          <w:lang w:val="es-ES"/>
        </w:rPr>
        <w:t>jetivos de aprendizaje se proponen:</w:t>
      </w:r>
    </w:p>
    <w:p w14:paraId="222C2E49" w14:textId="40CD82D5" w:rsidR="00372DF0" w:rsidRDefault="00372DF0" w:rsidP="005874E1">
      <w:pPr>
        <w:pStyle w:val="Prrafodelista"/>
        <w:numPr>
          <w:ilvl w:val="0"/>
          <w:numId w:val="5"/>
        </w:numPr>
        <w:spacing w:line="276" w:lineRule="auto"/>
        <w:jc w:val="both"/>
        <w:rPr>
          <w:rFonts w:ascii="Arial Narrow" w:hAnsi="Arial Narrow"/>
          <w:lang w:val="es-ES"/>
        </w:rPr>
      </w:pPr>
      <w:r w:rsidRPr="00372DF0">
        <w:rPr>
          <w:rFonts w:ascii="Arial Narrow" w:hAnsi="Arial Narrow"/>
          <w:lang w:val="es-ES"/>
        </w:rPr>
        <w:t>Relacionar las propiedades fisicoquímicas de productos agrícolas con estrategias actuales de investigación orientadas a la agregación de valor y su aprovechamiento sostenible</w:t>
      </w:r>
      <w:r>
        <w:rPr>
          <w:rFonts w:ascii="Arial Narrow" w:hAnsi="Arial Narrow"/>
          <w:lang w:val="es-ES"/>
        </w:rPr>
        <w:t>.</w:t>
      </w:r>
    </w:p>
    <w:p w14:paraId="068E8969" w14:textId="777E3BEA" w:rsidR="00372DF0" w:rsidRDefault="005874E1" w:rsidP="00DF2464">
      <w:pPr>
        <w:pStyle w:val="Prrafodelista"/>
        <w:numPr>
          <w:ilvl w:val="0"/>
          <w:numId w:val="5"/>
        </w:numPr>
        <w:spacing w:line="276" w:lineRule="auto"/>
        <w:jc w:val="both"/>
        <w:rPr>
          <w:rFonts w:ascii="Arial Narrow" w:hAnsi="Arial Narrow"/>
          <w:lang w:val="es-ES"/>
        </w:rPr>
      </w:pPr>
      <w:r w:rsidRPr="00372DF0">
        <w:rPr>
          <w:rFonts w:ascii="Arial Narrow" w:hAnsi="Arial Narrow"/>
          <w:lang w:val="es-ES"/>
        </w:rPr>
        <w:t xml:space="preserve">Establecer </w:t>
      </w:r>
      <w:r w:rsidR="00372DF0" w:rsidRPr="00372DF0">
        <w:rPr>
          <w:rFonts w:ascii="Arial Narrow" w:hAnsi="Arial Narrow"/>
          <w:lang w:val="es-ES"/>
        </w:rPr>
        <w:t>estrategias basadas en economía circular para el aprovechamiento de subproductos agrícolas, orientadas a la obtención de materias primas viables para su uso en diversos procesos industriales</w:t>
      </w:r>
      <w:r w:rsidR="00372DF0">
        <w:rPr>
          <w:rFonts w:ascii="Arial Narrow" w:hAnsi="Arial Narrow"/>
          <w:lang w:val="es-ES"/>
        </w:rPr>
        <w:t>.</w:t>
      </w:r>
    </w:p>
    <w:p w14:paraId="0F48EAD7" w14:textId="41CA074B" w:rsidR="005874E1" w:rsidRDefault="00372DF0" w:rsidP="00DF2464">
      <w:pPr>
        <w:pStyle w:val="Prrafodelista"/>
        <w:numPr>
          <w:ilvl w:val="0"/>
          <w:numId w:val="5"/>
        </w:numPr>
        <w:spacing w:line="276" w:lineRule="auto"/>
        <w:jc w:val="both"/>
        <w:rPr>
          <w:rFonts w:ascii="Arial Narrow" w:hAnsi="Arial Narrow"/>
          <w:lang w:val="es-ES"/>
        </w:rPr>
      </w:pPr>
      <w:r w:rsidRPr="00372DF0">
        <w:rPr>
          <w:rFonts w:ascii="Arial Narrow" w:hAnsi="Arial Narrow"/>
          <w:lang w:val="es-ES"/>
        </w:rPr>
        <w:t>Diseñar e implementar estrategias para el aprovechamiento y la generación de valor de productos y subproductos agrícolas, alineadas con las tendencias actuales y orientadas a mejorar su funcionalidad, calidad y potencial de aplicación</w:t>
      </w:r>
      <w:r>
        <w:rPr>
          <w:rFonts w:ascii="Arial Narrow" w:hAnsi="Arial Narrow"/>
          <w:lang w:val="es-ES"/>
        </w:rPr>
        <w:t>.</w:t>
      </w:r>
    </w:p>
    <w:p w14:paraId="7E86AF6B" w14:textId="77777777" w:rsidR="00372DF0" w:rsidRPr="00372DF0" w:rsidRDefault="00372DF0" w:rsidP="00372DF0">
      <w:pPr>
        <w:spacing w:line="276" w:lineRule="auto"/>
        <w:jc w:val="both"/>
        <w:rPr>
          <w:rFonts w:ascii="Arial Narrow" w:hAnsi="Arial Narrow"/>
          <w:lang w:val="es-ES"/>
        </w:rPr>
      </w:pPr>
    </w:p>
    <w:p w14:paraId="38C64F30" w14:textId="6031DB93" w:rsidR="00372DF0" w:rsidRDefault="00372DF0" w:rsidP="00372DF0">
      <w:pPr>
        <w:pStyle w:val="Prrafodelista"/>
        <w:numPr>
          <w:ilvl w:val="2"/>
          <w:numId w:val="1"/>
        </w:numPr>
        <w:spacing w:line="276" w:lineRule="auto"/>
        <w:jc w:val="both"/>
        <w:rPr>
          <w:rFonts w:ascii="Arial Narrow" w:hAnsi="Arial Narrow"/>
          <w:b/>
          <w:bCs/>
          <w:lang w:val="es-ES"/>
        </w:rPr>
      </w:pPr>
      <w:r w:rsidRPr="00372DF0">
        <w:rPr>
          <w:rFonts w:ascii="Arial Narrow" w:hAnsi="Arial Narrow"/>
          <w:b/>
          <w:bCs/>
          <w:lang w:val="es-ES"/>
        </w:rPr>
        <w:t xml:space="preserve">Estrategia </w:t>
      </w:r>
      <w:r>
        <w:rPr>
          <w:rFonts w:ascii="Arial Narrow" w:hAnsi="Arial Narrow"/>
          <w:b/>
          <w:bCs/>
          <w:lang w:val="es-ES"/>
        </w:rPr>
        <w:t>d</w:t>
      </w:r>
      <w:r w:rsidRPr="00372DF0">
        <w:rPr>
          <w:rFonts w:ascii="Arial Narrow" w:hAnsi="Arial Narrow"/>
          <w:b/>
          <w:bCs/>
          <w:lang w:val="es-ES"/>
        </w:rPr>
        <w:t>idáctica</w:t>
      </w:r>
    </w:p>
    <w:p w14:paraId="2B6BE89C" w14:textId="77777777" w:rsidR="00372DF0" w:rsidRDefault="00372DF0" w:rsidP="00372DF0">
      <w:pPr>
        <w:spacing w:line="276" w:lineRule="auto"/>
        <w:jc w:val="both"/>
        <w:rPr>
          <w:rFonts w:ascii="Arial Narrow" w:hAnsi="Arial Narrow"/>
          <w:lang w:val="es-ES"/>
        </w:rPr>
      </w:pPr>
      <w:r w:rsidRPr="00372DF0">
        <w:rPr>
          <w:rFonts w:ascii="Arial Narrow" w:hAnsi="Arial Narrow"/>
          <w:lang w:val="es-ES"/>
        </w:rPr>
        <w:t>Dentro de la estrategia didáctica, se utilizará una metodología que se enfoque en el estudiante y en la participación del grupo. El aprendizaje basado</w:t>
      </w:r>
      <w:r>
        <w:rPr>
          <w:rFonts w:ascii="Arial Narrow" w:hAnsi="Arial Narrow"/>
          <w:lang w:val="es-ES"/>
        </w:rPr>
        <w:t xml:space="preserve"> </w:t>
      </w:r>
      <w:r w:rsidRPr="00372DF0">
        <w:rPr>
          <w:rFonts w:ascii="Arial Narrow" w:hAnsi="Arial Narrow"/>
          <w:lang w:val="es-ES"/>
        </w:rPr>
        <w:t>en problemas se seleccionó como estrategia didáctica para propiciar el trabajo cooperativo, el análisis y el pensamiento crítico aplicado a la resolución de problemas.</w:t>
      </w:r>
      <w:r>
        <w:rPr>
          <w:rFonts w:ascii="Arial Narrow" w:hAnsi="Arial Narrow"/>
          <w:lang w:val="es-ES"/>
        </w:rPr>
        <w:t xml:space="preserve"> El curso tendrá los siguientes componentes: </w:t>
      </w:r>
    </w:p>
    <w:p w14:paraId="4A6B1FA2" w14:textId="595D4F8F" w:rsidR="00372DF0" w:rsidRPr="00372DF0" w:rsidRDefault="00372DF0" w:rsidP="00372DF0">
      <w:pPr>
        <w:pStyle w:val="Prrafodelista"/>
        <w:numPr>
          <w:ilvl w:val="0"/>
          <w:numId w:val="6"/>
        </w:numPr>
        <w:spacing w:line="276" w:lineRule="auto"/>
        <w:jc w:val="both"/>
        <w:rPr>
          <w:rFonts w:ascii="Arial Narrow" w:hAnsi="Arial Narrow"/>
          <w:lang w:val="es-ES"/>
        </w:rPr>
      </w:pPr>
      <w:r w:rsidRPr="00372DF0">
        <w:rPr>
          <w:rFonts w:ascii="Arial Narrow" w:hAnsi="Arial Narrow"/>
          <w:lang w:val="es-ES"/>
        </w:rPr>
        <w:lastRenderedPageBreak/>
        <w:t xml:space="preserve">En el inicio de </w:t>
      </w:r>
      <w:r>
        <w:rPr>
          <w:rFonts w:ascii="Arial Narrow" w:hAnsi="Arial Narrow"/>
          <w:lang w:val="es-ES"/>
        </w:rPr>
        <w:t xml:space="preserve">curso </w:t>
      </w:r>
      <w:r w:rsidRPr="00372DF0">
        <w:rPr>
          <w:rFonts w:ascii="Arial Narrow" w:hAnsi="Arial Narrow"/>
          <w:lang w:val="es-ES"/>
        </w:rPr>
        <w:t>se realizará una identificación de conocimientos asociados a la temática para determinar cuál o cuáles de ellos deben afianzarse</w:t>
      </w:r>
      <w:r>
        <w:rPr>
          <w:rFonts w:ascii="Arial Narrow" w:hAnsi="Arial Narrow"/>
          <w:lang w:val="es-ES"/>
        </w:rPr>
        <w:t>.</w:t>
      </w:r>
    </w:p>
    <w:p w14:paraId="48952D82" w14:textId="3E43E654" w:rsidR="00372DF0" w:rsidRPr="00372DF0" w:rsidRDefault="00372DF0" w:rsidP="00372DF0">
      <w:pPr>
        <w:pStyle w:val="Prrafodelista"/>
        <w:numPr>
          <w:ilvl w:val="0"/>
          <w:numId w:val="6"/>
        </w:numPr>
        <w:spacing w:line="276" w:lineRule="auto"/>
        <w:jc w:val="both"/>
        <w:rPr>
          <w:rFonts w:ascii="Arial Narrow" w:hAnsi="Arial Narrow"/>
          <w:lang w:val="es-ES"/>
        </w:rPr>
      </w:pPr>
      <w:r w:rsidRPr="00372DF0">
        <w:rPr>
          <w:rFonts w:ascii="Arial Narrow" w:hAnsi="Arial Narrow"/>
          <w:lang w:val="es-ES"/>
        </w:rPr>
        <w:t>Segmentos teóricos para la explicación de conceptos específicos y concretos. Estos segmentos corresponden al modelo de educación tradicional. No obstante, se buscará orientarlos hacia el modelo social cultural mediante un enfoque práctico evitando descentralizar el aprendizaje enfocado en el estudiante.</w:t>
      </w:r>
    </w:p>
    <w:p w14:paraId="442F8092" w14:textId="047B0DBA" w:rsidR="00372DF0" w:rsidRPr="00372DF0" w:rsidRDefault="00372DF0" w:rsidP="00372DF0">
      <w:pPr>
        <w:pStyle w:val="Prrafodelista"/>
        <w:numPr>
          <w:ilvl w:val="0"/>
          <w:numId w:val="6"/>
        </w:numPr>
        <w:spacing w:line="276" w:lineRule="auto"/>
        <w:jc w:val="both"/>
        <w:rPr>
          <w:rFonts w:ascii="Arial Narrow" w:hAnsi="Arial Narrow"/>
          <w:lang w:val="es-ES"/>
        </w:rPr>
      </w:pPr>
      <w:r w:rsidRPr="00372DF0">
        <w:rPr>
          <w:rFonts w:ascii="Arial Narrow" w:hAnsi="Arial Narrow"/>
          <w:lang w:val="es-ES"/>
        </w:rPr>
        <w:t xml:space="preserve">Trabajo grupal aplicando la estrategia de aprendizaje basado en proyectos (ABP) </w:t>
      </w:r>
    </w:p>
    <w:p w14:paraId="6E08E812" w14:textId="206AF5CC" w:rsidR="00372DF0" w:rsidRDefault="00372DF0" w:rsidP="00372DF0">
      <w:pPr>
        <w:pStyle w:val="Prrafodelista"/>
        <w:numPr>
          <w:ilvl w:val="0"/>
          <w:numId w:val="6"/>
        </w:numPr>
        <w:spacing w:line="276" w:lineRule="auto"/>
        <w:jc w:val="both"/>
        <w:rPr>
          <w:rFonts w:ascii="Arial Narrow" w:hAnsi="Arial Narrow"/>
          <w:lang w:val="es-ES"/>
        </w:rPr>
      </w:pPr>
      <w:r w:rsidRPr="00372DF0">
        <w:rPr>
          <w:rFonts w:ascii="Arial Narrow" w:hAnsi="Arial Narrow"/>
          <w:lang w:val="es-ES"/>
        </w:rPr>
        <w:t>Laboratorio</w:t>
      </w:r>
      <w:r w:rsidR="00416B18">
        <w:rPr>
          <w:rFonts w:ascii="Arial Narrow" w:hAnsi="Arial Narrow"/>
          <w:lang w:val="es-ES"/>
        </w:rPr>
        <w:t>s</w:t>
      </w:r>
      <w:r w:rsidRPr="00372DF0">
        <w:rPr>
          <w:rFonts w:ascii="Arial Narrow" w:hAnsi="Arial Narrow"/>
          <w:lang w:val="es-ES"/>
        </w:rPr>
        <w:t xml:space="preserve"> práctico</w:t>
      </w:r>
      <w:r w:rsidR="00416B18">
        <w:rPr>
          <w:rFonts w:ascii="Arial Narrow" w:hAnsi="Arial Narrow"/>
          <w:lang w:val="es-ES"/>
        </w:rPr>
        <w:t>s en donde se abordarán temáticas vistas en clase</w:t>
      </w:r>
    </w:p>
    <w:p w14:paraId="71B89015" w14:textId="4E0E0986" w:rsidR="00416B18" w:rsidRDefault="00416B18" w:rsidP="00372DF0">
      <w:pPr>
        <w:pStyle w:val="Prrafodelista"/>
        <w:numPr>
          <w:ilvl w:val="0"/>
          <w:numId w:val="6"/>
        </w:numPr>
        <w:spacing w:line="276" w:lineRule="auto"/>
        <w:jc w:val="both"/>
        <w:rPr>
          <w:rFonts w:ascii="Arial Narrow" w:hAnsi="Arial Narrow"/>
          <w:lang w:val="es-ES"/>
        </w:rPr>
      </w:pPr>
      <w:r>
        <w:rPr>
          <w:rFonts w:ascii="Arial Narrow" w:hAnsi="Arial Narrow"/>
          <w:lang w:val="es-ES"/>
        </w:rPr>
        <w:t>Visitas de campo a empresas o unidades productivas en territorio</w:t>
      </w:r>
    </w:p>
    <w:p w14:paraId="606E6938" w14:textId="5D34BBDC" w:rsidR="00372DF0" w:rsidRDefault="00372DF0" w:rsidP="00372DF0">
      <w:pPr>
        <w:pStyle w:val="Prrafodelista"/>
        <w:numPr>
          <w:ilvl w:val="0"/>
          <w:numId w:val="6"/>
        </w:numPr>
        <w:spacing w:line="276" w:lineRule="auto"/>
        <w:jc w:val="both"/>
        <w:rPr>
          <w:rFonts w:ascii="Arial Narrow" w:hAnsi="Arial Narrow"/>
          <w:lang w:val="es-ES"/>
        </w:rPr>
      </w:pPr>
      <w:r w:rsidRPr="00372DF0">
        <w:rPr>
          <w:rFonts w:ascii="Arial Narrow" w:hAnsi="Arial Narrow"/>
          <w:lang w:val="es-ES"/>
        </w:rPr>
        <w:t>Como herramienta tecnológica se incorporará el uso de la</w:t>
      </w:r>
      <w:r w:rsidR="008F3E55">
        <w:rPr>
          <w:rFonts w:ascii="Arial Narrow" w:hAnsi="Arial Narrow"/>
          <w:lang w:val="es-ES"/>
        </w:rPr>
        <w:t>s</w:t>
      </w:r>
      <w:r w:rsidRPr="00372DF0">
        <w:rPr>
          <w:rFonts w:ascii="Arial Narrow" w:hAnsi="Arial Narrow"/>
          <w:lang w:val="es-ES"/>
        </w:rPr>
        <w:t xml:space="preserve"> plataforma</w:t>
      </w:r>
      <w:r w:rsidR="008F3E55">
        <w:rPr>
          <w:rFonts w:ascii="Arial Narrow" w:hAnsi="Arial Narrow"/>
          <w:lang w:val="es-ES"/>
        </w:rPr>
        <w:t>s</w:t>
      </w:r>
      <w:r w:rsidRPr="00372DF0">
        <w:rPr>
          <w:rFonts w:ascii="Arial Narrow" w:hAnsi="Arial Narrow"/>
          <w:lang w:val="es-ES"/>
        </w:rPr>
        <w:t xml:space="preserve"> “Google </w:t>
      </w:r>
      <w:proofErr w:type="spellStart"/>
      <w:r w:rsidRPr="00372DF0">
        <w:rPr>
          <w:rFonts w:ascii="Arial Narrow" w:hAnsi="Arial Narrow"/>
          <w:lang w:val="es-ES"/>
        </w:rPr>
        <w:t>Classroom</w:t>
      </w:r>
      <w:proofErr w:type="spellEnd"/>
      <w:r w:rsidRPr="00372DF0">
        <w:rPr>
          <w:rFonts w:ascii="Arial Narrow" w:hAnsi="Arial Narrow"/>
          <w:lang w:val="es-ES"/>
        </w:rPr>
        <w:t>”</w:t>
      </w:r>
      <w:r w:rsidR="008F3E55">
        <w:rPr>
          <w:rFonts w:ascii="Arial Narrow" w:hAnsi="Arial Narrow"/>
          <w:lang w:val="es-ES"/>
        </w:rPr>
        <w:t xml:space="preserve">, “Moodle” </w:t>
      </w:r>
      <w:r w:rsidR="009D477B">
        <w:rPr>
          <w:rFonts w:ascii="Arial Narrow" w:hAnsi="Arial Narrow"/>
          <w:lang w:val="es-ES"/>
        </w:rPr>
        <w:t>y las que disponga la Universidad Nacional de Colombia</w:t>
      </w:r>
      <w:r w:rsidR="008F3E55">
        <w:rPr>
          <w:rFonts w:ascii="Arial Narrow" w:hAnsi="Arial Narrow"/>
          <w:lang w:val="es-ES"/>
        </w:rPr>
        <w:t>.</w:t>
      </w:r>
    </w:p>
    <w:p w14:paraId="4B17D01F" w14:textId="039B4CE9" w:rsidR="009D477B" w:rsidRDefault="009D477B" w:rsidP="00372DF0">
      <w:pPr>
        <w:pStyle w:val="Prrafodelista"/>
        <w:numPr>
          <w:ilvl w:val="0"/>
          <w:numId w:val="6"/>
        </w:numPr>
        <w:spacing w:line="276" w:lineRule="auto"/>
        <w:jc w:val="both"/>
        <w:rPr>
          <w:rFonts w:ascii="Arial Narrow" w:hAnsi="Arial Narrow"/>
          <w:lang w:val="es-ES"/>
        </w:rPr>
      </w:pPr>
      <w:r>
        <w:rPr>
          <w:rFonts w:ascii="Arial Narrow" w:hAnsi="Arial Narrow"/>
          <w:lang w:val="es-ES"/>
        </w:rPr>
        <w:t>Como herramienta bibliográfica, se emplearán las bases de datos de la Universidad Nacional, así como el acervo físico o digital de la biblioteca.</w:t>
      </w:r>
    </w:p>
    <w:p w14:paraId="257477ED" w14:textId="77777777" w:rsidR="008F3E55" w:rsidRPr="008F3E55" w:rsidRDefault="008F3E55" w:rsidP="008F3E55">
      <w:pPr>
        <w:spacing w:line="276" w:lineRule="auto"/>
        <w:jc w:val="both"/>
        <w:rPr>
          <w:rFonts w:ascii="Arial Narrow" w:hAnsi="Arial Narrow"/>
          <w:lang w:val="es-ES"/>
        </w:rPr>
      </w:pPr>
    </w:p>
    <w:p w14:paraId="0B2F95C6" w14:textId="50584B79" w:rsidR="008F3E55" w:rsidRDefault="008F3E55" w:rsidP="008F3E55">
      <w:pPr>
        <w:pStyle w:val="Prrafodelista"/>
        <w:numPr>
          <w:ilvl w:val="2"/>
          <w:numId w:val="1"/>
        </w:numPr>
        <w:spacing w:line="276" w:lineRule="auto"/>
        <w:jc w:val="both"/>
        <w:rPr>
          <w:rFonts w:ascii="Arial Narrow" w:hAnsi="Arial Narrow"/>
          <w:b/>
          <w:bCs/>
          <w:lang w:val="es-ES"/>
        </w:rPr>
      </w:pPr>
      <w:r w:rsidRPr="008F3E55">
        <w:rPr>
          <w:rFonts w:ascii="Arial Narrow" w:hAnsi="Arial Narrow"/>
          <w:b/>
          <w:bCs/>
          <w:lang w:val="es-ES"/>
        </w:rPr>
        <w:t>Mecanismos de evaluación de los aprendizajes</w:t>
      </w:r>
    </w:p>
    <w:p w14:paraId="66544F53" w14:textId="77E3D6FF" w:rsidR="008F3E55" w:rsidRDefault="008F3E55" w:rsidP="008F3E55">
      <w:pPr>
        <w:spacing w:line="276" w:lineRule="auto"/>
        <w:jc w:val="both"/>
        <w:rPr>
          <w:rFonts w:ascii="Arial Narrow" w:hAnsi="Arial Narrow"/>
          <w:lang w:val="es-ES"/>
        </w:rPr>
      </w:pPr>
      <w:r w:rsidRPr="008F3E55">
        <w:rPr>
          <w:rFonts w:ascii="Arial Narrow" w:hAnsi="Arial Narrow"/>
          <w:lang w:val="es-ES"/>
        </w:rPr>
        <w:t xml:space="preserve">La evaluación será permanente y formativa, y tendrá en cuenta el acuerdo pedagógico </w:t>
      </w:r>
      <w:r w:rsidR="009D477B">
        <w:rPr>
          <w:rFonts w:ascii="Arial Narrow" w:hAnsi="Arial Narrow"/>
          <w:lang w:val="es-ES"/>
        </w:rPr>
        <w:t xml:space="preserve">estipulado </w:t>
      </w:r>
      <w:r w:rsidRPr="008F3E55">
        <w:rPr>
          <w:rFonts w:ascii="Arial Narrow" w:hAnsi="Arial Narrow"/>
          <w:lang w:val="es-ES"/>
        </w:rPr>
        <w:t>entre los estudiantes y el docente al iniciar el curso. Se tendrá en cuenta el dominio de los desempeños en cada una de las dimensiones del saber, el hacer y el ser. Se llevarán registros en el diario del profesor del diagnóstico y los avances que se observen del seguimiento. Así mismo, se solicitará un reporte de avance del abordaje del problema desde la parte teórica y práctica. Al final se pedirá un reporte final junto con la presentación final (producto final) (Figura 1). En todo momento se realizará retroalimentación en ambos sentidos (estudiantes – docente y docente – estudiantes). Al final se realizará una autoevaluación en donde el estudiante valore su aprendizaje y el compromiso durante el abordaje del problema, una coevaluación en donde los demás estudiantes valorarán el desarrollo y compromiso de sus compañeros y una heteroevaluación por el docente basad</w:t>
      </w:r>
      <w:r>
        <w:rPr>
          <w:rFonts w:ascii="Arial Narrow" w:hAnsi="Arial Narrow"/>
          <w:lang w:val="es-ES"/>
        </w:rPr>
        <w:t>o</w:t>
      </w:r>
      <w:r w:rsidRPr="008F3E55">
        <w:rPr>
          <w:rFonts w:ascii="Arial Narrow" w:hAnsi="Arial Narrow"/>
          <w:lang w:val="es-ES"/>
        </w:rPr>
        <w:t xml:space="preserve"> en la participación y la entrega de productos.</w:t>
      </w:r>
    </w:p>
    <w:p w14:paraId="28941877" w14:textId="17EE8849" w:rsidR="00416B18" w:rsidRDefault="00416B18" w:rsidP="00416B18">
      <w:pPr>
        <w:pStyle w:val="NormalWeb"/>
        <w:jc w:val="center"/>
      </w:pPr>
      <w:r>
        <w:rPr>
          <w:noProof/>
        </w:rPr>
        <w:drawing>
          <wp:inline distT="0" distB="0" distL="0" distR="0" wp14:anchorId="4E36D4F2" wp14:editId="1664FB56">
            <wp:extent cx="3877642" cy="2693465"/>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9098" cy="2694476"/>
                    </a:xfrm>
                    <a:prstGeom prst="rect">
                      <a:avLst/>
                    </a:prstGeom>
                    <a:noFill/>
                    <a:ln>
                      <a:noFill/>
                    </a:ln>
                  </pic:spPr>
                </pic:pic>
              </a:graphicData>
            </a:graphic>
          </wp:inline>
        </w:drawing>
      </w:r>
    </w:p>
    <w:p w14:paraId="6B7D5395" w14:textId="43FC5D7F" w:rsidR="008F3E55" w:rsidRDefault="008F3E55" w:rsidP="008F3E55">
      <w:pPr>
        <w:pStyle w:val="NormalWeb"/>
        <w:jc w:val="both"/>
        <w:rPr>
          <w:rFonts w:ascii="Arial Narrow" w:eastAsiaTheme="minorHAnsi" w:hAnsi="Arial Narrow" w:cstheme="minorBidi"/>
          <w:sz w:val="22"/>
          <w:szCs w:val="22"/>
          <w:lang w:val="es-ES" w:eastAsia="en-US"/>
        </w:rPr>
      </w:pPr>
      <w:r w:rsidRPr="008F3E55">
        <w:rPr>
          <w:rFonts w:ascii="Arial Narrow" w:eastAsiaTheme="minorHAnsi" w:hAnsi="Arial Narrow" w:cstheme="minorBidi"/>
          <w:b/>
          <w:bCs/>
          <w:sz w:val="22"/>
          <w:szCs w:val="22"/>
          <w:lang w:val="es-ES" w:eastAsia="en-US"/>
        </w:rPr>
        <w:t>Figura 1.</w:t>
      </w:r>
      <w:r w:rsidRPr="008F3E55">
        <w:rPr>
          <w:rFonts w:ascii="Arial Narrow" w:eastAsiaTheme="minorHAnsi" w:hAnsi="Arial Narrow" w:cstheme="minorBidi"/>
          <w:sz w:val="22"/>
          <w:szCs w:val="22"/>
          <w:lang w:val="es-ES" w:eastAsia="en-US"/>
        </w:rPr>
        <w:t xml:space="preserve"> Mecanismos de evaluación aplicados al plan de estudios de la</w:t>
      </w:r>
      <w:r>
        <w:rPr>
          <w:rFonts w:ascii="Arial Narrow" w:eastAsiaTheme="minorHAnsi" w:hAnsi="Arial Narrow" w:cstheme="minorBidi"/>
          <w:sz w:val="22"/>
          <w:szCs w:val="22"/>
          <w:lang w:val="es-ES" w:eastAsia="en-US"/>
        </w:rPr>
        <w:t xml:space="preserve"> </w:t>
      </w:r>
      <w:r w:rsidRPr="008F3E55">
        <w:rPr>
          <w:rFonts w:ascii="Arial Narrow" w:eastAsiaTheme="minorHAnsi" w:hAnsi="Arial Narrow" w:cstheme="minorBidi"/>
          <w:sz w:val="22"/>
          <w:szCs w:val="22"/>
          <w:lang w:val="es-ES" w:eastAsia="en-US"/>
        </w:rPr>
        <w:t>temática</w:t>
      </w:r>
      <w:r>
        <w:rPr>
          <w:rFonts w:ascii="Arial Narrow" w:eastAsiaTheme="minorHAnsi" w:hAnsi="Arial Narrow" w:cstheme="minorBidi"/>
          <w:sz w:val="22"/>
          <w:szCs w:val="22"/>
          <w:lang w:val="es-ES" w:eastAsia="en-US"/>
        </w:rPr>
        <w:t>. Fuente: elaboración propia.</w:t>
      </w:r>
    </w:p>
    <w:p w14:paraId="32E35DCF" w14:textId="4F96E70D" w:rsidR="008F3E55" w:rsidRPr="00383D1A" w:rsidRDefault="00383D1A" w:rsidP="00383D1A">
      <w:pPr>
        <w:pStyle w:val="NormalWeb"/>
        <w:numPr>
          <w:ilvl w:val="2"/>
          <w:numId w:val="1"/>
        </w:numPr>
        <w:jc w:val="both"/>
        <w:rPr>
          <w:rFonts w:ascii="Arial Narrow" w:eastAsiaTheme="minorHAnsi" w:hAnsi="Arial Narrow" w:cstheme="minorBidi"/>
          <w:b/>
          <w:bCs/>
          <w:sz w:val="22"/>
          <w:szCs w:val="22"/>
          <w:lang w:val="es-ES" w:eastAsia="en-US"/>
        </w:rPr>
      </w:pPr>
      <w:r w:rsidRPr="00383D1A">
        <w:rPr>
          <w:rFonts w:ascii="Arial Narrow" w:eastAsiaTheme="minorHAnsi" w:hAnsi="Arial Narrow" w:cstheme="minorBidi"/>
          <w:b/>
          <w:bCs/>
          <w:sz w:val="22"/>
          <w:szCs w:val="22"/>
          <w:lang w:val="es-ES" w:eastAsia="en-US"/>
        </w:rPr>
        <w:lastRenderedPageBreak/>
        <w:t>Otras actividades</w:t>
      </w:r>
    </w:p>
    <w:p w14:paraId="2CEF51BB" w14:textId="7765C440" w:rsidR="005874E1" w:rsidRPr="005874E1" w:rsidRDefault="005A2D5F" w:rsidP="005874E1">
      <w:pPr>
        <w:spacing w:line="276" w:lineRule="auto"/>
        <w:jc w:val="both"/>
        <w:rPr>
          <w:rFonts w:ascii="Arial Narrow" w:hAnsi="Arial Narrow"/>
          <w:lang w:val="es-ES"/>
        </w:rPr>
      </w:pPr>
      <w:r w:rsidRPr="005A2D5F">
        <w:rPr>
          <w:rFonts w:ascii="Arial Narrow" w:hAnsi="Arial Narrow"/>
          <w:lang w:val="es-ES"/>
        </w:rPr>
        <w:t>Además de la propuesta docente, se contempla la participación activa del docente en los procesos de mejoramiento continuo del programa y de la unidad académica. Esto incluye el apoyo a la gestión académico-administrativa en procesos de reacreditación de programas, desarrollo y creación de nuevas ofertas de pregrado y posgrado, así como en iniciativas de acreditación institucional, contribuyendo al fortalecimiento de la calidad y pertinencia académica</w:t>
      </w:r>
    </w:p>
    <w:p w14:paraId="666CD264" w14:textId="0C4071F8" w:rsidR="00DC6CBD" w:rsidRDefault="00DC6CBD" w:rsidP="004046DF">
      <w:pPr>
        <w:pStyle w:val="Prrafodelista"/>
        <w:numPr>
          <w:ilvl w:val="1"/>
          <w:numId w:val="1"/>
        </w:numPr>
        <w:spacing w:line="276" w:lineRule="auto"/>
        <w:rPr>
          <w:rFonts w:ascii="Arial Narrow" w:hAnsi="Arial Narrow"/>
          <w:b/>
          <w:bCs/>
          <w:lang w:val="es-ES"/>
        </w:rPr>
      </w:pPr>
      <w:r w:rsidRPr="004046DF">
        <w:rPr>
          <w:rFonts w:ascii="Arial Narrow" w:hAnsi="Arial Narrow"/>
          <w:b/>
          <w:bCs/>
          <w:lang w:val="es-ES"/>
        </w:rPr>
        <w:t>Propuesta en el componente de investigación</w:t>
      </w:r>
    </w:p>
    <w:p w14:paraId="77A69578" w14:textId="39E95019" w:rsidR="007A666D" w:rsidRDefault="007A666D" w:rsidP="007A666D">
      <w:pPr>
        <w:spacing w:line="276" w:lineRule="auto"/>
        <w:rPr>
          <w:rFonts w:ascii="Arial Narrow" w:hAnsi="Arial Narrow"/>
          <w:lang w:val="es-ES"/>
        </w:rPr>
      </w:pPr>
      <w:r w:rsidRPr="007A666D">
        <w:rPr>
          <w:rFonts w:ascii="Arial Narrow" w:hAnsi="Arial Narrow"/>
          <w:lang w:val="es-ES"/>
        </w:rPr>
        <w:t>Para el componente de investigación se proponen las siguientes actividades</w:t>
      </w:r>
      <w:r>
        <w:rPr>
          <w:rFonts w:ascii="Arial Narrow" w:hAnsi="Arial Narrow"/>
          <w:lang w:val="es-ES"/>
        </w:rPr>
        <w:t>:</w:t>
      </w:r>
    </w:p>
    <w:p w14:paraId="46B2B369" w14:textId="637603F8" w:rsidR="007A666D" w:rsidRPr="00383D1A" w:rsidRDefault="007A666D" w:rsidP="007A666D">
      <w:pPr>
        <w:pStyle w:val="Prrafodelista"/>
        <w:numPr>
          <w:ilvl w:val="2"/>
          <w:numId w:val="1"/>
        </w:numPr>
        <w:spacing w:line="276" w:lineRule="auto"/>
        <w:rPr>
          <w:rFonts w:ascii="Arial Narrow" w:hAnsi="Arial Narrow"/>
          <w:b/>
          <w:bCs/>
          <w:lang w:val="es-ES"/>
        </w:rPr>
      </w:pPr>
      <w:r w:rsidRPr="00383D1A">
        <w:rPr>
          <w:rFonts w:ascii="Arial Narrow" w:hAnsi="Arial Narrow"/>
          <w:b/>
          <w:bCs/>
          <w:lang w:val="es-ES"/>
        </w:rPr>
        <w:t>Participación en grupo de investigación y formación de semillero de investigación</w:t>
      </w:r>
    </w:p>
    <w:p w14:paraId="41832174" w14:textId="66020442" w:rsidR="007A666D" w:rsidRDefault="007A666D" w:rsidP="007A666D">
      <w:pPr>
        <w:spacing w:line="276" w:lineRule="auto"/>
        <w:jc w:val="both"/>
        <w:rPr>
          <w:rFonts w:ascii="Arial Narrow" w:hAnsi="Arial Narrow"/>
          <w:lang w:val="es-ES"/>
        </w:rPr>
      </w:pPr>
      <w:r>
        <w:rPr>
          <w:rFonts w:ascii="Arial Narrow" w:hAnsi="Arial Narrow"/>
          <w:lang w:val="es-ES"/>
        </w:rPr>
        <w:t>Como actividad inicial se solicitará el ingreso a uno de los grupos de investigación asociados al programa y una vez se apruebe la solicitud se vinculará un semillero de investigación relacionado con la temática</w:t>
      </w:r>
      <w:r w:rsidR="00383D1A">
        <w:rPr>
          <w:rFonts w:ascii="Arial Narrow" w:hAnsi="Arial Narrow"/>
          <w:lang w:val="es-ES"/>
        </w:rPr>
        <w:t xml:space="preserve"> de a</w:t>
      </w:r>
      <w:r w:rsidR="00383D1A" w:rsidRPr="00383D1A">
        <w:rPr>
          <w:rFonts w:ascii="Arial Narrow" w:hAnsi="Arial Narrow"/>
          <w:lang w:val="es-ES"/>
        </w:rPr>
        <w:t>provechamiento de productos o subproductos agrícolas</w:t>
      </w:r>
      <w:r w:rsidR="00383D1A">
        <w:rPr>
          <w:rFonts w:ascii="Arial Narrow" w:hAnsi="Arial Narrow"/>
          <w:lang w:val="es-ES"/>
        </w:rPr>
        <w:t>. Las actividades específicas con el semillero de investigación se relacionan a continuación:</w:t>
      </w:r>
    </w:p>
    <w:p w14:paraId="766A4AFD" w14:textId="44D3A3F3" w:rsidR="00383D1A" w:rsidRDefault="00383D1A" w:rsidP="00383D1A">
      <w:pPr>
        <w:pStyle w:val="Prrafodelista"/>
        <w:numPr>
          <w:ilvl w:val="0"/>
          <w:numId w:val="8"/>
        </w:numPr>
        <w:spacing w:line="276" w:lineRule="auto"/>
        <w:jc w:val="both"/>
        <w:rPr>
          <w:rFonts w:ascii="Arial Narrow" w:hAnsi="Arial Narrow"/>
          <w:lang w:val="es-ES"/>
        </w:rPr>
      </w:pPr>
      <w:r>
        <w:rPr>
          <w:rFonts w:ascii="Arial Narrow" w:hAnsi="Arial Narrow"/>
          <w:lang w:val="es-ES"/>
        </w:rPr>
        <w:t xml:space="preserve">Reuniones periódicas en donde se llevarán a cabo actividades para el aprendizaje de la búsqueda bibliográfica y el análisis de </w:t>
      </w:r>
      <w:r w:rsidR="009D477B">
        <w:rPr>
          <w:rFonts w:ascii="Arial Narrow" w:hAnsi="Arial Narrow"/>
          <w:lang w:val="es-ES"/>
        </w:rPr>
        <w:t>información</w:t>
      </w:r>
      <w:r>
        <w:rPr>
          <w:rFonts w:ascii="Arial Narrow" w:hAnsi="Arial Narrow"/>
          <w:lang w:val="es-ES"/>
        </w:rPr>
        <w:t xml:space="preserve"> por parte de los estudiantes (sesiones </w:t>
      </w:r>
      <w:r w:rsidR="009D477B">
        <w:rPr>
          <w:rFonts w:ascii="Arial Narrow" w:hAnsi="Arial Narrow"/>
          <w:lang w:val="es-ES"/>
        </w:rPr>
        <w:t>guiadas</w:t>
      </w:r>
      <w:r>
        <w:rPr>
          <w:rFonts w:ascii="Arial Narrow" w:hAnsi="Arial Narrow"/>
          <w:lang w:val="es-ES"/>
        </w:rPr>
        <w:t>)</w:t>
      </w:r>
    </w:p>
    <w:p w14:paraId="407FFCCD" w14:textId="1DB17A35" w:rsidR="00383D1A" w:rsidRDefault="00383D1A" w:rsidP="00383D1A">
      <w:pPr>
        <w:pStyle w:val="Prrafodelista"/>
        <w:numPr>
          <w:ilvl w:val="0"/>
          <w:numId w:val="8"/>
        </w:numPr>
        <w:spacing w:line="276" w:lineRule="auto"/>
        <w:jc w:val="both"/>
        <w:rPr>
          <w:rFonts w:ascii="Arial Narrow" w:hAnsi="Arial Narrow"/>
          <w:lang w:val="es-ES"/>
        </w:rPr>
      </w:pPr>
      <w:r>
        <w:rPr>
          <w:rFonts w:ascii="Arial Narrow" w:hAnsi="Arial Narrow"/>
          <w:lang w:val="es-ES"/>
        </w:rPr>
        <w:t xml:space="preserve">Reuniones periódicas en donde se llevarán a cabo actividades prácticas en el laboratorio y se desarrollen </w:t>
      </w:r>
      <w:proofErr w:type="spellStart"/>
      <w:r>
        <w:rPr>
          <w:rFonts w:ascii="Arial Narrow" w:hAnsi="Arial Narrow"/>
          <w:lang w:val="es-ES"/>
        </w:rPr>
        <w:t>microproyectos</w:t>
      </w:r>
      <w:proofErr w:type="spellEnd"/>
      <w:r>
        <w:rPr>
          <w:rFonts w:ascii="Arial Narrow" w:hAnsi="Arial Narrow"/>
          <w:lang w:val="es-ES"/>
        </w:rPr>
        <w:t xml:space="preserve"> para que los estudiantes se familiaricen con las técnicas de laboratorio</w:t>
      </w:r>
      <w:r w:rsidR="009D477B">
        <w:rPr>
          <w:rFonts w:ascii="Arial Narrow" w:hAnsi="Arial Narrow"/>
          <w:lang w:val="es-ES"/>
        </w:rPr>
        <w:t xml:space="preserve"> y el método científico</w:t>
      </w:r>
      <w:r>
        <w:rPr>
          <w:rFonts w:ascii="Arial Narrow" w:hAnsi="Arial Narrow"/>
          <w:lang w:val="es-ES"/>
        </w:rPr>
        <w:t>.</w:t>
      </w:r>
    </w:p>
    <w:p w14:paraId="31D41646" w14:textId="74F73CF5" w:rsidR="00383D1A" w:rsidRDefault="00383D1A" w:rsidP="00383D1A">
      <w:pPr>
        <w:pStyle w:val="Prrafodelista"/>
        <w:numPr>
          <w:ilvl w:val="0"/>
          <w:numId w:val="8"/>
        </w:numPr>
        <w:spacing w:line="276" w:lineRule="auto"/>
        <w:jc w:val="both"/>
        <w:rPr>
          <w:rFonts w:ascii="Arial Narrow" w:hAnsi="Arial Narrow"/>
          <w:lang w:val="es-ES"/>
        </w:rPr>
      </w:pPr>
      <w:r>
        <w:rPr>
          <w:rFonts w:ascii="Arial Narrow" w:hAnsi="Arial Narrow"/>
          <w:lang w:val="es-ES"/>
        </w:rPr>
        <w:t>Acompañamiento y asistencia a redes y encuentros de semilleros para la divulgación de los avances de los estudiantes.</w:t>
      </w:r>
    </w:p>
    <w:p w14:paraId="4BEA720C" w14:textId="77777777" w:rsidR="00383D1A" w:rsidRPr="00383D1A" w:rsidRDefault="00383D1A" w:rsidP="00383D1A">
      <w:pPr>
        <w:spacing w:line="276" w:lineRule="auto"/>
        <w:jc w:val="both"/>
        <w:rPr>
          <w:rFonts w:ascii="Arial Narrow" w:hAnsi="Arial Narrow"/>
          <w:lang w:val="es-ES"/>
        </w:rPr>
      </w:pPr>
    </w:p>
    <w:p w14:paraId="19E17271" w14:textId="36EEF35F" w:rsidR="00383D1A" w:rsidRPr="00383D1A" w:rsidRDefault="00383D1A" w:rsidP="00383D1A">
      <w:pPr>
        <w:pStyle w:val="Prrafodelista"/>
        <w:numPr>
          <w:ilvl w:val="2"/>
          <w:numId w:val="1"/>
        </w:numPr>
        <w:spacing w:line="276" w:lineRule="auto"/>
        <w:jc w:val="both"/>
        <w:rPr>
          <w:rFonts w:ascii="Arial Narrow" w:hAnsi="Arial Narrow"/>
          <w:b/>
          <w:bCs/>
          <w:lang w:val="es-ES"/>
        </w:rPr>
      </w:pPr>
      <w:r w:rsidRPr="00383D1A">
        <w:rPr>
          <w:rFonts w:ascii="Arial Narrow" w:hAnsi="Arial Narrow"/>
          <w:b/>
          <w:bCs/>
          <w:lang w:val="es-ES"/>
        </w:rPr>
        <w:t>Dirección de trabajos de grado a nivel de pregrado y maestría y tesis doctorales</w:t>
      </w:r>
    </w:p>
    <w:p w14:paraId="07FB64EC" w14:textId="46259C10" w:rsidR="00383D1A" w:rsidRDefault="00383D1A" w:rsidP="00383D1A">
      <w:pPr>
        <w:spacing w:line="276" w:lineRule="auto"/>
        <w:jc w:val="both"/>
        <w:rPr>
          <w:rFonts w:ascii="Arial Narrow" w:hAnsi="Arial Narrow"/>
          <w:lang w:val="es-ES"/>
        </w:rPr>
      </w:pPr>
      <w:r>
        <w:rPr>
          <w:rFonts w:ascii="Arial Narrow" w:hAnsi="Arial Narrow"/>
          <w:lang w:val="es-ES"/>
        </w:rPr>
        <w:t>En esta actividad se realizará el acompañamiento a estudiantes de pregrado que opten por la realización de trabajo de grado como opción de grado. Adicionalmente, se vincularán y acompañarán estudiantes de maestría y de doctorado para la formación de talento humano de alto nivel en la región. Cabe destacar que, la inclusión y aceptación de estudiantes está supeditada a la disponibilidad de recursos o la ejecución de proyectos.</w:t>
      </w:r>
    </w:p>
    <w:p w14:paraId="629D86C8" w14:textId="0664B203" w:rsidR="00383D1A" w:rsidRPr="00383D1A" w:rsidRDefault="00383D1A" w:rsidP="00383D1A">
      <w:pPr>
        <w:pStyle w:val="Prrafodelista"/>
        <w:numPr>
          <w:ilvl w:val="2"/>
          <w:numId w:val="1"/>
        </w:numPr>
        <w:spacing w:line="276" w:lineRule="auto"/>
        <w:jc w:val="both"/>
        <w:rPr>
          <w:rFonts w:ascii="Arial Narrow" w:hAnsi="Arial Narrow"/>
          <w:b/>
          <w:bCs/>
          <w:lang w:val="es-ES"/>
        </w:rPr>
      </w:pPr>
      <w:r w:rsidRPr="00383D1A">
        <w:rPr>
          <w:rFonts w:ascii="Arial Narrow" w:hAnsi="Arial Narrow"/>
          <w:b/>
          <w:bCs/>
          <w:lang w:val="es-ES"/>
        </w:rPr>
        <w:t>Formulación y apoyo a la formulación de proyectos</w:t>
      </w:r>
    </w:p>
    <w:p w14:paraId="316752DD" w14:textId="5B7E1A98" w:rsidR="007A666D" w:rsidRDefault="005A2D5F" w:rsidP="005A2D5F">
      <w:pPr>
        <w:spacing w:line="276" w:lineRule="auto"/>
        <w:jc w:val="both"/>
        <w:rPr>
          <w:rFonts w:ascii="Arial Narrow" w:hAnsi="Arial Narrow"/>
          <w:lang w:val="es-ES"/>
        </w:rPr>
      </w:pPr>
      <w:r w:rsidRPr="005A2D5F">
        <w:rPr>
          <w:rFonts w:ascii="Arial Narrow" w:hAnsi="Arial Narrow"/>
          <w:lang w:val="es-ES"/>
        </w:rPr>
        <w:t>Se participará en la formulación de proyectos de investigación como coinvestigador y se liderará el diseño de propuestas como investigador principal, con el propósito de gestionar y captar recursos que impulsen el desarrollo de actividades de investigación, innovación y fortalecimiento del programa</w:t>
      </w:r>
    </w:p>
    <w:p w14:paraId="0FCF23B2" w14:textId="607C5C44" w:rsidR="005A2D5F" w:rsidRDefault="005A2D5F" w:rsidP="005A2D5F">
      <w:pPr>
        <w:pStyle w:val="Prrafodelista"/>
        <w:numPr>
          <w:ilvl w:val="2"/>
          <w:numId w:val="1"/>
        </w:numPr>
        <w:spacing w:line="276" w:lineRule="auto"/>
        <w:jc w:val="both"/>
        <w:rPr>
          <w:rFonts w:ascii="Arial Narrow" w:hAnsi="Arial Narrow"/>
          <w:b/>
          <w:bCs/>
          <w:lang w:val="es-ES"/>
        </w:rPr>
      </w:pPr>
      <w:r w:rsidRPr="005A2D5F">
        <w:rPr>
          <w:rFonts w:ascii="Arial Narrow" w:hAnsi="Arial Narrow"/>
          <w:b/>
          <w:bCs/>
          <w:lang w:val="es-ES"/>
        </w:rPr>
        <w:t>Propuesta de investigación asociada a la temática del área</w:t>
      </w:r>
    </w:p>
    <w:p w14:paraId="27C58CD4" w14:textId="77777777" w:rsidR="005A2D5F" w:rsidRDefault="005A2D5F" w:rsidP="005A2D5F">
      <w:pPr>
        <w:spacing w:line="276" w:lineRule="auto"/>
        <w:jc w:val="both"/>
        <w:rPr>
          <w:rFonts w:ascii="Arial Narrow" w:hAnsi="Arial Narrow"/>
          <w:lang w:val="es-ES"/>
        </w:rPr>
      </w:pPr>
      <w:r w:rsidRPr="005A2D5F">
        <w:rPr>
          <w:rFonts w:ascii="Arial Narrow" w:hAnsi="Arial Narrow"/>
          <w:lang w:val="es-ES"/>
        </w:rPr>
        <w:t>A continuación</w:t>
      </w:r>
      <w:r>
        <w:rPr>
          <w:rFonts w:ascii="Arial Narrow" w:hAnsi="Arial Narrow"/>
          <w:lang w:val="es-ES"/>
        </w:rPr>
        <w:t>,</w:t>
      </w:r>
      <w:r w:rsidRPr="005A2D5F">
        <w:rPr>
          <w:rFonts w:ascii="Arial Narrow" w:hAnsi="Arial Narrow"/>
          <w:lang w:val="es-ES"/>
        </w:rPr>
        <w:t xml:space="preserve"> se describe brevemente la propuesta de investigación</w:t>
      </w:r>
      <w:r>
        <w:rPr>
          <w:rFonts w:ascii="Arial Narrow" w:hAnsi="Arial Narrow"/>
          <w:lang w:val="es-ES"/>
        </w:rPr>
        <w:t xml:space="preserve"> asociada a la temática</w:t>
      </w:r>
    </w:p>
    <w:p w14:paraId="51518B4E" w14:textId="37332D8A" w:rsidR="005A2D5F" w:rsidRPr="005A2D5F" w:rsidRDefault="005A2D5F" w:rsidP="005A2D5F">
      <w:pPr>
        <w:pStyle w:val="Prrafodelista"/>
        <w:numPr>
          <w:ilvl w:val="0"/>
          <w:numId w:val="9"/>
        </w:numPr>
        <w:spacing w:line="276" w:lineRule="auto"/>
        <w:jc w:val="both"/>
        <w:rPr>
          <w:rFonts w:ascii="Arial Narrow" w:hAnsi="Arial Narrow"/>
          <w:lang w:val="es-ES"/>
        </w:rPr>
      </w:pPr>
      <w:r w:rsidRPr="005A2D5F">
        <w:rPr>
          <w:rFonts w:ascii="Arial Narrow" w:hAnsi="Arial Narrow"/>
          <w:lang w:val="es-ES"/>
        </w:rPr>
        <w:t>Título</w:t>
      </w:r>
    </w:p>
    <w:p w14:paraId="1DEC968A" w14:textId="0F9E4155" w:rsidR="005A2D5F" w:rsidRDefault="005A2D5F" w:rsidP="005A2D5F">
      <w:pPr>
        <w:spacing w:line="276" w:lineRule="auto"/>
        <w:jc w:val="both"/>
        <w:rPr>
          <w:rFonts w:ascii="Arial Narrow" w:hAnsi="Arial Narrow"/>
          <w:lang w:val="es-ES"/>
        </w:rPr>
      </w:pPr>
      <w:r>
        <w:rPr>
          <w:rFonts w:ascii="Arial Narrow" w:hAnsi="Arial Narrow"/>
          <w:lang w:val="es-ES"/>
        </w:rPr>
        <w:t>Valorización de cultivos no tradicionales y residuos agrícolas mediante la obtención de compuestos de interés industrial.</w:t>
      </w:r>
    </w:p>
    <w:p w14:paraId="453D21F6" w14:textId="04B61A14" w:rsidR="005A2D5F" w:rsidRDefault="005A2D5F" w:rsidP="005A2D5F">
      <w:pPr>
        <w:pStyle w:val="Prrafodelista"/>
        <w:numPr>
          <w:ilvl w:val="0"/>
          <w:numId w:val="9"/>
        </w:numPr>
        <w:spacing w:line="276" w:lineRule="auto"/>
        <w:jc w:val="both"/>
        <w:rPr>
          <w:rFonts w:ascii="Arial Narrow" w:hAnsi="Arial Narrow"/>
          <w:lang w:val="es-ES"/>
        </w:rPr>
      </w:pPr>
      <w:r>
        <w:rPr>
          <w:rFonts w:ascii="Arial Narrow" w:hAnsi="Arial Narrow"/>
          <w:lang w:val="es-ES"/>
        </w:rPr>
        <w:lastRenderedPageBreak/>
        <w:t>Objetivo general</w:t>
      </w:r>
    </w:p>
    <w:p w14:paraId="591315D4" w14:textId="4A307BFC" w:rsidR="005A2D5F" w:rsidRDefault="005A2D5F" w:rsidP="005A2D5F">
      <w:pPr>
        <w:spacing w:line="276" w:lineRule="auto"/>
        <w:jc w:val="both"/>
        <w:rPr>
          <w:rFonts w:ascii="Arial Narrow" w:hAnsi="Arial Narrow"/>
          <w:lang w:val="es-ES"/>
        </w:rPr>
      </w:pPr>
      <w:r>
        <w:rPr>
          <w:rFonts w:ascii="Arial Narrow" w:hAnsi="Arial Narrow"/>
          <w:lang w:val="es-ES"/>
        </w:rPr>
        <w:t>Valorizar cultivos no tradicionales y residuos agrícola mediante la extracción, caracterización y uso de compuestos de interés industrial.</w:t>
      </w:r>
    </w:p>
    <w:p w14:paraId="41115767" w14:textId="75AE3820" w:rsidR="005A2D5F" w:rsidRDefault="005A2D5F" w:rsidP="005A2D5F">
      <w:pPr>
        <w:pStyle w:val="Prrafodelista"/>
        <w:numPr>
          <w:ilvl w:val="0"/>
          <w:numId w:val="9"/>
        </w:numPr>
        <w:spacing w:line="276" w:lineRule="auto"/>
        <w:jc w:val="both"/>
        <w:rPr>
          <w:rFonts w:ascii="Arial Narrow" w:hAnsi="Arial Narrow"/>
          <w:lang w:val="es-ES"/>
        </w:rPr>
      </w:pPr>
      <w:r>
        <w:rPr>
          <w:rFonts w:ascii="Arial Narrow" w:hAnsi="Arial Narrow"/>
          <w:lang w:val="es-ES"/>
        </w:rPr>
        <w:t>Metodología</w:t>
      </w:r>
    </w:p>
    <w:p w14:paraId="37AC2301" w14:textId="309E3E8D" w:rsidR="00932A51" w:rsidRDefault="00932A51" w:rsidP="00932A51">
      <w:pPr>
        <w:spacing w:line="276" w:lineRule="auto"/>
        <w:jc w:val="both"/>
        <w:rPr>
          <w:rFonts w:ascii="Arial Narrow" w:hAnsi="Arial Narrow"/>
          <w:lang w:val="es-ES"/>
        </w:rPr>
      </w:pPr>
      <w:r>
        <w:rPr>
          <w:rFonts w:ascii="Arial Narrow" w:hAnsi="Arial Narrow"/>
          <w:lang w:val="es-ES"/>
        </w:rPr>
        <w:t>Se dividirá en dos etapas</w:t>
      </w:r>
    </w:p>
    <w:p w14:paraId="41D2748D" w14:textId="5A4F46FD" w:rsidR="00932A51" w:rsidRPr="00932A51" w:rsidRDefault="00932A51" w:rsidP="00932A51">
      <w:pPr>
        <w:spacing w:line="276" w:lineRule="auto"/>
        <w:jc w:val="both"/>
        <w:rPr>
          <w:rFonts w:ascii="Arial Narrow" w:hAnsi="Arial Narrow"/>
          <w:b/>
          <w:bCs/>
          <w:lang w:val="es-ES"/>
        </w:rPr>
      </w:pPr>
      <w:r w:rsidRPr="00932A51">
        <w:rPr>
          <w:rFonts w:ascii="Arial Narrow" w:hAnsi="Arial Narrow"/>
          <w:b/>
          <w:bCs/>
          <w:lang w:val="es-ES"/>
        </w:rPr>
        <w:t xml:space="preserve">Etapa I </w:t>
      </w:r>
    </w:p>
    <w:p w14:paraId="53FC6837" w14:textId="78C833AB" w:rsidR="005A2D5F" w:rsidRDefault="005A2D5F" w:rsidP="005A2D5F">
      <w:pPr>
        <w:spacing w:line="276" w:lineRule="auto"/>
        <w:jc w:val="both"/>
        <w:rPr>
          <w:rFonts w:ascii="Arial Narrow" w:hAnsi="Arial Narrow"/>
          <w:lang w:val="es-ES"/>
        </w:rPr>
      </w:pPr>
      <w:r>
        <w:rPr>
          <w:rFonts w:ascii="Arial Narrow" w:hAnsi="Arial Narrow"/>
          <w:lang w:val="es-ES"/>
        </w:rPr>
        <w:t xml:space="preserve">Selección de material: se realizará una revisión bibliográfica de los subproductos de mayor producción en la región y de </w:t>
      </w:r>
      <w:r w:rsidR="00932A51">
        <w:rPr>
          <w:rFonts w:ascii="Arial Narrow" w:hAnsi="Arial Narrow"/>
          <w:lang w:val="es-ES"/>
        </w:rPr>
        <w:t>cultivos que tengan una producción a escala semiindustrial pero que no hayan sido explorados a profundidad.</w:t>
      </w:r>
    </w:p>
    <w:p w14:paraId="3373315D" w14:textId="78CF403F" w:rsidR="00932A51" w:rsidRDefault="00932A51" w:rsidP="005A2D5F">
      <w:pPr>
        <w:spacing w:line="276" w:lineRule="auto"/>
        <w:jc w:val="both"/>
        <w:rPr>
          <w:rFonts w:ascii="Arial Narrow" w:hAnsi="Arial Narrow"/>
          <w:lang w:val="es-ES"/>
        </w:rPr>
      </w:pPr>
      <w:r>
        <w:rPr>
          <w:rFonts w:ascii="Arial Narrow" w:hAnsi="Arial Narrow"/>
          <w:lang w:val="es-ES"/>
        </w:rPr>
        <w:t xml:space="preserve">Extracción y caracterización de compuestos de importancia industrial: Se realizará una evaluación de la composición de la materia prima y luego se realizará la extracción de compuestos de importancia industrial como pectinas, almidones, celulosa, aceites esenciales, compuestos bioactivos entre otros </w:t>
      </w:r>
      <w:r>
        <w:rPr>
          <w:rFonts w:ascii="Arial Narrow" w:hAnsi="Arial Narrow"/>
          <w:lang w:val="es-ES"/>
        </w:rPr>
        <w:fldChar w:fldCharType="begin" w:fldLock="1"/>
      </w:r>
      <w:r w:rsidR="00152805">
        <w:rPr>
          <w:rFonts w:ascii="Arial Narrow" w:hAnsi="Arial Narrow"/>
          <w:lang w:val="es-ES"/>
        </w:rPr>
        <w:instrText>ADDIN CSL_CITATION {"citationItems":[{"id":"ITEM-1","itemData":{"DOI":"10.3390/molecules28083474","ISSN":"14203049","abstract":"Plants of the genus Scutellaria (Lamiaceae) have a wide variety of bioactive secondary metabolites with diverse biological properties, e.g., anti-inflammatory, antiallergenic, antioxidant, antiviral, and antitumor activities. The chemical composition of the hydroethanolic extracts, obtained from dried plants of S. incarnata, S. coccinea, and S. ventenatii × S. incarnata, was determined by UHPLC/ESI-Q-Orbitrap-MS. The flavones were found in a higher proportion. Baicalin and dihydrobaicalein-glucuronide were the major extract components in S. incarnata (287.127 ± 0.005 mg/g and 140.18 ± 0.07 mg/g), in S. coccinea (158.3 ± 0.34 mg/g and 51.20 ± 0.02 mg/g), and in S. ventenatii × S. incarnata (186.87 ± 0.01 mg/g and 44.89 ± 0.06 mg/g). The S. coccinea extract showed the highest antioxidant activity in the four complementary techniques employed to evaluate all extracts: ORAC (3828 ± 3.0 µmol Trolox®/g extract), ABTS+• (747 ± 1.8 µmol Trolox®/g extract), online HPLC-ABTS+• (910 ± 1.3 µmol Trolox®/g extract), and β-carotene (74.3 ± 0.8 µmol Trolox®/g extract).","author":[{"dropping-particle":"","family":"Porras","given":"Silvia M.","non-dropping-particle":"","parse-names":false,"suffix":""},{"dropping-particle":"","family":"Saavedra","given":"Rogerio A.","non-dropping-particle":"","parse-names":false,"suffix":""},{"dropping-particle":"","family":"Sierra","given":"Lady J.","non-dropping-particle":"","parse-names":false,"suffix":""},{"dropping-particle":"","family":"González","given":"Robert T.","non-dropping-particle":"","parse-names":false,"suffix":""},{"dropping-particle":"","family":"Martínez","given":"Jairo R.","non-dropping-particle":"","parse-names":false,"suffix":""},{"dropping-particle":"","family":"Stashenko","given":"Elena E.","non-dropping-particle":"","parse-names":false,"suffix":""}],"container-title":"Molecules","id":"ITEM-1","issue":"8","issued":{"date-parts":[["2023"]]},"title":"Chemical Characterization and Determination of the Antioxidant Properties of Phenolic Compounds in Three Scutellaria sp. Plants Grown in Colombia","type":"article-journal","volume":"28"},"uris":["http://www.mendeley.com/documents/?uuid=fd29e1eb-8199-4958-808d-d37293eb3290"]},{"id":"ITEM-2","itemData":{"DOI":"10.1016/j.focha.2023.100192","ISSN":"2772753X","abstract":"Pectin is a complex versatile heteropolysaccharide of great importance to food, pharmaceutical and cosmetic industries. It is widely used in the food industry due to its thickening, gelling and emulsification properties and in biomedical and biomaterial applications on account of its potential anti-inflammatory and immunomodulatory effects as well as its biodegradability and biocompatibility properties. Pectin is also a soluble dietary fiber with several beneficial gastrointestinal and physiological effects. The multifunctionality of pectin is related to the nature of its molecule that has diverse chemical structures, physicochemical properties and potential functionalities depending on the sources where it is extracted and on the extraction methods. Therefore, this review focuses on the importance of pectin for today's food, pharmaceutical and cosmetic industries, compiling information on its composition and properties as determined by its origins, especially from waste biomass of the fruits and vegetables processing industry, on commercial applications and research needs. The suitability of the different extraction methods was also discussed, considering cost, energy consumption and productivity. Furthermore, the biodegradation of pectin as a complex process performed by a set of enzymes was also reviewed along with application purposes. Finally, future perspectives reveal pectin to be an astounding functional food ingredient requiring continuous research work.","author":[{"dropping-particle":"","family":"Roman-Benn","given":"Analese","non-dropping-particle":"","parse-names":false,"suffix":""},{"dropping-particle":"","family":"Contador","given":"Carolina A.","non-dropping-particle":"","parse-names":false,"suffix":""},{"dropping-particle":"","family":"Li","given":"Man Wah","non-dropping-particle":"","parse-names":false,"suffix":""},{"dropping-particle":"","family":"Lam","given":"Hon Ming","non-dropping-particle":"","parse-names":false,"suffix":""},{"dropping-particle":"","family":"Ah-Hen","given":"Kong","non-dropping-particle":"","parse-names":false,"suffix":""},{"dropping-particle":"","family":"Ulloa","given":"Pilar E.","non-dropping-particle":"","parse-names":false,"suffix":""},{"dropping-particle":"","family":"Ravanal","given":"María Cristina","non-dropping-particle":"","parse-names":false,"suffix":""}],"container-title":"Food Chemistry Advances","id":"ITEM-2","issue":"December 2022","issued":{"date-parts":[["2023"]]},"page":"100192","publisher":"Elsevier Ltd","title":"Pectin: An overview of sources, extraction and applications in food products, biomedical, pharmaceutical and environmental issues","type":"article-journal","volume":"2"},"uris":["http://www.mendeley.com/documents/?uuid=2923f27a-7cbf-4ed3-bf8f-aeceb627a95c"]},{"id":"ITEM-3","itemData":{"DOI":"10.1007/s13399-022-02339-x","ISBN":"0123456789","ISSN":"21906823","abstract":"Coffee pulp comprises of 50% in coffee cherries and is one of the most abundant agricultural wastes in the food industry. This study introduced a green method to recover major biopolymers (pectin and cellulose) from pulps of Coffee arabica L. which were then used as materials to produce biopolymer films. The results showed that the extraction procedure using acidified solvent (pH 3.1) at 84.3 °C for 4.3 h allowed to recover 16.7% pectin from coffee pulps. Furthermore, a two-step procedure including a pre-treatment step (using vapor at 170 °C for 30 min) and a bleaching step (using H2O2 at 40 °C for 10 h) contributed to extract 54% cellulose from coffee pulps. Biopolymer films made of coffee pectin-microcrystalline cellulose mixtures had a smooth surface, a high transparency, a tensile strength of 3 MPa, and an elongation of 4%.","author":[{"dropping-particle":"","family":"Dao","given":"Duy N.","non-dropping-particle":"","parse-names":false,"suffix":""},{"dropping-particle":"","family":"Le","given":"Phuong H.","non-dropping-particle":"","parse-names":false,"suffix":""},{"dropping-particle":"","family":"Do","given":"Duy X.","non-dropping-particle":"","parse-names":false,"suffix":""},{"dropping-particle":"","family":"Dang","given":"Thinh M.Q.","non-dropping-particle":"","parse-names":false,"suffix":""},{"dropping-particle":"","family":"Nguyen","given":"Sinh K.","non-dropping-particle":"","parse-names":false,"suffix":""},{"dropping-particle":"","family":"Nguyen","given":"Viet","non-dropping-particle":"","parse-names":false,"suffix":""}],"container-title":"Biomass Conversion and Biorefinery","id":"ITEM-3","issue":"14","issued":{"date-parts":[["2023"]]},"page":"13117-13125","publisher":"Springer Berlin Heidelberg","title":"Pectin and cellulose extracted from coffee pulps and their potential in formulating biopolymer films","type":"article-journal","volume":"13"},"uris":["http://www.mendeley.com/documents/?uuid=9dccc4b6-8550-421f-82ec-2f9ee87822f0"]}],"mendeley":{"formattedCitation":"(Dao et al., 2023; Porras et al., 2023; Roman-Benn et al., 2023)","plainTextFormattedCitation":"(Dao et al., 2023; Porras et al., 2023; Roman-Benn et al., 2023)","previouslyFormattedCitation":"(Dao et al., 2023; Porras et al., 2023; Roman-Benn et al., 2023)"},"properties":{"noteIndex":0},"schema":"https://github.com/citation-style-language/schema/raw/master/csl-citation.json"}</w:instrText>
      </w:r>
      <w:r>
        <w:rPr>
          <w:rFonts w:ascii="Arial Narrow" w:hAnsi="Arial Narrow"/>
          <w:lang w:val="es-ES"/>
        </w:rPr>
        <w:fldChar w:fldCharType="separate"/>
      </w:r>
      <w:r w:rsidR="00050692" w:rsidRPr="00050692">
        <w:rPr>
          <w:rFonts w:ascii="Arial Narrow" w:hAnsi="Arial Narrow"/>
          <w:noProof/>
          <w:lang w:val="es-ES"/>
        </w:rPr>
        <w:t>(Dao et al., 2023; Porras et al., 2023; Roman-Benn et al., 2023)</w:t>
      </w:r>
      <w:r>
        <w:rPr>
          <w:rFonts w:ascii="Arial Narrow" w:hAnsi="Arial Narrow"/>
          <w:lang w:val="es-ES"/>
        </w:rPr>
        <w:fldChar w:fldCharType="end"/>
      </w:r>
      <w:r>
        <w:rPr>
          <w:rFonts w:ascii="Arial Narrow" w:hAnsi="Arial Narrow"/>
          <w:lang w:val="es-ES"/>
        </w:rPr>
        <w:t>. Estos materiales se caracterizarán de acuerdo con su naturaleza:</w:t>
      </w:r>
    </w:p>
    <w:p w14:paraId="391D4984" w14:textId="558DA790" w:rsidR="00932A51" w:rsidRDefault="00932A51" w:rsidP="005A2D5F">
      <w:pPr>
        <w:spacing w:line="276" w:lineRule="auto"/>
        <w:jc w:val="both"/>
        <w:rPr>
          <w:rFonts w:ascii="Arial Narrow" w:hAnsi="Arial Narrow"/>
          <w:lang w:val="es-ES"/>
        </w:rPr>
      </w:pPr>
      <w:r w:rsidRPr="00932A51">
        <w:rPr>
          <w:rFonts w:ascii="Arial Narrow" w:hAnsi="Arial Narrow"/>
          <w:b/>
          <w:bCs/>
          <w:lang w:val="es-ES"/>
        </w:rPr>
        <w:t>Tabla 1.</w:t>
      </w:r>
      <w:r>
        <w:rPr>
          <w:rFonts w:ascii="Arial Narrow" w:hAnsi="Arial Narrow"/>
          <w:lang w:val="es-ES"/>
        </w:rPr>
        <w:t xml:space="preserve"> </w:t>
      </w:r>
      <w:r w:rsidRPr="00932A51">
        <w:rPr>
          <w:rFonts w:ascii="Arial Narrow" w:hAnsi="Arial Narrow"/>
          <w:lang w:val="es-ES"/>
        </w:rPr>
        <w:t>Metodologías de referencia para la extracción y caracterización de compuestos asociados a la elaboración de empaques biodegradables</w:t>
      </w:r>
    </w:p>
    <w:tbl>
      <w:tblPr>
        <w:tblStyle w:val="Tablaconcuadrcula"/>
        <w:tblW w:w="8075" w:type="dxa"/>
        <w:jc w:val="center"/>
        <w:tblLook w:val="04A0" w:firstRow="1" w:lastRow="0" w:firstColumn="1" w:lastColumn="0" w:noHBand="0" w:noVBand="1"/>
      </w:tblPr>
      <w:tblGrid>
        <w:gridCol w:w="1696"/>
        <w:gridCol w:w="2410"/>
        <w:gridCol w:w="3969"/>
      </w:tblGrid>
      <w:tr w:rsidR="00932A51" w:rsidRPr="009D477B" w14:paraId="7437292B" w14:textId="77777777" w:rsidTr="00932A51">
        <w:trPr>
          <w:jc w:val="center"/>
        </w:trPr>
        <w:tc>
          <w:tcPr>
            <w:tcW w:w="1696" w:type="dxa"/>
          </w:tcPr>
          <w:p w14:paraId="0F106D17" w14:textId="77777777" w:rsidR="00932A51" w:rsidRPr="009D477B" w:rsidRDefault="00932A51" w:rsidP="00B7219A">
            <w:pPr>
              <w:jc w:val="center"/>
              <w:rPr>
                <w:rFonts w:ascii="Arial" w:hAnsi="Arial" w:cs="Arial"/>
                <w:b/>
                <w:bCs/>
                <w:sz w:val="18"/>
                <w:szCs w:val="18"/>
                <w:lang w:val="es-CO"/>
              </w:rPr>
            </w:pPr>
            <w:r w:rsidRPr="009D477B">
              <w:rPr>
                <w:rFonts w:ascii="Arial" w:hAnsi="Arial" w:cs="Arial"/>
                <w:b/>
                <w:bCs/>
                <w:sz w:val="18"/>
                <w:szCs w:val="18"/>
                <w:lang w:val="es-CO"/>
              </w:rPr>
              <w:t>Compuesto o material</w:t>
            </w:r>
          </w:p>
        </w:tc>
        <w:tc>
          <w:tcPr>
            <w:tcW w:w="2410" w:type="dxa"/>
          </w:tcPr>
          <w:p w14:paraId="2030FD29" w14:textId="77777777" w:rsidR="00932A51" w:rsidRPr="009D477B" w:rsidRDefault="00932A51" w:rsidP="00B7219A">
            <w:pPr>
              <w:jc w:val="center"/>
              <w:rPr>
                <w:rFonts w:ascii="Arial" w:hAnsi="Arial" w:cs="Arial"/>
                <w:b/>
                <w:bCs/>
                <w:sz w:val="18"/>
                <w:szCs w:val="18"/>
                <w:lang w:val="es-CO"/>
              </w:rPr>
            </w:pPr>
            <w:r w:rsidRPr="009D477B">
              <w:rPr>
                <w:rFonts w:ascii="Arial" w:hAnsi="Arial" w:cs="Arial"/>
                <w:b/>
                <w:bCs/>
                <w:sz w:val="18"/>
                <w:szCs w:val="18"/>
                <w:lang w:val="es-CO"/>
              </w:rPr>
              <w:t>Metodología de referencia</w:t>
            </w:r>
          </w:p>
        </w:tc>
        <w:tc>
          <w:tcPr>
            <w:tcW w:w="3969" w:type="dxa"/>
          </w:tcPr>
          <w:p w14:paraId="126CD514" w14:textId="77777777" w:rsidR="00932A51" w:rsidRPr="009D477B" w:rsidRDefault="00932A51" w:rsidP="00B7219A">
            <w:pPr>
              <w:jc w:val="center"/>
              <w:rPr>
                <w:rFonts w:ascii="Arial" w:hAnsi="Arial" w:cs="Arial"/>
                <w:b/>
                <w:bCs/>
                <w:sz w:val="18"/>
                <w:szCs w:val="18"/>
                <w:lang w:val="es-CO"/>
              </w:rPr>
            </w:pPr>
            <w:r w:rsidRPr="009D477B">
              <w:rPr>
                <w:rFonts w:ascii="Arial" w:hAnsi="Arial" w:cs="Arial"/>
                <w:b/>
                <w:bCs/>
                <w:sz w:val="18"/>
                <w:szCs w:val="18"/>
                <w:lang w:val="es-CO"/>
              </w:rPr>
              <w:t xml:space="preserve">Parámetros o análisis de caracterización </w:t>
            </w:r>
          </w:p>
        </w:tc>
      </w:tr>
      <w:tr w:rsidR="00932A51" w:rsidRPr="009D477B" w14:paraId="75ADFB70" w14:textId="77777777" w:rsidTr="00932A51">
        <w:trPr>
          <w:jc w:val="center"/>
        </w:trPr>
        <w:tc>
          <w:tcPr>
            <w:tcW w:w="1696" w:type="dxa"/>
          </w:tcPr>
          <w:p w14:paraId="03334CB6"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Pectina</w:t>
            </w:r>
          </w:p>
        </w:tc>
        <w:tc>
          <w:tcPr>
            <w:tcW w:w="2410" w:type="dxa"/>
          </w:tcPr>
          <w:p w14:paraId="7F88A84D" w14:textId="2E171189" w:rsidR="00932A51" w:rsidRPr="009D477B" w:rsidRDefault="00932A51" w:rsidP="00B7219A">
            <w:pPr>
              <w:jc w:val="both"/>
              <w:rPr>
                <w:rFonts w:ascii="Arial" w:hAnsi="Arial" w:cs="Arial"/>
                <w:b/>
                <w:bCs/>
                <w:sz w:val="18"/>
                <w:szCs w:val="18"/>
                <w:lang w:val="es-CO"/>
              </w:rPr>
            </w:pP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DOI":"10.1016/j.lwt.2012.04.018","author":[{"dropping-particle":"","family":"Cristina","given":"Lúcia","non-dropping-particle":"","parse-names":false,"suffix":""},{"dropping-particle":"","family":"Francisco","given":"Reinaldo","non-dropping-particle":"","parse-names":false,"suffix":""},{"dropping-particle":"","family":"Lúcia","given":"Carmen","non-dropping-particle":"","parse-names":false,"suffix":""},{"dropping-particle":"","family":"Petkowicz","given":"De Oliveira","non-dropping-particle":"","parse-names":false,"suffix":""}],"id":"ITEM-1","issued":{"date-parts":[["2012"]]},"page":"108-116","title":"LWT - Food Science and Technology Extraction and characterization of pectin from cacao pod husks ( Theobroma cacao L .) with citric acid","type":"article-journal","volume":"49"},"uris":["http://www.mendeley.com/documents/?uuid=4c0ec82d-dabb-45f2-8af6-07c79059df06"]}],"mendeley":{"formattedCitation":"(Cristina et al., 2012)","plainTextFormattedCitation":"(Cristina et al., 2012)","previouslyFormattedCitation":"(Cristina et al., 2012)"},"properties":{"noteIndex":0},"schema":"https://github.com/citation-style-language/schema/raw/master/csl-citation.json"}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(Cristina et al., 2012)</w:t>
            </w:r>
            <w:r w:rsidRPr="009D477B">
              <w:rPr>
                <w:rFonts w:ascii="Arial" w:hAnsi="Arial" w:cs="Arial"/>
                <w:b/>
                <w:bCs/>
                <w:sz w:val="18"/>
                <w:szCs w:val="18"/>
                <w:lang w:val="es-CO"/>
              </w:rPr>
              <w:fldChar w:fldCharType="end"/>
            </w:r>
            <w:r w:rsidRPr="009D477B">
              <w:rPr>
                <w:rFonts w:ascii="Arial" w:hAnsi="Arial" w:cs="Arial"/>
                <w:b/>
                <w:bCs/>
                <w:sz w:val="18"/>
                <w:szCs w:val="18"/>
                <w:lang w:val="es-CO"/>
              </w:rPr>
              <w:t xml:space="preserve"> </w:t>
            </w: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author":[{"dropping-particle":"","family":"Mamiru","given":"Dawit","non-dropping-particle":"","parse-names":false,"suffix":""},{"dropping-particle":"","family":"Gonfa","given":"Girma","non-dropping-particle":"","parse-names":false,"suffix":""}],"id":"ITEM-1","issue":"February","issued":{"date-parts":[["2023"]]},"title":"Heliyon Extraction and characterization of pectin from watermelon rind using acetic acid","type":"article-journal","volume":"9"},"uris":["http://www.mendeley.com/documents/?uuid=715d20d0-c803-4b3d-9420-0f122caa4875"]}],"mendeley":{"formattedCitation":"(Mamiru &amp; Gonfa, 2023)","plainTextFormattedCitation":"(Mamiru &amp; Gonfa, 2023)","previouslyFormattedCitation":"(Mamiru &amp; Gonfa, 2023)"},"properties":{"noteIndex":0},"schema":"https://github.com/citation-style-language/schema/raw/master/csl-citation.json"}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(Mamiru &amp; Gonfa, 2023)</w:t>
            </w:r>
            <w:r w:rsidRPr="009D477B">
              <w:rPr>
                <w:rFonts w:ascii="Arial" w:hAnsi="Arial" w:cs="Arial"/>
                <w:b/>
                <w:bCs/>
                <w:sz w:val="18"/>
                <w:szCs w:val="18"/>
                <w:lang w:val="es-CO"/>
              </w:rPr>
              <w:fldChar w:fldCharType="end"/>
            </w:r>
          </w:p>
        </w:tc>
        <w:tc>
          <w:tcPr>
            <w:tcW w:w="3969" w:type="dxa"/>
          </w:tcPr>
          <w:p w14:paraId="38AD915A"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 xml:space="preserve">Rendimiento, grado de esterificación, ácidos </w:t>
            </w:r>
            <w:proofErr w:type="spellStart"/>
            <w:r w:rsidRPr="009D477B">
              <w:rPr>
                <w:rFonts w:ascii="Arial" w:hAnsi="Arial" w:cs="Arial"/>
                <w:sz w:val="18"/>
                <w:szCs w:val="18"/>
                <w:lang w:val="es-CO"/>
              </w:rPr>
              <w:t>urónicos</w:t>
            </w:r>
            <w:proofErr w:type="spellEnd"/>
            <w:r w:rsidRPr="009D477B">
              <w:rPr>
                <w:rFonts w:ascii="Arial" w:hAnsi="Arial" w:cs="Arial"/>
                <w:sz w:val="18"/>
                <w:szCs w:val="18"/>
                <w:lang w:val="es-CO"/>
              </w:rPr>
              <w:t xml:space="preserve">, FTIR, tamaño de partícula, propiedades térmicas, morfología,  </w:t>
            </w:r>
          </w:p>
        </w:tc>
      </w:tr>
      <w:tr w:rsidR="00932A51" w:rsidRPr="009D477B" w14:paraId="45A5FD17" w14:textId="77777777" w:rsidTr="00932A51">
        <w:trPr>
          <w:jc w:val="center"/>
        </w:trPr>
        <w:tc>
          <w:tcPr>
            <w:tcW w:w="1696" w:type="dxa"/>
          </w:tcPr>
          <w:p w14:paraId="2E93FE69"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Almidón</w:t>
            </w:r>
          </w:p>
        </w:tc>
        <w:tc>
          <w:tcPr>
            <w:tcW w:w="2410" w:type="dxa"/>
          </w:tcPr>
          <w:p w14:paraId="07153F1F" w14:textId="1D4EEB71" w:rsidR="00932A51" w:rsidRPr="009D477B" w:rsidRDefault="00932A51" w:rsidP="00B7219A">
            <w:pPr>
              <w:jc w:val="both"/>
              <w:rPr>
                <w:rFonts w:ascii="Arial" w:hAnsi="Arial" w:cs="Arial"/>
                <w:b/>
                <w:bCs/>
                <w:sz w:val="18"/>
                <w:szCs w:val="18"/>
                <w:lang w:val="es-CO"/>
              </w:rPr>
            </w:pP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{"citationItems":[{"id":"ITEM-1","itemData":{"DOI":"https://doi.org/10.1016/j.ijbiomac.2022.09.092","author":[{"dropping-particle":"","family":"Daza","given":"Luis Daniel","non-dropping-particle":"","parse-names":false,"suffix":""},{"dropping-particle":"","family":"Umaña","given":"Mónica","non-dropping-particle":"","parse-names":false,"suffix":""},{"dropping-particle":"","family":"Simal","given":"Susana","non-dropping-particle":"","parse-names":false,"suffix":""},{"dropping-particle":"","family":"Váquiro","given":"Henry","non-dropping-particle":"","parse-names":false,"suffix":""},{"dropping-particle":"","family":"Eim","given":"Valeria Soledad","non-dropping-particle":"","parse-names":false,"suffix":""}],"id":"ITEM-1","issue":"August","issued":{"date-parts":[["2022"]]},"page":"954-964","title":"Non-conventional starch from cubio tuber ( Tropaeolum tuberosum ): Physicochemical , structural , morphological , thermal characterization and the evaluation of its potential as a packaging material","type":"article-journal","volume":"221"},"uris":["http://www.mendeley.com/documents/?uuid=22b0b6a4-69e9-4b79-8363-f92cb986b1f7"]}],"mendeley":{"formattedCitation":"(Daza et al., 2022)","manualFormatting":"(Daza, et al., 2022a)","plainTextFormattedCitation":"(Daza et al., 2022)","previouslyFormattedCitation":"(Daza et al., 2022)"},"properties":{"noteIndex":0},"schema":"https://github.com/citation-style-language/schema/raw/master/csl-citation.json"}</w:instrText>
            </w:r>
            <w:r w:rsidRPr="009D477B">
              <w:rPr>
                <w:rFonts w:ascii="Arial" w:hAnsi="Arial" w:cs="Arial"/>
                <w:b/>
                <w:bCs/>
                <w:sz w:val="18"/>
                <w:szCs w:val="18"/>
                <w:lang w:val="es-CO"/>
              </w:rPr>
              <w:fldChar w:fldCharType="separate"/>
            </w:r>
            <w:r w:rsidRPr="009D477B">
              <w:rPr>
                <w:rFonts w:ascii="Arial" w:hAnsi="Arial" w:cs="Arial"/>
                <w:bCs/>
                <w:noProof/>
                <w:sz w:val="18"/>
                <w:szCs w:val="18"/>
                <w:lang w:val="es-CO"/>
              </w:rPr>
              <w:t>(Daza, et al., 2022a)</w:t>
            </w:r>
            <w:r w:rsidRPr="009D477B">
              <w:rPr>
                <w:rFonts w:ascii="Arial" w:hAnsi="Arial" w:cs="Arial"/>
                <w:b/>
                <w:bCs/>
                <w:sz w:val="18"/>
                <w:szCs w:val="18"/>
                <w:lang w:val="es-CO"/>
              </w:rPr>
              <w:fldChar w:fldCharType="end"/>
            </w:r>
            <w:r w:rsidRPr="009D477B">
              <w:rPr>
                <w:rFonts w:ascii="Arial" w:hAnsi="Arial" w:cs="Arial"/>
                <w:b/>
                <w:bCs/>
                <w:sz w:val="18"/>
                <w:szCs w:val="18"/>
                <w:lang w:val="es-CO"/>
              </w:rPr>
              <w:t xml:space="preserve"> </w:t>
            </w:r>
          </w:p>
        </w:tc>
        <w:tc>
          <w:tcPr>
            <w:tcW w:w="3969" w:type="dxa"/>
          </w:tcPr>
          <w:p w14:paraId="552348A0" w14:textId="5D42B2B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 xml:space="preserve">Rendimiento, </w:t>
            </w:r>
            <w:proofErr w:type="spellStart"/>
            <w:r w:rsidRPr="009D477B">
              <w:rPr>
                <w:rFonts w:ascii="Arial" w:hAnsi="Arial" w:cs="Arial"/>
                <w:sz w:val="18"/>
                <w:szCs w:val="18"/>
                <w:lang w:val="es-CO"/>
              </w:rPr>
              <w:t>empastamiento</w:t>
            </w:r>
            <w:proofErr w:type="spellEnd"/>
            <w:r w:rsidRPr="009D477B">
              <w:rPr>
                <w:rFonts w:ascii="Arial" w:hAnsi="Arial" w:cs="Arial"/>
                <w:sz w:val="18"/>
                <w:szCs w:val="18"/>
                <w:lang w:val="es-CO"/>
              </w:rPr>
              <w:t>, térmicas, morfología, fisicoquímicas, textura, degradación, difracción rayos X, FTIR, tamaño de partícula.</w:t>
            </w:r>
          </w:p>
        </w:tc>
      </w:tr>
      <w:tr w:rsidR="00932A51" w:rsidRPr="009D477B" w14:paraId="73EF8844" w14:textId="77777777" w:rsidTr="00932A51">
        <w:trPr>
          <w:jc w:val="center"/>
        </w:trPr>
        <w:tc>
          <w:tcPr>
            <w:tcW w:w="1696" w:type="dxa"/>
          </w:tcPr>
          <w:p w14:paraId="0BEB2277"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 xml:space="preserve">Celulosa y cristales de </w:t>
            </w:r>
            <w:proofErr w:type="spellStart"/>
            <w:r w:rsidRPr="009D477B">
              <w:rPr>
                <w:rFonts w:ascii="Arial" w:hAnsi="Arial" w:cs="Arial"/>
                <w:sz w:val="18"/>
                <w:szCs w:val="18"/>
                <w:lang w:val="es-CO"/>
              </w:rPr>
              <w:t>nanocelulosa</w:t>
            </w:r>
            <w:proofErr w:type="spellEnd"/>
          </w:p>
        </w:tc>
        <w:tc>
          <w:tcPr>
            <w:tcW w:w="2410" w:type="dxa"/>
          </w:tcPr>
          <w:p w14:paraId="5151D277" w14:textId="34B4FFD0" w:rsidR="00932A51" w:rsidRPr="009D477B" w:rsidRDefault="00932A51" w:rsidP="00B7219A">
            <w:pPr>
              <w:jc w:val="both"/>
              <w:rPr>
                <w:rFonts w:ascii="Arial" w:hAnsi="Arial" w:cs="Arial"/>
                <w:b/>
                <w:bCs/>
                <w:sz w:val="18"/>
                <w:szCs w:val="18"/>
                <w:lang w:val="es-CO"/>
              </w:rPr>
            </w:pP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{"citationItems":[{"id":"ITEM-1","itemData":{"DOI":"10.1016/j.matlet.2021.129311","ISSN":"18734979","abstract":"Cellulose nanocrystals (CNCs) have received tremendous attention in recent years for various applications because of their excellent physicochemical properties. Here, CNCs were isolated from coffee grounds through chemical treatment. The CNCs were analyzed by Fourier-transform infrared (FTIR) spectroscopy, X-ray diffraction (XRD), and thermogravimetric analysis (TGA). Transmission electron microscopy (TEM) was used to determine the dimensions of the CNCs, and their length was approximately 120 nm. Notably, improved cellular activity was observed in the presence of the extracted CNCs, indicating their biocompatibility. Enhanced mineralization and osteogenesis occurred in a CNC-treated group compared with an untreated control group, suggesting their superior osteogenic potential. Therefore, the extracted material can be explored as a promising candidate for tissue engineering applications, especially bone tissues.","author":[{"dropping-particle":"","family":"Deb Dutta","given":"Sayan","non-dropping-particle":"","parse-names":false,"suffix":""},{"dropping-particle":"","family":"Patel","given":"Dinesh K.","non-dropping-particle":"","parse-names":false,"suffix":""},{"dropping-particle":"","family":"Ganguly","given":"Keya","non-dropping-particle":"","parse-names":false,"suffix":""},{"dropping-particle":"","family":"Lim","given":"Ki Taek","non-dropping-particle":"","parse-names":false,"suffix":""}],"container-title":"Materials Letters","id":"ITEM-1","issued":{"date-parts":[["2021"]]},"page":"129311","publisher":"Elsevier B.V.","title":"Isolation and characterization of cellulose nanocrystals from coffee grounds for tissue engineering","type":"article-journal","volume":"287"},"uris":["http://www.mendeley.com/documents/?uuid=4d456acc-8e7f-4562-bfaf-22dec7ad0276"]}],"mendeley":{"formattedCitation":"(Deb Dutta et al., 2021)","plainTextFormattedCitation":"(Deb Dutta et al., 2021)","previouslyFormattedCitation":"(Deb Dutta et al., 2021)"},"properties":{"noteIndex":0},"schema":"https://github.com/citation-style-language/schema/raw/master/csl-citation.json"}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(Deb Dutta et al., 2021)</w:t>
            </w:r>
            <w:r w:rsidRPr="009D477B">
              <w:rPr>
                <w:rFonts w:ascii="Arial" w:hAnsi="Arial" w:cs="Arial"/>
                <w:b/>
                <w:bCs/>
                <w:sz w:val="18"/>
                <w:szCs w:val="18"/>
                <w:lang w:val="es-CO"/>
              </w:rPr>
              <w:fldChar w:fldCharType="end"/>
            </w: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author":[{"dropping-particle":"","family":"Collazo-bigliardi","given":"Sofía","non-dropping-particle":"","parse-names":false,"suffix":""},{"dropping-particle":"","family":"Ortega-toro","given":"Rodrigo","non-dropping-particle":"","parse-names":false,"suffix":""},{"dropping-particle":"","family":"Chiralt","given":"Amparo","non-dropping-particle":"","parse-names":false,"suffix":""}],"id":"ITEM-1","issue":"March","issued":{"date-parts":[["2018"]]},"page":"205-215","title":"Isolation and characterisation of microcrystalline cellulose and cellulose nanocrystals from co ff ee husk and comparative study with rice husk","type":"article-journal","volume":"191"},"uris":["http://www.mendeley.com/documents/?uuid=39ed19f5-06bb-4d58-b94e-375da83b39f5"]}],"mendeley":{"formattedCitation":"(Collazo-bigliardi et al., 2018)","plainTextFormattedCitation":"(Collazo-bigliardi et al., 2018)","previouslyFormattedCitation":"(Collazo-bigliardi et al., 2018)"},"properties":{"noteIndex":0},"schema":"https://github.com/citation-style-language/schema/raw/master/csl-citation.json"}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(Collazo-bigliardi et al., 2018)</w:t>
            </w:r>
            <w:r w:rsidRPr="009D477B">
              <w:rPr>
                <w:rFonts w:ascii="Arial" w:hAnsi="Arial" w:cs="Arial"/>
                <w:b/>
                <w:bCs/>
                <w:sz w:val="18"/>
                <w:szCs w:val="18"/>
                <w:lang w:val="es-CO"/>
              </w:rPr>
              <w:fldChar w:fldCharType="end"/>
            </w:r>
          </w:p>
        </w:tc>
        <w:tc>
          <w:tcPr>
            <w:tcW w:w="3969" w:type="dxa"/>
          </w:tcPr>
          <w:p w14:paraId="4B0402E2"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Rendimiento, Térmicas, rayos X, morfología, propiedades fisicoquímicas</w:t>
            </w:r>
          </w:p>
        </w:tc>
      </w:tr>
      <w:tr w:rsidR="00932A51" w:rsidRPr="009D477B" w14:paraId="738D4F3C" w14:textId="77777777" w:rsidTr="00932A51">
        <w:trPr>
          <w:jc w:val="center"/>
        </w:trPr>
        <w:tc>
          <w:tcPr>
            <w:tcW w:w="1696" w:type="dxa"/>
          </w:tcPr>
          <w:p w14:paraId="474B95AF"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Aceite esencial</w:t>
            </w:r>
          </w:p>
        </w:tc>
        <w:tc>
          <w:tcPr>
            <w:tcW w:w="2410" w:type="dxa"/>
          </w:tcPr>
          <w:p w14:paraId="375719BB" w14:textId="4699BAF0" w:rsidR="00932A51" w:rsidRPr="009D477B" w:rsidRDefault="00932A51" w:rsidP="00B7219A">
            <w:pPr>
              <w:jc w:val="both"/>
              <w:rPr>
                <w:rFonts w:ascii="Arial" w:hAnsi="Arial" w:cs="Arial"/>
                <w:b/>
                <w:bCs/>
                <w:sz w:val="18"/>
                <w:szCs w:val="18"/>
                <w:lang w:val="es-CO"/>
              </w:rPr>
            </w:pP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{"citationItems":[{"id":"ITEM-1","itemData":{"DOI":"10.3390/foods12091824","ISSN":"2304-8158","abstract":"This work aimed to evaluate the impact of adding two essential oils (EO) from lemongrass (LEO) and Tahiti lime (TLEO) on the physical, mechanical, and thermal properties of chitosan-based biodegradable films. Six film formulations were prepared: two controls with chitosan concentrations of 1% and 1.5% v/w, two formulations combining the two chitosan concentrations with 1% LEO v/v, and two formulations combining the two chitosan concentrations with 1% TLEO v/v. The films’ morphological, water affinity, barrier, mechanical, and thermal properties were evaluated. The films’ surface showed a heterogeneous morphology without cracks, whereas the cross-section showed a porous-like structure. Adding EO to the films promoted a 35–50% decrease in crystallinity, which was associated with an increase in the elasticity (16–35%) and a decrease in the tensile strength (9.3–29.2 MPa) and Young’s modulus (190–1555 MPa) on the films. Regarding the optical properties, the opacity of the films with TLEO increased up to 500% and 439% for chitosan concentrations of 1% and 1.5%, respectively. While the increase in opacity for the films prepared with LEO was 357% and 187%, the reduction in crystallinity also reduced the resistance of the films to thermal processes, which could be explained by the reduction in the enthalpy of fusion. The thermal degradation of the films using TLEO was higher than those where LEO was used. These results were indicative of the great potential of using TLEO and LEO in biodegradable films. Likewise, this work showed an alternative for adding value to the cultivation of Tahiti lime due to the use of its residues, which is in accordance with the circular economy model. However, it was necessary to deepen the study and the use of these essential oils in the preparation of biodegradable films.","author":[{"dropping-particle":"","family":"Daza","given":"Luis Daniel","non-dropping-particle":"","parse-names":false,"suffix":""},{"dropping-particle":"","family":"Montealegre","given":"Miguel Ángel","non-dropping-particle":"","parse-names":false,"suffix":""},{"dropping-particle":"","family":"Sandoval Aldana","given":"Angélica","non-dropping-particle":"","parse-names":false,"suffix":""},{"dropping-particle":"","family":"Obando","given":"Mónica","non-dropping-particle":"","parse-names":false,"suffix":""},{"dropping-particle":"","family":"Váquiro","given":"Henry Alexander","non-dropping-particle":"","parse-names":false,"suffix":""},{"dropping-particle":"","family":"Eim","given":"Valeria Soledad","non-dropping-particle":"","parse-names":false,"suffix":""},{"dropping-particle":"","family":"Simal","given":"Susana","non-dropping-particle":"","parse-names":false,"suffix":""}],"container-title":"Foods","id":"ITEM-1","issue":"9","issued":{"date-parts":[["2023","4","28"]]},"page":"1824","title":"Effect of Essential Oils from Lemongrass and Tahiti Lime Residues on the Physicochemical Properties of Chitosan-Based Biodegradable Films","type":"article-journal","volume":"12"},"uris":["http://www.mendeley.com/documents/?uuid=a2f96893-5fd6-4064-aee3-6f4dc88af47f"]}],"mendeley":{"formattedCitation":"(Daza et al., 2023)","plainTextFormattedCitation":"(Daza et al., 2023)","previouslyFormattedCitation":"(Daza et al., 2023)"},"properties":{"noteIndex":0},"schema":"https://github.com/citation-style-language/schema/raw/master/csl-citation.json"}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(Daza et al., 2023)</w:t>
            </w:r>
            <w:r w:rsidRPr="009D477B">
              <w:rPr>
                <w:rFonts w:ascii="Arial" w:hAnsi="Arial" w:cs="Arial"/>
                <w:b/>
                <w:bCs/>
                <w:sz w:val="18"/>
                <w:szCs w:val="18"/>
                <w:lang w:val="es-CO"/>
              </w:rPr>
              <w:fldChar w:fldCharType="end"/>
            </w: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author":[{"dropping-particle":"","family":"Risaliti","given":"Laura","non-dropping-particle":"","parse-names":false,"suffix":""},{"dropping-particle":"","family":"Pini","given":"Gabriella","non-dropping-particle":"","parse-names":false,"suffix":""},{"dropping-particle":"","family":"Ascrizzi","given":"Roberta","non-dropping-particle":"","parse-names":false,"suffix":""},{"dropping-particle":"","family":"Donato","given":"Rosa","non-dropping-particle":"","parse-names":false,"suffix":""},{"dropping-particle":"","family":"Sacco","given":"Cristiana","non-dropping-particle":"","parse-names":false,"suffix":""},{"dropping-particle":"","family":"Camilla","given":"Maria","non-dropping-particle":"","parse-names":false,"suffix":""},{"dropping-particle":"","family":"Cristina","given":"Maria","non-dropping-particle":"","parse-names":false,"suffix":""},{"dropping-particle":"","family":"Rita","given":"Anna","non-dropping-particle":"","parse-names":false,"suffix":""}],"id":"ITEM-1","issue":"June","issued":{"date-parts":[["2020"]]},"title":"Journal of Drug Delivery Science and Technology Artemisia annua essential oil extraction , characterization , and incorporation in nanoliposomes , smart drug delivery systems against Candida species","type":"article-journal","volume":"59"},"uris":["http://www.mendeley.com/documents/?uuid=35b96f27-51d8-4950-86a7-5f0a46430306"]}],"mendeley":{"formattedCitation":"(Risaliti et al., 2020)","plainTextFormattedCitation":"(Risaliti et al., 2020)","previouslyFormattedCitation":"(Risaliti et al., 2020)"},"properties":{"noteIndex":0},"schema":"https://github.com/citation-style-language/schema/raw/master/csl-citation.json"}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(Risaliti et al., 2020)</w:t>
            </w:r>
            <w:r w:rsidRPr="009D477B">
              <w:rPr>
                <w:rFonts w:ascii="Arial" w:hAnsi="Arial" w:cs="Arial"/>
                <w:b/>
                <w:bCs/>
                <w:sz w:val="18"/>
                <w:szCs w:val="18"/>
                <w:lang w:val="es-CO"/>
              </w:rPr>
              <w:fldChar w:fldCharType="end"/>
            </w:r>
          </w:p>
        </w:tc>
        <w:tc>
          <w:tcPr>
            <w:tcW w:w="3969" w:type="dxa"/>
          </w:tcPr>
          <w:p w14:paraId="2382FF6A"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Actividad antimicrobiana, antioxidante y perfil de composición de terpenos</w:t>
            </w:r>
          </w:p>
        </w:tc>
      </w:tr>
      <w:tr w:rsidR="00932A51" w:rsidRPr="009D477B" w14:paraId="462AB5B8" w14:textId="77777777" w:rsidTr="00932A51">
        <w:trPr>
          <w:jc w:val="center"/>
        </w:trPr>
        <w:tc>
          <w:tcPr>
            <w:tcW w:w="1696" w:type="dxa"/>
          </w:tcPr>
          <w:p w14:paraId="0F25A6D0" w14:textId="4E6280BE"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Compuestos bioactivos</w:t>
            </w:r>
          </w:p>
        </w:tc>
        <w:tc>
          <w:tcPr>
            <w:tcW w:w="2410" w:type="dxa"/>
          </w:tcPr>
          <w:p w14:paraId="07B4249E" w14:textId="4B2CEE6C" w:rsidR="00932A51" w:rsidRPr="009D477B" w:rsidRDefault="00932A51" w:rsidP="00B7219A">
            <w:pPr>
              <w:jc w:val="both"/>
              <w:rPr>
                <w:rFonts w:ascii="Arial" w:hAnsi="Arial" w:cs="Arial"/>
                <w:b/>
                <w:bCs/>
                <w:sz w:val="18"/>
                <w:szCs w:val="18"/>
                <w:lang w:val="es-CO"/>
              </w:rPr>
            </w:pP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{"citationItems":[{"id":"ITEM-1","itemData":{"DOI":"10.1016/j.scp.2021.100592","ISSN":"23525541","abstract":"The aim of the present study was to compare novel methods and technologies of phenolics extraction from spent coffee grounds, as “green” alternative techniques of the conventional ethanol extraction. Three extraction techniques, ultrasound- and microwave-assisted extraction, along with the use of β-cyclodextrin as a solvent have been studied and optimized as the eco-friendly solutions for the efficient extraction of phenolic compounds from Spent Coffee Grounds (SCG). The investigated factors were temperature (20–60 °C), solvent concentration (0–100% v/v water ethanol, EtOH), amplitude (20–60%), and liquid/solid ratio (5–60 mL/g) for ultrasound-assisted extraction (UAE). In the case of microwave extraction (MAE), the effects of solvent concentration (0–100% v/v), liquid/solid ratio (5–60 mL/g), and power (100–600 Watt) were studied. Ethanol (0–100% v/v) and β-cyclodextrin (β-CD, 1–18.5 mg/mL) were also compared as solvents, under the same range of liquid/solid ratio (5–60 mL/g) and temperatures (20–60 °C). In addition, the effect of the drying method (oven drying and freeze-drying), as well as a defatting pretreatment of SCG, were studied under the optimum conditions of each extraction method. The optimum extraction yield (31.79 ± 0.25 mg GAE/g SCG) was achieved using MAE with a liquid/solid ratio of 60 mL/g, a power level 600 W, and a solvent concentration of 68% v/v EtOH. While the maximum yield (34.43 mg GAE/g SCG) was also obtained by the same method from the freeze-dried sample.","author":[{"dropping-particle":"","family":"Solomakou","given":"Nikoletta","non-dropping-particle":"","parse-names":false,"suffix":""},{"dropping-particle":"","family":"Loukri","given":"Anastasia","non-dropping-particle":"","parse-names":false,"suffix":""},{"dropping-particle":"","family":"Tsafrakidou","given":"Panagiota","non-dropping-particle":"","parse-names":false,"suffix":""},{"dropping-particle":"","family":"Michaelidou","given":"Alexandra Maria","non-dropping-particle":"","parse-names":false,"suffix":""},{"dropping-particle":"","family":"Mourtzinos","given":"Ioannis","non-dropping-particle":"","parse-names":false,"suffix":""},{"dropping-particle":"","family":"Goula","given":"Athanasia M.","non-dropping-particle":"","parse-names":false,"suffix":""}],"container-title":"Sustainable Chemistry and Pharmacy","id":"ITEM-1","issue":"December 2021","issued":{"date-parts":[["2022"]]},"title":"Recovery of phenolic compounds from spent coffee grounds through optimized extraction processes","type":"article-journal","volume":"25"},"uris":["http://www.mendeley.com/documents/?uuid=985081eb-e045-4cfc-9b45-400846fbe796"]}],"mendeley":{"formattedCitation":"(Solomakou et al., 2022)","plainTextFormattedCitation":"(Solomakou et al., 2022)","previouslyFormattedCitation":"(Solomakou et al., 2022)"},"properties":{"noteIndex":0},"schema":"https://github.com/citation-style-language/schema/raw/master/csl-citation.json"}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(Solomakou et al., 2022)</w:t>
            </w:r>
            <w:r w:rsidRPr="009D477B">
              <w:rPr>
                <w:rFonts w:ascii="Arial" w:hAnsi="Arial" w:cs="Arial"/>
                <w:b/>
                <w:bCs/>
                <w:sz w:val="18"/>
                <w:szCs w:val="18"/>
                <w:lang w:val="es-CO"/>
              </w:rPr>
              <w:fldChar w:fldCharType="end"/>
            </w: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{"citationItems":[{"id":"ITEM-1","itemData":{"DOI":"10.1016/j.lwt.2022.113965","ISSN":"00236438","abstract":"Coffee is a popular roasted beverage that provides health benefits through phenolic antioxidants. However, roasting effect on antioxidant activity remains inconclusive, and changes of phenolic composition in coffee beans occurring upon roasting could provide valuable information about the health attributes of phenolic compounds in coffee. This study aims to determine antioxidant activity, total phenolic content, purpurogallin and other phenolic compounds in coffees from different geographic origins with different roasting degrees. In coffee extracts, antioxidant activity and total phenolic content ranged from 63.9 to 92.0 mg Trolox equivalents per gram dry weight of coffee, and 36.0–57.7 mg gallic acid equivalents per gram dry weight of coffee, respectively. However, both antioxidant activity and total phenolic content did not correlate with roasting degree (p &gt; 0.05). Chlorogenic acid decreased (p &lt; 0.0001) with increased roasting degree, while shikimic acid, caffeic acid, gallic acid, pyrogallol, and purpurogallin increased (p &lt; 0.0001) correspondingly. Roasting could therefore enhance the formation of purpurogallin and other phenolic compounds, which compensates for the decreased antioxidant activity due to the breakdown of chlorogenic acid. In addition, gallic acid, pyrogallol, and purpurogallin were not detected in green coffee beans and could be converted from other phenolic compounds during roasting.","author":[{"dropping-particle":"","family":"Liao","given":"Yu Chen","non-dropping-particle":"","parse-names":false,"suffix":""},{"dropping-particle":"","family":"Kim","given":"Taejo","non-dropping-particle":"","parse-names":false,"suffix":""},{"dropping-particle":"","family":"Silva","given":"Juan L.","non-dropping-particle":"","parse-names":false,"suffix":""},{"dropping-particle":"","family":"Hu","given":"Wu Yueh","non-dropping-particle":"","parse-names":false,"suffix":""},{"dropping-particle":"","family":"Chen","given":"Bang Yuan","non-dropping-particle":"","parse-names":false,"suffix":""}],"container-title":"Lwt","id":"ITEM-1","issue":"June","issued":{"date-parts":[["2022"]]},"title":"Effects of roasting degrees on phenolic compounds and antioxidant activity in coffee beans from different geographic origins","type":"article-journal","volume":"168"},"uris":["http://www.mendeley.com/documents/?uuid=eb580cc5-3635-4fd1-a571-3f3ec4c4e3d5"]}],"mendeley":{"formattedCitation":"(Liao et al., 2022)","plainTextFormattedCitation":"(Liao et al., 2022)","previouslyFormattedCitation":"(Liao et al., 2022)"},"properties":{"noteIndex":0},"schema":"https://github.com/citation-style-language/schema/raw/master/csl-citation.json"}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(Liao et al., 2022)</w:t>
            </w:r>
            <w:r w:rsidRPr="009D477B">
              <w:rPr>
                <w:rFonts w:ascii="Arial" w:hAnsi="Arial" w:cs="Arial"/>
                <w:b/>
                <w:bCs/>
                <w:sz w:val="18"/>
                <w:szCs w:val="18"/>
                <w:lang w:val="es-CO"/>
              </w:rPr>
              <w:fldChar w:fldCharType="end"/>
            </w:r>
            <w:r w:rsidRPr="009D477B">
              <w:rPr>
                <w:rFonts w:ascii="Arial" w:hAnsi="Arial" w:cs="Arial"/>
                <w:b/>
                <w:bCs/>
                <w:sz w:val="18"/>
                <w:szCs w:val="18"/>
                <w:lang w:val="es-CO"/>
              </w:rPr>
              <w:fldChar w:fldCharType="begin" w:fldLock="1"/>
            </w:r>
            <w:r w:rsidR="00152805" w:rsidRPr="009D477B">
              <w:rPr>
                <w:rFonts w:ascii="Arial" w:hAnsi="Arial" w:cs="Arial"/>
                <w:b/>
                <w:bCs/>
                <w:sz w:val="18"/>
                <w:szCs w:val="18"/>
                <w:lang w:val="es-CO"/>
              </w:rPr>
              <w:instrText>ADDIN CSL_CITATION {"citationItems":[{"id":"ITEM-1","itemData":{"DOI":"dx.doi.org/10.1016/j.fbio.2017.03.003","abstract":"Cagaita (Eugenia dysenterica DC.) is an important native Brazilian fruit species with potential health effects associated with its concentration and profile of polyphenols. The aim of this work was to evaluate the total phenolic (TPC), total proanthocyanidins, the antioxidant, antimicrobial, and anti-obesity potential of cagaita extracted, dried and encapsulated powders. Samples were produced with gum arabic or inulin as the carrier using different spray-drying conditions. E. dysenterica powders had a content of total phenolics between 9.9 and 31.2 mg GAE/g DW, which correlated with antioxidant capacity. Powders also showed inhibitory activity against Staphylococcus aureus and Listerya monocytogenes similar to vancomycin, erythromycin and ceftriaxone used as controls, and also showed inhibition of α-amylase and α-glucosidase. Preparation of dry extracts from cagaita using spray-drying is an alternative to prevent deterioration of the bioactive compounds present in the fruit, ensuring quality and availability of the fruit during the off-season.","author":[{"dropping-particle":"","family":"Daza","given":"Luis Daniel","non-dropping-particle":"","parse-names":false,"suffix":""},{"dropping-particle":"","family":"Fujita","given":"Alice","non-dropping-particle":"","parse-names":false,"suffix":""},{"dropping-particle":"","family":"Granato","given":"Daniel","non-dropping-particle":"","parse-names":false,"suffix":""},{"dropping-particle":"","family":"Fávaro-Trindade","given":"Carmén Silvia","non-dropping-particle":"","parse-names":false,"suffix":""},{"dropping-particle":"","family":"Genovese","given":"Maria Inés","non-dropping-particle":"","parse-names":false,"suffix":""}],"container-title":"Food Bioscience","id":"ITEM-1","issued":{"date-parts":[["2017"]]},"page":"15-21","title":"Functional properties of encapsulated Cagaita (Eugenia dysenterica DC.) fruit extract","type":"article-journal","volume":"18"},"uris":["http://www.mendeley.com/documents/?uuid=f6424b0b-204b-32eb-b451-5cb6fc0b16f6"]}],"mendeley":{"formattedCitation":"(Daza et al., 2017)","plainTextFormattedCitation":"(Daza et al., 2017)","previouslyFormattedCitation":"(Daza et al., 2017)"},"properties":{"noteIndex":0},"schema":"https://github.com/citation-style-language/schema/raw/master/csl-citation.json"}</w:instrText>
            </w:r>
            <w:r w:rsidRPr="009D477B">
              <w:rPr>
                <w:rFonts w:ascii="Arial" w:hAnsi="Arial" w:cs="Arial"/>
                <w:b/>
                <w:bCs/>
                <w:sz w:val="18"/>
                <w:szCs w:val="18"/>
                <w:lang w:val="es-CO"/>
              </w:rPr>
              <w:fldChar w:fldCharType="separate"/>
            </w:r>
            <w:r w:rsidR="00050692" w:rsidRPr="009D477B">
              <w:rPr>
                <w:rFonts w:ascii="Arial" w:hAnsi="Arial" w:cs="Arial"/>
                <w:bCs/>
                <w:noProof/>
                <w:sz w:val="18"/>
                <w:szCs w:val="18"/>
                <w:lang w:val="es-CO"/>
              </w:rPr>
              <w:t>(Daza et al., 2017)</w:t>
            </w:r>
            <w:r w:rsidRPr="009D477B">
              <w:rPr>
                <w:rFonts w:ascii="Arial" w:hAnsi="Arial" w:cs="Arial"/>
                <w:b/>
                <w:bCs/>
                <w:sz w:val="18"/>
                <w:szCs w:val="18"/>
                <w:lang w:val="es-CO"/>
              </w:rPr>
              <w:fldChar w:fldCharType="end"/>
            </w:r>
          </w:p>
        </w:tc>
        <w:tc>
          <w:tcPr>
            <w:tcW w:w="3969" w:type="dxa"/>
          </w:tcPr>
          <w:p w14:paraId="24ED7EEB" w14:textId="77777777" w:rsidR="00932A51" w:rsidRPr="009D477B" w:rsidRDefault="00932A51" w:rsidP="00B7219A">
            <w:pPr>
              <w:jc w:val="both"/>
              <w:rPr>
                <w:rFonts w:ascii="Arial" w:hAnsi="Arial" w:cs="Arial"/>
                <w:sz w:val="18"/>
                <w:szCs w:val="18"/>
                <w:lang w:val="es-CO"/>
              </w:rPr>
            </w:pPr>
            <w:r w:rsidRPr="009D477B">
              <w:rPr>
                <w:rFonts w:ascii="Arial" w:hAnsi="Arial" w:cs="Arial"/>
                <w:sz w:val="18"/>
                <w:szCs w:val="18"/>
                <w:lang w:val="es-CO"/>
              </w:rPr>
              <w:t>Composición y cuantificación, capacidad antioxidante y antimicrobiana.</w:t>
            </w:r>
          </w:p>
        </w:tc>
      </w:tr>
    </w:tbl>
    <w:p w14:paraId="2CC4A591" w14:textId="2E6349E1" w:rsidR="00932A51" w:rsidRDefault="00932A51" w:rsidP="005A2D5F">
      <w:pPr>
        <w:spacing w:line="276" w:lineRule="auto"/>
        <w:jc w:val="both"/>
        <w:rPr>
          <w:rFonts w:ascii="Arial Narrow" w:hAnsi="Arial Narrow"/>
          <w:lang w:val="es-ES"/>
        </w:rPr>
      </w:pPr>
    </w:p>
    <w:p w14:paraId="3825889E" w14:textId="782A72AB" w:rsidR="00932A51" w:rsidRPr="00B13C20" w:rsidRDefault="00932A51" w:rsidP="005A2D5F">
      <w:pPr>
        <w:spacing w:line="276" w:lineRule="auto"/>
        <w:jc w:val="both"/>
        <w:rPr>
          <w:rFonts w:ascii="Arial Narrow" w:hAnsi="Arial Narrow"/>
          <w:b/>
          <w:bCs/>
          <w:lang w:val="es-ES"/>
        </w:rPr>
      </w:pPr>
      <w:r w:rsidRPr="00B13C20">
        <w:rPr>
          <w:rFonts w:ascii="Arial Narrow" w:hAnsi="Arial Narrow"/>
          <w:b/>
          <w:bCs/>
          <w:lang w:val="es-ES"/>
        </w:rPr>
        <w:t>Etapa II. Evaluación de la viabilidad industrial de los compuestos extraídos</w:t>
      </w:r>
    </w:p>
    <w:p w14:paraId="4F3F2749" w14:textId="093369E3" w:rsidR="005A2D5F" w:rsidRDefault="00367088" w:rsidP="005A2D5F">
      <w:pPr>
        <w:spacing w:line="276" w:lineRule="auto"/>
        <w:jc w:val="both"/>
        <w:rPr>
          <w:rFonts w:ascii="Arial Narrow" w:hAnsi="Arial Narrow"/>
          <w:lang w:val="es-ES"/>
        </w:rPr>
      </w:pPr>
      <w:r>
        <w:rPr>
          <w:rFonts w:ascii="Arial Narrow" w:hAnsi="Arial Narrow"/>
          <w:lang w:val="es-ES"/>
        </w:rPr>
        <w:t>Los materiales obtenidos serán empleados en la preparación de empaques biodegradables evaluando parámetros de textura, permeabilidad, degradación, resistencia, color,</w:t>
      </w:r>
      <w:r w:rsidR="00B13C20">
        <w:rPr>
          <w:rFonts w:ascii="Arial Narrow" w:hAnsi="Arial Narrow"/>
          <w:lang w:val="es-ES"/>
        </w:rPr>
        <w:t xml:space="preserve"> morfología, cristalinidad</w:t>
      </w:r>
      <w:r>
        <w:rPr>
          <w:rFonts w:ascii="Arial Narrow" w:hAnsi="Arial Narrow"/>
          <w:lang w:val="es-ES"/>
        </w:rPr>
        <w:t xml:space="preserve"> y aceptación por el consumidor </w:t>
      </w:r>
      <w:r>
        <w:rPr>
          <w:rFonts w:ascii="Arial Narrow" w:hAnsi="Arial Narrow"/>
          <w:lang w:val="es-ES"/>
        </w:rPr>
        <w:fldChar w:fldCharType="begin" w:fldLock="1"/>
      </w:r>
      <w:r w:rsidR="00152805">
        <w:rPr>
          <w:rFonts w:ascii="Arial Narrow" w:hAnsi="Arial Narrow"/>
          <w:lang w:val="es-ES"/>
        </w:rPr>
        <w:instrText>ADDIN CSL_CITATION {"citationItems":[{"id":"ITEM-1","itemData":{"DOI":"10.1016/j.ijbiomac.2018.03.057","ISSN":"01418130","abstract":"a b s t r a c t Chitosan is a promising material that could be used for the development of edible coatings and films on an indus-trial level because of its film-forming, biodegradable, non-toxic, and antimicrobial characteristics. The aim of this work was to evaluate the effect of the polymer concentration (0.5%, 1.0%, and 1.5%) and drying temperature (2 °C, 25 °C, and 40 °C) on the physicochemical, mechanical, and thermal properties of chitosan edible films. Chitosan edible films were successfully produced using various processing conditions. The use of lower drying tempera-tures had a positive effect on certain properties of the films, such as the moisture content (MC), solubility (S), water vapor permeability (WVP), and optical properties. However, the use of greater drying temperatures (40 °C), combined with a higher chitosan concentration, enhanced certain properties of the films, such as the tensile strength (TS), swelling power (SP), and greenness value, while diminishing their luminosity. The chitosan films developed in this study showed many desirable characteristics, which may enable their future use as packaging for food products.","author":[{"dropping-particle":"","family":"Homez-Jara","given":"Angie","non-dropping-particle":"","parse-names":false,"suffix":""},{"dropping-particle":"","family":"Daza","given":"Luis Daniel","non-dropping-particle":"","parse-names":false,"suffix":""},{"dropping-particle":"","family":"Aguirre","given":"Diana Marcela","non-dropping-particle":"","parse-names":false,"suffix":""},{"dropping-particle":"","family":"Muñoz","given":"José Aldemar","non-dropping-particle":"","parse-names":false,"suffix":""},{"dropping-particle":"","family":"Solanilla","given":"José Fernando","non-dropping-particle":"","parse-names":false,"suffix":""},{"dropping-particle":"","family":"Váquiro","given":"Henry Alexander","non-dropping-particle":"","parse-names":false,"suffix":""}],"container-title":"International Journal of Biological Macromolecules","id":"ITEM-1","issued":{"date-parts":[["2018"]]},"page":"1233","title":"Characterization of chitosan edible films obtained with various polymer concentrations and drying temperatures","type":"article-journal","volume":"113"},"uris":["http://www.mendeley.com/documents/?uuid=18e3a87e-2e55-3de6-afb2-29b829273f18"]}],"mendeley":{"formattedCitation":"(Homez-Jara et al., 2018)","plainTextFormattedCitation":"(Homez-Jara et al., 2018)","previouslyFormattedCitation":"(Homez-Jara et al., 2018)"},"properties":{"noteIndex":0},"schema":"https://github.com/citation-style-language/schema/raw/master/csl-citation.json"}</w:instrText>
      </w:r>
      <w:r>
        <w:rPr>
          <w:rFonts w:ascii="Arial Narrow" w:hAnsi="Arial Narrow"/>
          <w:lang w:val="es-ES"/>
        </w:rPr>
        <w:fldChar w:fldCharType="separate"/>
      </w:r>
      <w:r w:rsidR="00050692" w:rsidRPr="00050692">
        <w:rPr>
          <w:rFonts w:ascii="Arial Narrow" w:hAnsi="Arial Narrow"/>
          <w:noProof/>
          <w:lang w:val="es-ES"/>
        </w:rPr>
        <w:t>(Homez-Jara et al., 2018)</w:t>
      </w:r>
      <w:r>
        <w:rPr>
          <w:rFonts w:ascii="Arial Narrow" w:hAnsi="Arial Narrow"/>
          <w:lang w:val="es-ES"/>
        </w:rPr>
        <w:fldChar w:fldCharType="end"/>
      </w:r>
      <w:r w:rsidR="00B13C20">
        <w:rPr>
          <w:rFonts w:ascii="Arial Narrow" w:hAnsi="Arial Narrow"/>
          <w:lang w:val="es-ES"/>
        </w:rPr>
        <w:t xml:space="preserve">. Por su parte, se evaluará la capacidad para estabilizar emulsiones por parte de los materiales, así como su </w:t>
      </w:r>
      <w:r w:rsidR="00DA24F7">
        <w:rPr>
          <w:rFonts w:ascii="Arial Narrow" w:hAnsi="Arial Narrow"/>
          <w:lang w:val="es-ES"/>
        </w:rPr>
        <w:t>efecto encapsulante</w:t>
      </w:r>
      <w:r w:rsidR="00050692">
        <w:rPr>
          <w:rFonts w:ascii="Arial Narrow" w:hAnsi="Arial Narrow"/>
          <w:lang w:val="es-ES"/>
        </w:rPr>
        <w:t xml:space="preserve"> y se evaluará su estabilidad, tamaño de partícula, morfología y parámetros </w:t>
      </w:r>
      <w:r w:rsidR="00DA24F7">
        <w:rPr>
          <w:rFonts w:ascii="Arial Narrow" w:hAnsi="Arial Narrow"/>
          <w:lang w:val="es-ES"/>
        </w:rPr>
        <w:t xml:space="preserve">físicos como el color y la granulometría </w:t>
      </w:r>
      <w:r w:rsidR="00050692">
        <w:rPr>
          <w:rFonts w:ascii="Arial Narrow" w:hAnsi="Arial Narrow"/>
          <w:lang w:val="es-ES"/>
        </w:rPr>
        <w:t xml:space="preserve"> </w:t>
      </w:r>
      <w:r w:rsidR="00152805">
        <w:rPr>
          <w:rFonts w:ascii="Arial Narrow" w:hAnsi="Arial Narrow"/>
          <w:lang w:val="es-ES"/>
        </w:rPr>
        <w:fldChar w:fldCharType="begin" w:fldLock="1"/>
      </w:r>
      <w:r w:rsidR="00152805">
        <w:rPr>
          <w:rFonts w:ascii="Arial Narrow" w:hAnsi="Arial Narrow"/>
          <w:lang w:val="es-ES"/>
        </w:rPr>
        <w:instrText>ADDIN CSL_CITATION {"citationItems":[{"id":"ITEM-1","itemData":{"DOI":"10.1016/j.foodchem.2024.141025","ISSN":"18737072","PMID":"39213966","abstract":"This study aimed to assess the suitability of Chachafruto flour (CHF) as a stabilizing agent for an oil-in-water emulsion and its impact on the physicochemical properties of the emulsion after spray drying. Emulsions with varying CHF concentrations (2 %, 3 %, and 4 %) were prepared and compared to a control. The results from the creaming index and particle size (emulsion) analyses indicated that the highest emulsion stability was achieved with 4 %CHF, attributed to its protein content (20.5 %). The encapsulates exhibited spherical and rough surface morphologies but without holes on the surface. Low moisture content (MC &lt; 5 %) and water activity (aw &lt; 0.2) were associated with powder stability. The encapsulates added with CHF showed good reconstitution properties. FTIR confirmed the absence of chemical interactions during the encapsulation process, contributing to the stability. Furthermore, the addition of CHF improved the thermal stability of the encapsulates. This study represents the first investigation on the emulsifying potential of Chachafruto flour.","author":[{"dropping-particle":"","family":"Daza","given":"Luis Daniel","non-dropping-particle":"","parse-names":false,"suffix":""},{"dropping-particle":"","family":"Umaña","given":"Mónica","non-dropping-particle":"","parse-names":false,"suffix":""},{"dropping-particle":"","family":"Eim","given":"Valeria Soledad","non-dropping-particle":"","parse-names":false,"suffix":""}],"container-title":"Food Chemistry","id":"ITEM-1","issue":"August 2024","issued":{"date-parts":[["2025"]]},"title":"Effect of the addition of Chachafruto flour on the stability of oil-in-water emulsions and the physicochemical properties of spray-drying microcapsules","type":"article-journal","volume":"462"},"uris":["http://www.mendeley.com/documents/?uuid=97f0e620-41f0-4473-bf2e-61bcddd492f5"]}],"mendeley":{"formattedCitation":"(Daza et al., 2025)","plainTextFormattedCitation":"(Daza et al., 2025)"},"properties":{"noteIndex":0},"schema":"https://github.com/citation-style-language/schema/raw/master/csl-citation.json"}</w:instrText>
      </w:r>
      <w:r w:rsidR="00152805">
        <w:rPr>
          <w:rFonts w:ascii="Arial Narrow" w:hAnsi="Arial Narrow"/>
          <w:lang w:val="es-ES"/>
        </w:rPr>
        <w:fldChar w:fldCharType="separate"/>
      </w:r>
      <w:r w:rsidR="00152805" w:rsidRPr="00152805">
        <w:rPr>
          <w:rFonts w:ascii="Arial Narrow" w:hAnsi="Arial Narrow"/>
          <w:noProof/>
          <w:lang w:val="es-ES"/>
        </w:rPr>
        <w:t>(Daza et al., 2025)</w:t>
      </w:r>
      <w:r w:rsidR="00152805">
        <w:rPr>
          <w:rFonts w:ascii="Arial Narrow" w:hAnsi="Arial Narrow"/>
          <w:lang w:val="es-ES"/>
        </w:rPr>
        <w:fldChar w:fldCharType="end"/>
      </w:r>
      <w:r w:rsidR="00152805">
        <w:rPr>
          <w:rFonts w:ascii="Arial Narrow" w:hAnsi="Arial Narrow"/>
          <w:lang w:val="es-ES"/>
        </w:rPr>
        <w:t>.</w:t>
      </w:r>
    </w:p>
    <w:p w14:paraId="1471EA95" w14:textId="78673F35" w:rsidR="00152805" w:rsidRDefault="00152805" w:rsidP="00152805">
      <w:pPr>
        <w:pStyle w:val="Prrafodelista"/>
        <w:numPr>
          <w:ilvl w:val="0"/>
          <w:numId w:val="9"/>
        </w:numPr>
        <w:spacing w:line="276" w:lineRule="auto"/>
        <w:jc w:val="both"/>
        <w:rPr>
          <w:rFonts w:ascii="Arial Narrow" w:hAnsi="Arial Narrow"/>
          <w:lang w:val="es-ES"/>
        </w:rPr>
      </w:pPr>
      <w:r>
        <w:rPr>
          <w:rFonts w:ascii="Arial Narrow" w:hAnsi="Arial Narrow"/>
          <w:lang w:val="es-ES"/>
        </w:rPr>
        <w:t xml:space="preserve">Resultados esperados </w:t>
      </w:r>
    </w:p>
    <w:p w14:paraId="2BF0BD4E" w14:textId="0CDD2C3E" w:rsidR="00152805" w:rsidRDefault="00152805" w:rsidP="00152805">
      <w:pPr>
        <w:spacing w:line="276" w:lineRule="auto"/>
        <w:jc w:val="both"/>
        <w:rPr>
          <w:rFonts w:ascii="Arial Narrow" w:hAnsi="Arial Narrow"/>
          <w:lang w:val="es-ES"/>
        </w:rPr>
      </w:pPr>
      <w:r w:rsidRPr="00152805">
        <w:rPr>
          <w:rFonts w:ascii="Arial Narrow" w:hAnsi="Arial Narrow"/>
          <w:lang w:val="es-ES"/>
        </w:rPr>
        <w:t>Publicación o sometimiento de artículo científico en revista científica A1 o A2 (</w:t>
      </w:r>
      <w:r>
        <w:rPr>
          <w:rFonts w:ascii="Arial Narrow" w:hAnsi="Arial Narrow"/>
          <w:lang w:val="es-ES"/>
        </w:rPr>
        <w:t>2</w:t>
      </w:r>
      <w:r w:rsidRPr="00152805">
        <w:rPr>
          <w:rFonts w:ascii="Arial Narrow" w:hAnsi="Arial Narrow"/>
          <w:lang w:val="es-ES"/>
        </w:rPr>
        <w:t>)</w:t>
      </w:r>
      <w:r>
        <w:rPr>
          <w:rFonts w:ascii="Arial Narrow" w:hAnsi="Arial Narrow"/>
          <w:lang w:val="es-ES"/>
        </w:rPr>
        <w:t xml:space="preserve"> (impacto social – transferencia de conocimiento, Impacto sobre la productividad)</w:t>
      </w:r>
    </w:p>
    <w:p w14:paraId="7B0EBC27" w14:textId="618D8083" w:rsidR="00152805" w:rsidRDefault="00152805" w:rsidP="00152805">
      <w:pPr>
        <w:spacing w:line="276" w:lineRule="auto"/>
        <w:jc w:val="both"/>
        <w:rPr>
          <w:rFonts w:ascii="Arial Narrow" w:hAnsi="Arial Narrow"/>
          <w:lang w:val="es-ES"/>
        </w:rPr>
      </w:pPr>
      <w:r w:rsidRPr="00152805">
        <w:rPr>
          <w:rFonts w:ascii="Arial Narrow" w:hAnsi="Arial Narrow"/>
          <w:lang w:val="es-ES"/>
        </w:rPr>
        <w:lastRenderedPageBreak/>
        <w:t>Ponencia presentada en evento nacional o internacional (1)</w:t>
      </w:r>
      <w:r>
        <w:rPr>
          <w:rFonts w:ascii="Arial Narrow" w:hAnsi="Arial Narrow"/>
          <w:lang w:val="es-ES"/>
        </w:rPr>
        <w:t xml:space="preserve"> (impacto social – transferencia de conocimiento)</w:t>
      </w:r>
    </w:p>
    <w:p w14:paraId="192CA0CE" w14:textId="0F791E55" w:rsidR="00152805" w:rsidRDefault="00152805" w:rsidP="00152805">
      <w:pPr>
        <w:spacing w:line="276" w:lineRule="auto"/>
        <w:jc w:val="both"/>
        <w:rPr>
          <w:rFonts w:ascii="Arial Narrow" w:hAnsi="Arial Narrow"/>
          <w:lang w:val="es-ES"/>
        </w:rPr>
      </w:pPr>
      <w:r w:rsidRPr="00152805">
        <w:rPr>
          <w:rFonts w:ascii="Arial Narrow" w:hAnsi="Arial Narrow"/>
          <w:lang w:val="es-ES"/>
        </w:rPr>
        <w:t>Trabajos de grado de pregrado asociados</w:t>
      </w:r>
      <w:r>
        <w:rPr>
          <w:rFonts w:ascii="Arial Narrow" w:hAnsi="Arial Narrow"/>
          <w:lang w:val="es-ES"/>
        </w:rPr>
        <w:t xml:space="preserve"> (1) (Impacto social – Formación de talento humano)</w:t>
      </w:r>
    </w:p>
    <w:p w14:paraId="59205C5B" w14:textId="3C81BDF7" w:rsidR="00152805" w:rsidRDefault="00152805" w:rsidP="00152805">
      <w:pPr>
        <w:spacing w:line="276" w:lineRule="auto"/>
        <w:jc w:val="both"/>
        <w:rPr>
          <w:rFonts w:ascii="Arial Narrow" w:hAnsi="Arial Narrow"/>
          <w:lang w:val="es-ES"/>
        </w:rPr>
      </w:pPr>
      <w:r w:rsidRPr="00152805">
        <w:rPr>
          <w:rFonts w:ascii="Arial Narrow" w:hAnsi="Arial Narrow"/>
          <w:lang w:val="es-ES"/>
        </w:rPr>
        <w:t xml:space="preserve">Trabajos de grado de </w:t>
      </w:r>
      <w:r>
        <w:rPr>
          <w:rFonts w:ascii="Arial Narrow" w:hAnsi="Arial Narrow"/>
          <w:lang w:val="es-ES"/>
        </w:rPr>
        <w:t>pos</w:t>
      </w:r>
      <w:r w:rsidRPr="00152805">
        <w:rPr>
          <w:rFonts w:ascii="Arial Narrow" w:hAnsi="Arial Narrow"/>
          <w:lang w:val="es-ES"/>
        </w:rPr>
        <w:t>grado asociados</w:t>
      </w:r>
      <w:r>
        <w:rPr>
          <w:rFonts w:ascii="Arial Narrow" w:hAnsi="Arial Narrow"/>
          <w:lang w:val="es-ES"/>
        </w:rPr>
        <w:t xml:space="preserve"> (1) (Impacto social – Formación de talento humano)</w:t>
      </w:r>
    </w:p>
    <w:p w14:paraId="5861793B" w14:textId="7FC7963F" w:rsidR="00E82CD1" w:rsidRDefault="00E82CD1" w:rsidP="00152805">
      <w:pPr>
        <w:spacing w:line="276" w:lineRule="auto"/>
        <w:jc w:val="both"/>
        <w:rPr>
          <w:rFonts w:ascii="Arial Narrow" w:hAnsi="Arial Narrow"/>
          <w:lang w:val="es-ES"/>
        </w:rPr>
      </w:pPr>
      <w:r>
        <w:rPr>
          <w:rFonts w:ascii="Arial Narrow" w:hAnsi="Arial Narrow"/>
          <w:lang w:val="es-ES"/>
        </w:rPr>
        <w:t>Productores capacitados (50) (Impacto social – Impacto sobre la productividad)</w:t>
      </w:r>
    </w:p>
    <w:p w14:paraId="3DD8CAAF" w14:textId="14FD8D0D" w:rsidR="00152805" w:rsidRDefault="00152805" w:rsidP="00152805">
      <w:pPr>
        <w:pStyle w:val="Prrafodelista"/>
        <w:numPr>
          <w:ilvl w:val="0"/>
          <w:numId w:val="9"/>
        </w:numPr>
        <w:spacing w:line="276" w:lineRule="auto"/>
        <w:jc w:val="both"/>
        <w:rPr>
          <w:rFonts w:ascii="Arial Narrow" w:hAnsi="Arial Narrow"/>
          <w:lang w:val="es-ES"/>
        </w:rPr>
      </w:pPr>
      <w:r>
        <w:rPr>
          <w:rFonts w:ascii="Arial Narrow" w:hAnsi="Arial Narrow"/>
          <w:lang w:val="es-ES"/>
        </w:rPr>
        <w:t xml:space="preserve">Tiempo de ejecución </w:t>
      </w:r>
    </w:p>
    <w:p w14:paraId="5E18F081" w14:textId="623135A9" w:rsidR="00152805" w:rsidRDefault="00152805" w:rsidP="00152805">
      <w:pPr>
        <w:spacing w:line="276" w:lineRule="auto"/>
        <w:jc w:val="both"/>
        <w:rPr>
          <w:rFonts w:ascii="Arial Narrow" w:hAnsi="Arial Narrow"/>
          <w:lang w:val="es-ES"/>
        </w:rPr>
      </w:pPr>
      <w:r>
        <w:rPr>
          <w:rFonts w:ascii="Arial Narrow" w:hAnsi="Arial Narrow"/>
          <w:lang w:val="es-ES"/>
        </w:rPr>
        <w:t>El tiempo de ejecución de la propuesta será de 18 meses</w:t>
      </w:r>
      <w:r w:rsidR="009D477B">
        <w:rPr>
          <w:rFonts w:ascii="Arial Narrow" w:hAnsi="Arial Narrow"/>
          <w:lang w:val="es-ES"/>
        </w:rPr>
        <w:t>.</w:t>
      </w:r>
    </w:p>
    <w:p w14:paraId="14E47FB2" w14:textId="4D480C8D" w:rsidR="009D477B" w:rsidRDefault="009D477B" w:rsidP="009D477B">
      <w:pPr>
        <w:pStyle w:val="Prrafodelista"/>
        <w:numPr>
          <w:ilvl w:val="0"/>
          <w:numId w:val="9"/>
        </w:numPr>
        <w:spacing w:line="276" w:lineRule="auto"/>
        <w:jc w:val="both"/>
        <w:rPr>
          <w:rFonts w:ascii="Arial Narrow" w:hAnsi="Arial Narrow"/>
          <w:lang w:val="es-ES"/>
        </w:rPr>
      </w:pPr>
      <w:r>
        <w:rPr>
          <w:rFonts w:ascii="Arial Narrow" w:hAnsi="Arial Narrow"/>
          <w:lang w:val="es-ES"/>
        </w:rPr>
        <w:t xml:space="preserve">Recursos </w:t>
      </w:r>
    </w:p>
    <w:p w14:paraId="60166B97" w14:textId="635C9554" w:rsidR="009D477B" w:rsidRPr="009D477B" w:rsidRDefault="009D477B" w:rsidP="009D477B">
      <w:pPr>
        <w:spacing w:line="276" w:lineRule="auto"/>
        <w:jc w:val="both"/>
        <w:rPr>
          <w:rFonts w:ascii="Arial Narrow" w:hAnsi="Arial Narrow"/>
          <w:lang w:val="es-ES"/>
        </w:rPr>
      </w:pPr>
      <w:r>
        <w:rPr>
          <w:rFonts w:ascii="Arial Narrow" w:hAnsi="Arial Narrow"/>
          <w:lang w:val="es-ES"/>
        </w:rPr>
        <w:t xml:space="preserve">Para la ejecución de esta propuesta se buscará financiamiento, bien sea interno (convocatorias de la vicerrectoría de investigaciones) o externo (convocatorias de </w:t>
      </w:r>
      <w:proofErr w:type="spellStart"/>
      <w:r>
        <w:rPr>
          <w:rFonts w:ascii="Arial Narrow" w:hAnsi="Arial Narrow"/>
          <w:lang w:val="es-ES"/>
        </w:rPr>
        <w:t>Minciencias</w:t>
      </w:r>
      <w:proofErr w:type="spellEnd"/>
      <w:r>
        <w:rPr>
          <w:rFonts w:ascii="Arial Narrow" w:hAnsi="Arial Narrow"/>
          <w:lang w:val="es-ES"/>
        </w:rPr>
        <w:t xml:space="preserve">, </w:t>
      </w:r>
      <w:proofErr w:type="spellStart"/>
      <w:r>
        <w:rPr>
          <w:rFonts w:ascii="Arial Narrow" w:hAnsi="Arial Narrow"/>
          <w:lang w:val="es-ES"/>
        </w:rPr>
        <w:t>Fontagro</w:t>
      </w:r>
      <w:proofErr w:type="spellEnd"/>
      <w:r>
        <w:rPr>
          <w:rFonts w:ascii="Arial Narrow" w:hAnsi="Arial Narrow"/>
          <w:lang w:val="es-ES"/>
        </w:rPr>
        <w:t>, Banco Interamericano de Desarrollo, entre otros).</w:t>
      </w:r>
    </w:p>
    <w:p w14:paraId="005FD170" w14:textId="1BF7022B" w:rsidR="00DC6CBD" w:rsidRDefault="00DC6CBD" w:rsidP="004046DF">
      <w:pPr>
        <w:pStyle w:val="Prrafodelista"/>
        <w:numPr>
          <w:ilvl w:val="1"/>
          <w:numId w:val="1"/>
        </w:numPr>
        <w:spacing w:line="276" w:lineRule="auto"/>
        <w:rPr>
          <w:rFonts w:ascii="Arial Narrow" w:hAnsi="Arial Narrow"/>
          <w:b/>
          <w:bCs/>
          <w:lang w:val="es-ES"/>
        </w:rPr>
      </w:pPr>
      <w:r w:rsidRPr="004046DF">
        <w:rPr>
          <w:rFonts w:ascii="Arial Narrow" w:hAnsi="Arial Narrow"/>
          <w:b/>
          <w:bCs/>
          <w:lang w:val="es-ES"/>
        </w:rPr>
        <w:t>Propuesta en el componente de extensión</w:t>
      </w:r>
    </w:p>
    <w:p w14:paraId="6E1AF593" w14:textId="6BC7D3CE" w:rsidR="00152805" w:rsidRDefault="00E82CD1" w:rsidP="00152805">
      <w:pPr>
        <w:spacing w:line="276" w:lineRule="auto"/>
        <w:rPr>
          <w:rFonts w:ascii="Arial Narrow" w:hAnsi="Arial Narrow"/>
          <w:lang w:val="es-ES"/>
        </w:rPr>
      </w:pPr>
      <w:r w:rsidRPr="00E82CD1">
        <w:rPr>
          <w:rFonts w:ascii="Arial Narrow" w:hAnsi="Arial Narrow"/>
          <w:lang w:val="es-ES"/>
        </w:rPr>
        <w:t>Como propuesta de extensión social se proponen las siguientes actividades:</w:t>
      </w:r>
    </w:p>
    <w:p w14:paraId="34B7BAC5" w14:textId="7ADC7B49" w:rsidR="00E82CD1" w:rsidRDefault="00E82CD1" w:rsidP="00E82CD1">
      <w:pPr>
        <w:pStyle w:val="Prrafodelista"/>
        <w:numPr>
          <w:ilvl w:val="0"/>
          <w:numId w:val="10"/>
        </w:numPr>
        <w:spacing w:line="276" w:lineRule="auto"/>
        <w:jc w:val="both"/>
        <w:rPr>
          <w:rFonts w:ascii="Arial Narrow" w:hAnsi="Arial Narrow"/>
          <w:lang w:val="es-ES"/>
        </w:rPr>
      </w:pPr>
      <w:r w:rsidRPr="00E82CD1">
        <w:rPr>
          <w:rFonts w:ascii="Arial Narrow" w:hAnsi="Arial Narrow"/>
          <w:lang w:val="es-ES"/>
        </w:rPr>
        <w:t>Formulación de cursos de educación continuada enfocado en la ingeniería agrícola y con público objetivo general (profesionales, productores, investigadores en el área)</w:t>
      </w:r>
    </w:p>
    <w:p w14:paraId="7772A603" w14:textId="07099D26" w:rsidR="00E82CD1" w:rsidRDefault="00E82CD1" w:rsidP="00E82CD1">
      <w:pPr>
        <w:pStyle w:val="Prrafodelista"/>
        <w:numPr>
          <w:ilvl w:val="0"/>
          <w:numId w:val="10"/>
        </w:numPr>
        <w:spacing w:line="276" w:lineRule="auto"/>
        <w:jc w:val="both"/>
        <w:rPr>
          <w:rFonts w:ascii="Arial Narrow" w:hAnsi="Arial Narrow"/>
          <w:lang w:val="es-ES"/>
        </w:rPr>
      </w:pPr>
      <w:r>
        <w:rPr>
          <w:rFonts w:ascii="Arial Narrow" w:hAnsi="Arial Narrow"/>
          <w:lang w:val="es-ES"/>
        </w:rPr>
        <w:t>Integración de la investigación con la extensión social: para lo cual se realizarán cursos de capacitación</w:t>
      </w:r>
      <w:r w:rsidR="00610230">
        <w:rPr>
          <w:rFonts w:ascii="Arial Narrow" w:hAnsi="Arial Narrow"/>
          <w:lang w:val="es-ES"/>
        </w:rPr>
        <w:t>,</w:t>
      </w:r>
      <w:r>
        <w:rPr>
          <w:rFonts w:ascii="Arial Narrow" w:hAnsi="Arial Narrow"/>
          <w:lang w:val="es-ES"/>
        </w:rPr>
        <w:t xml:space="preserve"> transferencia y apropiación de conocimiento de los resultados obtenidos en la investigación</w:t>
      </w:r>
      <w:r w:rsidR="009D477B">
        <w:rPr>
          <w:rFonts w:ascii="Arial Narrow" w:hAnsi="Arial Narrow"/>
          <w:lang w:val="es-ES"/>
        </w:rPr>
        <w:t xml:space="preserve"> </w:t>
      </w:r>
      <w:r w:rsidR="00610230">
        <w:rPr>
          <w:rFonts w:ascii="Arial Narrow" w:hAnsi="Arial Narrow"/>
          <w:lang w:val="es-ES"/>
        </w:rPr>
        <w:t>en territorio</w:t>
      </w:r>
      <w:r>
        <w:rPr>
          <w:rFonts w:ascii="Arial Narrow" w:hAnsi="Arial Narrow"/>
          <w:lang w:val="es-ES"/>
        </w:rPr>
        <w:t>.</w:t>
      </w:r>
    </w:p>
    <w:p w14:paraId="27C380D6" w14:textId="729CA788" w:rsidR="000E25EB" w:rsidRDefault="00E82CD1" w:rsidP="000E25EB">
      <w:pPr>
        <w:pStyle w:val="Prrafodelista"/>
        <w:numPr>
          <w:ilvl w:val="0"/>
          <w:numId w:val="10"/>
        </w:numPr>
        <w:spacing w:line="276" w:lineRule="auto"/>
        <w:jc w:val="both"/>
        <w:rPr>
          <w:rFonts w:ascii="Arial Narrow" w:hAnsi="Arial Narrow"/>
          <w:lang w:val="es-ES"/>
        </w:rPr>
      </w:pPr>
      <w:r>
        <w:rPr>
          <w:rFonts w:ascii="Arial Narrow" w:hAnsi="Arial Narrow"/>
          <w:lang w:val="es-ES"/>
        </w:rPr>
        <w:t>Integración de la docencia con la extensión social: para lo que se realizarán</w:t>
      </w:r>
      <w:r w:rsidR="000E25EB">
        <w:rPr>
          <w:rFonts w:ascii="Arial Narrow" w:hAnsi="Arial Narrow"/>
          <w:lang w:val="es-ES"/>
        </w:rPr>
        <w:t xml:space="preserve"> actividades de aprendizaje basados en proyectos que estén relacionados con la visita a territorio y predios o unidades productivas modelo en donde se puedan </w:t>
      </w:r>
      <w:r w:rsidR="00610230">
        <w:rPr>
          <w:rFonts w:ascii="Arial Narrow" w:hAnsi="Arial Narrow"/>
          <w:lang w:val="es-ES"/>
        </w:rPr>
        <w:t xml:space="preserve">desarrollar proyectos a pequeña escala y que permitan a los estudiantes aplicar conocimientos adquiridos </w:t>
      </w:r>
      <w:r w:rsidR="000E25EB">
        <w:rPr>
          <w:rFonts w:ascii="Arial Narrow" w:hAnsi="Arial Narrow"/>
          <w:lang w:val="es-ES"/>
        </w:rPr>
        <w:t xml:space="preserve">y además </w:t>
      </w:r>
      <w:r w:rsidR="00610230">
        <w:rPr>
          <w:rFonts w:ascii="Arial Narrow" w:hAnsi="Arial Narrow"/>
          <w:lang w:val="es-ES"/>
        </w:rPr>
        <w:t>logren generar un vínculo con el productor mediante retroalimentación en dos vías</w:t>
      </w:r>
      <w:r w:rsidR="000E25EB">
        <w:rPr>
          <w:rFonts w:ascii="Arial Narrow" w:hAnsi="Arial Narrow"/>
          <w:lang w:val="es-ES"/>
        </w:rPr>
        <w:t>.</w:t>
      </w:r>
    </w:p>
    <w:p w14:paraId="16648F36" w14:textId="4EC75632" w:rsidR="000E25EB" w:rsidRDefault="000E25EB" w:rsidP="000E25EB">
      <w:pPr>
        <w:spacing w:line="276" w:lineRule="auto"/>
        <w:jc w:val="both"/>
        <w:rPr>
          <w:rFonts w:ascii="Arial Narrow" w:hAnsi="Arial Narrow"/>
          <w:lang w:val="es-ES"/>
        </w:rPr>
      </w:pPr>
    </w:p>
    <w:p w14:paraId="50428EA9" w14:textId="2467C2B6" w:rsidR="000E25EB" w:rsidRDefault="000E25EB" w:rsidP="000E25EB">
      <w:pPr>
        <w:spacing w:line="276" w:lineRule="auto"/>
        <w:jc w:val="both"/>
        <w:rPr>
          <w:rFonts w:ascii="Arial Narrow" w:hAnsi="Arial Narrow"/>
          <w:lang w:val="es-ES"/>
        </w:rPr>
      </w:pPr>
    </w:p>
    <w:p w14:paraId="3BA58760" w14:textId="58473DBF" w:rsidR="000E25EB" w:rsidRDefault="000E25EB" w:rsidP="000E25EB">
      <w:pPr>
        <w:spacing w:line="276" w:lineRule="auto"/>
        <w:jc w:val="both"/>
        <w:rPr>
          <w:rFonts w:ascii="Arial Narrow" w:hAnsi="Arial Narrow"/>
          <w:lang w:val="es-ES"/>
        </w:rPr>
      </w:pPr>
    </w:p>
    <w:p w14:paraId="4018BA5A" w14:textId="0FB1F31A" w:rsidR="000E25EB" w:rsidRDefault="000E25EB" w:rsidP="000E25EB">
      <w:pPr>
        <w:spacing w:line="276" w:lineRule="auto"/>
        <w:jc w:val="both"/>
        <w:rPr>
          <w:rFonts w:ascii="Arial Narrow" w:hAnsi="Arial Narrow"/>
          <w:lang w:val="es-ES"/>
        </w:rPr>
      </w:pPr>
    </w:p>
    <w:p w14:paraId="38C7EF35" w14:textId="69309806" w:rsidR="000E25EB" w:rsidRDefault="000E25EB" w:rsidP="000E25EB">
      <w:pPr>
        <w:spacing w:line="276" w:lineRule="auto"/>
        <w:jc w:val="both"/>
        <w:rPr>
          <w:rFonts w:ascii="Arial Narrow" w:hAnsi="Arial Narrow"/>
          <w:lang w:val="es-ES"/>
        </w:rPr>
      </w:pPr>
    </w:p>
    <w:p w14:paraId="0844FADF" w14:textId="5958E493" w:rsidR="000E25EB" w:rsidRDefault="000E25EB" w:rsidP="000E25EB">
      <w:pPr>
        <w:spacing w:line="276" w:lineRule="auto"/>
        <w:jc w:val="both"/>
        <w:rPr>
          <w:rFonts w:ascii="Arial Narrow" w:hAnsi="Arial Narrow"/>
          <w:lang w:val="es-ES"/>
        </w:rPr>
      </w:pPr>
    </w:p>
    <w:p w14:paraId="4245B1A5" w14:textId="06BCE368" w:rsidR="000E25EB" w:rsidRDefault="000E25EB" w:rsidP="000E25EB">
      <w:pPr>
        <w:spacing w:line="276" w:lineRule="auto"/>
        <w:jc w:val="both"/>
        <w:rPr>
          <w:rFonts w:ascii="Arial Narrow" w:hAnsi="Arial Narrow"/>
          <w:lang w:val="es-ES"/>
        </w:rPr>
      </w:pPr>
    </w:p>
    <w:p w14:paraId="176CC5CE" w14:textId="42ED2C14" w:rsidR="000E25EB" w:rsidRDefault="000E25EB" w:rsidP="000E25EB">
      <w:pPr>
        <w:spacing w:line="276" w:lineRule="auto"/>
        <w:jc w:val="both"/>
        <w:rPr>
          <w:rFonts w:ascii="Arial Narrow" w:hAnsi="Arial Narrow"/>
          <w:lang w:val="es-ES"/>
        </w:rPr>
      </w:pPr>
    </w:p>
    <w:p w14:paraId="1FC0D69B" w14:textId="43F5BBE5" w:rsidR="000E25EB" w:rsidRDefault="000E25EB" w:rsidP="000E25EB">
      <w:pPr>
        <w:spacing w:line="276" w:lineRule="auto"/>
        <w:jc w:val="both"/>
        <w:rPr>
          <w:rFonts w:ascii="Arial Narrow" w:hAnsi="Arial Narrow"/>
          <w:lang w:val="es-ES"/>
        </w:rPr>
      </w:pPr>
    </w:p>
    <w:p w14:paraId="453613E3" w14:textId="46A5C12F" w:rsidR="000E25EB" w:rsidRDefault="000E25EB" w:rsidP="000E25EB">
      <w:pPr>
        <w:spacing w:line="276" w:lineRule="auto"/>
        <w:jc w:val="both"/>
        <w:rPr>
          <w:rFonts w:ascii="Arial Narrow" w:hAnsi="Arial Narrow"/>
          <w:lang w:val="es-ES"/>
        </w:rPr>
      </w:pPr>
    </w:p>
    <w:p w14:paraId="5FF0FA1E" w14:textId="3AB84D21" w:rsidR="000E25EB" w:rsidRDefault="000E25EB" w:rsidP="000E25EB">
      <w:pPr>
        <w:spacing w:line="276" w:lineRule="auto"/>
        <w:jc w:val="both"/>
        <w:rPr>
          <w:rFonts w:ascii="Arial Narrow" w:hAnsi="Arial Narrow"/>
          <w:lang w:val="es-ES"/>
        </w:rPr>
      </w:pPr>
    </w:p>
    <w:p w14:paraId="31C02716" w14:textId="77777777" w:rsidR="000A41E5" w:rsidRPr="00E82CD1" w:rsidRDefault="000A41E5" w:rsidP="000A41E5">
      <w:pPr>
        <w:spacing w:line="276" w:lineRule="auto"/>
        <w:rPr>
          <w:rFonts w:ascii="Arial Narrow" w:hAnsi="Arial Narrow"/>
          <w:b/>
          <w:bCs/>
        </w:rPr>
      </w:pPr>
      <w:r w:rsidRPr="00E82CD1">
        <w:rPr>
          <w:rFonts w:ascii="Arial Narrow" w:hAnsi="Arial Narrow"/>
          <w:b/>
          <w:bCs/>
        </w:rPr>
        <w:lastRenderedPageBreak/>
        <w:t>Bibliografía</w:t>
      </w:r>
    </w:p>
    <w:p w14:paraId="4D63DDF0" w14:textId="56D58697" w:rsidR="00152805" w:rsidRPr="00467C30" w:rsidRDefault="000A41E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Pr>
          <w:rFonts w:ascii="Arial Narrow" w:hAnsi="Arial Narrow"/>
          <w:lang w:val="es-ES"/>
        </w:rPr>
        <w:fldChar w:fldCharType="begin" w:fldLock="1"/>
      </w:r>
      <w:r w:rsidRPr="00467C30">
        <w:rPr>
          <w:rFonts w:ascii="Arial Narrow" w:hAnsi="Arial Narrow"/>
        </w:rPr>
        <w:instrText xml:space="preserve">ADDIN Mendeley Bibliography CSL_BIBLIOGRAPHY </w:instrText>
      </w:r>
      <w:r>
        <w:rPr>
          <w:rFonts w:ascii="Arial Narrow" w:hAnsi="Arial Narrow"/>
          <w:lang w:val="es-ES"/>
        </w:rPr>
        <w:fldChar w:fldCharType="separate"/>
      </w:r>
      <w:r w:rsidR="00152805" w:rsidRPr="00152805">
        <w:rPr>
          <w:rFonts w:ascii="Arial Narrow" w:hAnsi="Arial Narrow" w:cs="Times New Roman"/>
          <w:noProof/>
          <w:szCs w:val="24"/>
        </w:rPr>
        <w:t xml:space="preserve">Chivenge, P., Mabhaudhi, T., Modi, A. T., &amp; Mafongoya, P. (2015). </w:t>
      </w:r>
      <w:r w:rsidR="00152805" w:rsidRPr="00467C30">
        <w:rPr>
          <w:rFonts w:ascii="Arial Narrow" w:hAnsi="Arial Narrow" w:cs="Times New Roman"/>
          <w:noProof/>
          <w:szCs w:val="24"/>
          <w:lang w:val="en-US"/>
        </w:rPr>
        <w:t xml:space="preserve">The potential role of neglected and underutilised crop species as future crops under water scarce conditions in Sub-Saharan Africa. </w:t>
      </w:r>
      <w:r w:rsidR="00152805" w:rsidRPr="00467C30">
        <w:rPr>
          <w:rFonts w:ascii="Arial Narrow" w:hAnsi="Arial Narrow" w:cs="Times New Roman"/>
          <w:i/>
          <w:iCs/>
          <w:noProof/>
          <w:szCs w:val="24"/>
          <w:lang w:val="en-US"/>
        </w:rPr>
        <w:t>International Journal of Environmental Research and Public Health</w:t>
      </w:r>
      <w:r w:rsidR="00152805" w:rsidRPr="00467C30">
        <w:rPr>
          <w:rFonts w:ascii="Arial Narrow" w:hAnsi="Arial Narrow" w:cs="Times New Roman"/>
          <w:noProof/>
          <w:szCs w:val="24"/>
          <w:lang w:val="en-US"/>
        </w:rPr>
        <w:t xml:space="preserve">, </w:t>
      </w:r>
      <w:r w:rsidR="00152805" w:rsidRPr="00467C30">
        <w:rPr>
          <w:rFonts w:ascii="Arial Narrow" w:hAnsi="Arial Narrow" w:cs="Times New Roman"/>
          <w:i/>
          <w:iCs/>
          <w:noProof/>
          <w:szCs w:val="24"/>
          <w:lang w:val="en-US"/>
        </w:rPr>
        <w:t>12</w:t>
      </w:r>
      <w:r w:rsidR="00152805" w:rsidRPr="00467C30">
        <w:rPr>
          <w:rFonts w:ascii="Arial Narrow" w:hAnsi="Arial Narrow" w:cs="Times New Roman"/>
          <w:noProof/>
          <w:szCs w:val="24"/>
          <w:lang w:val="en-US"/>
        </w:rPr>
        <w:t>(6), 5685–5711. https://doi.org/10.3390/ijerph120605685</w:t>
      </w:r>
    </w:p>
    <w:p w14:paraId="0B462AF7"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Collazo-bigliardi, S., Ortega-toro, R., &amp; Chiralt, A. (2018). </w:t>
      </w:r>
      <w:r w:rsidRPr="00467C30">
        <w:rPr>
          <w:rFonts w:ascii="Arial Narrow" w:hAnsi="Arial Narrow" w:cs="Times New Roman"/>
          <w:i/>
          <w:iCs/>
          <w:noProof/>
          <w:szCs w:val="24"/>
          <w:lang w:val="en-US"/>
        </w:rPr>
        <w:t>Isolation and characterisation of microcrystalline cellulose and cellulose nanocrystals from co ff ee husk and comparative study with rice husk</w:t>
      </w:r>
      <w:r w:rsidRPr="00467C30">
        <w:rPr>
          <w:rFonts w:ascii="Arial Narrow" w:hAnsi="Arial Narrow" w:cs="Times New Roman"/>
          <w:noProof/>
          <w:szCs w:val="24"/>
          <w:lang w:val="en-US"/>
        </w:rPr>
        <w:t xml:space="preserve">. </w:t>
      </w:r>
      <w:r w:rsidRPr="00152805">
        <w:rPr>
          <w:rFonts w:ascii="Arial Narrow" w:hAnsi="Arial Narrow" w:cs="Times New Roman"/>
          <w:i/>
          <w:iCs/>
          <w:noProof/>
          <w:szCs w:val="24"/>
        </w:rPr>
        <w:t>191</w:t>
      </w:r>
      <w:r w:rsidRPr="00152805">
        <w:rPr>
          <w:rFonts w:ascii="Arial Narrow" w:hAnsi="Arial Narrow" w:cs="Times New Roman"/>
          <w:noProof/>
          <w:szCs w:val="24"/>
        </w:rPr>
        <w:t>(March), 205–215.</w:t>
      </w:r>
    </w:p>
    <w:p w14:paraId="1DEAF2FD"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CORPOICA, MINAGRICULTURA, &amp; COLCIENCIAS. (2016). </w:t>
      </w:r>
      <w:r w:rsidRPr="00152805">
        <w:rPr>
          <w:rFonts w:ascii="Arial Narrow" w:hAnsi="Arial Narrow" w:cs="Times New Roman"/>
          <w:i/>
          <w:iCs/>
          <w:noProof/>
          <w:szCs w:val="24"/>
        </w:rPr>
        <w:t>PECTIA</w:t>
      </w:r>
      <w:r w:rsidRPr="00152805">
        <w:rPr>
          <w:rFonts w:ascii="Arial" w:hAnsi="Arial" w:cs="Arial"/>
          <w:i/>
          <w:iCs/>
          <w:noProof/>
          <w:szCs w:val="24"/>
        </w:rPr>
        <w:t> </w:t>
      </w:r>
      <w:r w:rsidRPr="00152805">
        <w:rPr>
          <w:rFonts w:ascii="Arial Narrow" w:hAnsi="Arial Narrow" w:cs="Times New Roman"/>
          <w:i/>
          <w:iCs/>
          <w:noProof/>
          <w:szCs w:val="24"/>
        </w:rPr>
        <w:t>:Plan Estratégico de Ciencia, Tecnología e Innovación del sector Agropecuario colombiano (2017-2027)</w:t>
      </w:r>
      <w:r w:rsidRPr="00152805">
        <w:rPr>
          <w:rFonts w:ascii="Arial Narrow" w:hAnsi="Arial Narrow" w:cs="Times New Roman"/>
          <w:noProof/>
          <w:szCs w:val="24"/>
        </w:rPr>
        <w:t>. 148 páginas. http://hdl.handle.net/20.500.12324/12759</w:t>
      </w:r>
    </w:p>
    <w:p w14:paraId="5978A2A9"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Cristina, L., Francisco, R., Lúcia, C., &amp; Petkowicz, D. O. (2012). </w:t>
      </w:r>
      <w:r w:rsidRPr="00467C30">
        <w:rPr>
          <w:rFonts w:ascii="Arial Narrow" w:hAnsi="Arial Narrow" w:cs="Times New Roman"/>
          <w:i/>
          <w:iCs/>
          <w:noProof/>
          <w:szCs w:val="24"/>
          <w:lang w:val="en-US"/>
        </w:rPr>
        <w:t>LWT - Food Science and Technology Extraction and characterization of pectin from cacao pod husks ( Theobroma cacao L .) with citric acid</w:t>
      </w:r>
      <w:r w:rsidRPr="00467C30">
        <w:rPr>
          <w:rFonts w:ascii="Arial Narrow" w:hAnsi="Arial Narrow" w:cs="Times New Roman"/>
          <w:noProof/>
          <w:szCs w:val="24"/>
          <w:lang w:val="en-US"/>
        </w:rPr>
        <w:t xml:space="preserve">. </w:t>
      </w:r>
      <w:r w:rsidRPr="00152805">
        <w:rPr>
          <w:rFonts w:ascii="Arial Narrow" w:hAnsi="Arial Narrow" w:cs="Times New Roman"/>
          <w:i/>
          <w:iCs/>
          <w:noProof/>
          <w:szCs w:val="24"/>
        </w:rPr>
        <w:t>49</w:t>
      </w:r>
      <w:r w:rsidRPr="00152805">
        <w:rPr>
          <w:rFonts w:ascii="Arial Narrow" w:hAnsi="Arial Narrow" w:cs="Times New Roman"/>
          <w:noProof/>
          <w:szCs w:val="24"/>
        </w:rPr>
        <w:t>, 108–116. https://doi.org/10.1016/j.lwt.2012.04.018</w:t>
      </w:r>
    </w:p>
    <w:p w14:paraId="04050391"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DANE. (2023). </w:t>
      </w:r>
      <w:r w:rsidRPr="00152805">
        <w:rPr>
          <w:rFonts w:ascii="Arial Narrow" w:hAnsi="Arial Narrow" w:cs="Times New Roman"/>
          <w:i/>
          <w:iCs/>
          <w:noProof/>
          <w:szCs w:val="24"/>
        </w:rPr>
        <w:t>Encuesta nacional agropecuaria (ENA)</w:t>
      </w:r>
      <w:r w:rsidRPr="00152805">
        <w:rPr>
          <w:rFonts w:ascii="Arial Narrow" w:hAnsi="Arial Narrow" w:cs="Times New Roman"/>
          <w:noProof/>
          <w:szCs w:val="24"/>
        </w:rPr>
        <w:t>. https://www.dane.gov.co/index.php/estadisticas-por-tema/agropecuario/encuesta-nacional-agropecuaria-ena</w:t>
      </w:r>
    </w:p>
    <w:p w14:paraId="4F6680CE"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DANE. (2026). </w:t>
      </w:r>
      <w:r w:rsidRPr="00152805">
        <w:rPr>
          <w:rFonts w:ascii="Arial Narrow" w:hAnsi="Arial Narrow" w:cs="Times New Roman"/>
          <w:i/>
          <w:iCs/>
          <w:noProof/>
          <w:szCs w:val="24"/>
        </w:rPr>
        <w:t>Boletín técnico Boletín técnico</w:t>
      </w:r>
      <w:r w:rsidRPr="00152805">
        <w:rPr>
          <w:rFonts w:ascii="Arial Narrow" w:hAnsi="Arial Narrow" w:cs="Times New Roman"/>
          <w:noProof/>
          <w:szCs w:val="24"/>
        </w:rPr>
        <w:t>. 1–51. https://www.dane.gov.co/files/operaciones/PIB/bol-PIB-IVtrim2025.pdf</w:t>
      </w:r>
    </w:p>
    <w:p w14:paraId="2A684258"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152805">
        <w:rPr>
          <w:rFonts w:ascii="Arial Narrow" w:hAnsi="Arial Narrow" w:cs="Times New Roman"/>
          <w:noProof/>
          <w:szCs w:val="24"/>
        </w:rPr>
        <w:t xml:space="preserve">Dao, D. N., Le, P. H., Do, D. X., Dang, T. M. Q., Nguyen, S. K., &amp; Nguyen, V. (2023). </w:t>
      </w:r>
      <w:r w:rsidRPr="00467C30">
        <w:rPr>
          <w:rFonts w:ascii="Arial Narrow" w:hAnsi="Arial Narrow" w:cs="Times New Roman"/>
          <w:noProof/>
          <w:szCs w:val="24"/>
          <w:lang w:val="en-US"/>
        </w:rPr>
        <w:t xml:space="preserve">Pectin and cellulose extracted from coffee pulps and their potential in formulating biopolymer films. </w:t>
      </w:r>
      <w:r w:rsidRPr="00467C30">
        <w:rPr>
          <w:rFonts w:ascii="Arial Narrow" w:hAnsi="Arial Narrow" w:cs="Times New Roman"/>
          <w:i/>
          <w:iCs/>
          <w:noProof/>
          <w:szCs w:val="24"/>
          <w:lang w:val="en-US"/>
        </w:rPr>
        <w:t>Biomass Conversion and Biorefinery</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13</w:t>
      </w:r>
      <w:r w:rsidRPr="00467C30">
        <w:rPr>
          <w:rFonts w:ascii="Arial Narrow" w:hAnsi="Arial Narrow" w:cs="Times New Roman"/>
          <w:noProof/>
          <w:szCs w:val="24"/>
          <w:lang w:val="en-US"/>
        </w:rPr>
        <w:t>(14), 13117–13125. https://doi.org/10.1007/s13399-022-02339-x</w:t>
      </w:r>
    </w:p>
    <w:p w14:paraId="7CC5E5D5"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467C30">
        <w:rPr>
          <w:rFonts w:ascii="Arial Narrow" w:hAnsi="Arial Narrow" w:cs="Times New Roman"/>
          <w:noProof/>
          <w:szCs w:val="24"/>
          <w:lang w:val="en-US"/>
        </w:rPr>
        <w:t xml:space="preserve">Daza, L. D., Fujita, A., Granato, D., Fávaro-Trindade, C. S., &amp; Genovese, M. I. (2017). Functional properties of encapsulated Cagaita (Eugenia dysenterica DC.) fruit extract. </w:t>
      </w:r>
      <w:r w:rsidRPr="00467C30">
        <w:rPr>
          <w:rFonts w:ascii="Arial Narrow" w:hAnsi="Arial Narrow" w:cs="Times New Roman"/>
          <w:i/>
          <w:iCs/>
          <w:noProof/>
          <w:szCs w:val="24"/>
          <w:lang w:val="en-US"/>
        </w:rPr>
        <w:t>Food Bioscience</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18</w:t>
      </w:r>
      <w:r w:rsidRPr="00467C30">
        <w:rPr>
          <w:rFonts w:ascii="Arial Narrow" w:hAnsi="Arial Narrow" w:cs="Times New Roman"/>
          <w:noProof/>
          <w:szCs w:val="24"/>
          <w:lang w:val="en-US"/>
        </w:rPr>
        <w:t>, 15–21. https://doi.org/dx.doi.org/10.1016/j.fbio.2017.03.003</w:t>
      </w:r>
    </w:p>
    <w:p w14:paraId="4F0F219A"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152805">
        <w:rPr>
          <w:rFonts w:ascii="Arial Narrow" w:hAnsi="Arial Narrow" w:cs="Times New Roman"/>
          <w:noProof/>
          <w:szCs w:val="24"/>
        </w:rPr>
        <w:t xml:space="preserve">Daza, L. D., Montealegre, M. Á., Sandoval Aldana, A., Obando, M., Váquiro, H. A., Eim, V. S., &amp; Simal, S. (2023). </w:t>
      </w:r>
      <w:r w:rsidRPr="00467C30">
        <w:rPr>
          <w:rFonts w:ascii="Arial Narrow" w:hAnsi="Arial Narrow" w:cs="Times New Roman"/>
          <w:noProof/>
          <w:szCs w:val="24"/>
          <w:lang w:val="en-US"/>
        </w:rPr>
        <w:t xml:space="preserve">Effect of Essential Oils from Lemongrass and Tahiti Lime Residues on the Physicochemical Properties of Chitosan-Based Biodegradable Films. </w:t>
      </w:r>
      <w:r w:rsidRPr="00467C30">
        <w:rPr>
          <w:rFonts w:ascii="Arial Narrow" w:hAnsi="Arial Narrow" w:cs="Times New Roman"/>
          <w:i/>
          <w:iCs/>
          <w:noProof/>
          <w:szCs w:val="24"/>
          <w:lang w:val="en-US"/>
        </w:rPr>
        <w:t>Foods</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12</w:t>
      </w:r>
      <w:r w:rsidRPr="00467C30">
        <w:rPr>
          <w:rFonts w:ascii="Arial Narrow" w:hAnsi="Arial Narrow" w:cs="Times New Roman"/>
          <w:noProof/>
          <w:szCs w:val="24"/>
          <w:lang w:val="en-US"/>
        </w:rPr>
        <w:t>(9), 1824. https://doi.org/10.3390/foods12091824</w:t>
      </w:r>
    </w:p>
    <w:p w14:paraId="1288E94A"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467C30">
        <w:rPr>
          <w:rFonts w:ascii="Arial Narrow" w:hAnsi="Arial Narrow" w:cs="Times New Roman"/>
          <w:noProof/>
          <w:szCs w:val="24"/>
          <w:lang w:val="en-US"/>
        </w:rPr>
        <w:t xml:space="preserve">Daza, L. D., Umaña, M., &amp; Eim, V. S. (2025). Effect of the addition of Chachafruto flour on the stability of oil-in-water emulsions and the physicochemical properties of spray-drying microcapsules. </w:t>
      </w:r>
      <w:r w:rsidRPr="00467C30">
        <w:rPr>
          <w:rFonts w:ascii="Arial Narrow" w:hAnsi="Arial Narrow" w:cs="Times New Roman"/>
          <w:i/>
          <w:iCs/>
          <w:noProof/>
          <w:szCs w:val="24"/>
          <w:lang w:val="en-US"/>
        </w:rPr>
        <w:t>Food Chemistry</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462</w:t>
      </w:r>
      <w:r w:rsidRPr="00467C30">
        <w:rPr>
          <w:rFonts w:ascii="Arial Narrow" w:hAnsi="Arial Narrow" w:cs="Times New Roman"/>
          <w:noProof/>
          <w:szCs w:val="24"/>
          <w:lang w:val="en-US"/>
        </w:rPr>
        <w:t>(August 2024). https://doi.org/10.1016/j.foodchem.2024.141025</w:t>
      </w:r>
    </w:p>
    <w:p w14:paraId="296A7548"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467C30">
        <w:rPr>
          <w:rFonts w:ascii="Arial Narrow" w:hAnsi="Arial Narrow" w:cs="Times New Roman"/>
          <w:noProof/>
          <w:szCs w:val="24"/>
          <w:lang w:val="en-US"/>
        </w:rPr>
        <w:t xml:space="preserve">Daza, L. D., Umaña, M., Simal, S., Váquiro, H., &amp; Eim, V. S. (2022). </w:t>
      </w:r>
      <w:r w:rsidRPr="00467C30">
        <w:rPr>
          <w:rFonts w:ascii="Arial Narrow" w:hAnsi="Arial Narrow" w:cs="Times New Roman"/>
          <w:i/>
          <w:iCs/>
          <w:noProof/>
          <w:szCs w:val="24"/>
          <w:lang w:val="en-US"/>
        </w:rPr>
        <w:t>Non-conventional starch from cubio tuber ( Tropaeolum tuberosum ): Physicochemical , structural , morphological , thermal characterization and the evaluation of its potential as a packaging material</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221</w:t>
      </w:r>
      <w:r w:rsidRPr="00467C30">
        <w:rPr>
          <w:rFonts w:ascii="Arial Narrow" w:hAnsi="Arial Narrow" w:cs="Times New Roman"/>
          <w:noProof/>
          <w:szCs w:val="24"/>
          <w:lang w:val="en-US"/>
        </w:rPr>
        <w:t>(August), 954–964. https://doi.org/https://doi.org/10.1016/j.ijbiomac.2022.09.092</w:t>
      </w:r>
    </w:p>
    <w:p w14:paraId="742203E0"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467C30">
        <w:rPr>
          <w:rFonts w:ascii="Arial Narrow" w:hAnsi="Arial Narrow" w:cs="Times New Roman"/>
          <w:noProof/>
          <w:szCs w:val="24"/>
          <w:lang w:val="en-US"/>
        </w:rPr>
        <w:t xml:space="preserve">Deb Dutta, S., Patel, D. K., Ganguly, K., &amp; Lim, K. T. (2021). Isolation and characterization of cellulose nanocrystals from coffee grounds for tissue engineering. </w:t>
      </w:r>
      <w:r w:rsidRPr="00152805">
        <w:rPr>
          <w:rFonts w:ascii="Arial Narrow" w:hAnsi="Arial Narrow" w:cs="Times New Roman"/>
          <w:i/>
          <w:iCs/>
          <w:noProof/>
          <w:szCs w:val="24"/>
        </w:rPr>
        <w:t>Materials Letters</w:t>
      </w:r>
      <w:r w:rsidRPr="00152805">
        <w:rPr>
          <w:rFonts w:ascii="Arial Narrow" w:hAnsi="Arial Narrow" w:cs="Times New Roman"/>
          <w:noProof/>
          <w:szCs w:val="24"/>
        </w:rPr>
        <w:t xml:space="preserve">, </w:t>
      </w:r>
      <w:r w:rsidRPr="00152805">
        <w:rPr>
          <w:rFonts w:ascii="Arial Narrow" w:hAnsi="Arial Narrow" w:cs="Times New Roman"/>
          <w:i/>
          <w:iCs/>
          <w:noProof/>
          <w:szCs w:val="24"/>
        </w:rPr>
        <w:t>287</w:t>
      </w:r>
      <w:r w:rsidRPr="00152805">
        <w:rPr>
          <w:rFonts w:ascii="Arial Narrow" w:hAnsi="Arial Narrow" w:cs="Times New Roman"/>
          <w:noProof/>
          <w:szCs w:val="24"/>
        </w:rPr>
        <w:t>, 129311. https://doi.org/10.1016/j.matlet.2021.129311</w:t>
      </w:r>
    </w:p>
    <w:p w14:paraId="57FB9578"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DNP. (2016). Pérdida y Desperdicio de alimentos en Colombia. </w:t>
      </w:r>
      <w:r w:rsidRPr="00152805">
        <w:rPr>
          <w:rFonts w:ascii="Arial Narrow" w:hAnsi="Arial Narrow" w:cs="Times New Roman"/>
          <w:i/>
          <w:iCs/>
          <w:noProof/>
          <w:szCs w:val="24"/>
        </w:rPr>
        <w:t>Departamento Nacional de Planeación</w:t>
      </w:r>
      <w:r w:rsidRPr="00152805">
        <w:rPr>
          <w:rFonts w:ascii="Arial Narrow" w:hAnsi="Arial Narrow" w:cs="Times New Roman"/>
          <w:noProof/>
          <w:szCs w:val="24"/>
        </w:rPr>
        <w:t xml:space="preserve">, </w:t>
      </w:r>
      <w:r w:rsidRPr="00152805">
        <w:rPr>
          <w:rFonts w:ascii="Arial Narrow" w:hAnsi="Arial Narrow" w:cs="Times New Roman"/>
          <w:i/>
          <w:iCs/>
          <w:noProof/>
          <w:szCs w:val="24"/>
        </w:rPr>
        <w:t>39</w:t>
      </w:r>
      <w:r w:rsidRPr="00152805">
        <w:rPr>
          <w:rFonts w:ascii="Arial Narrow" w:hAnsi="Arial Narrow" w:cs="Times New Roman"/>
          <w:noProof/>
          <w:szCs w:val="24"/>
        </w:rPr>
        <w:t>, 116.</w:t>
      </w:r>
    </w:p>
    <w:p w14:paraId="69A2086A"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FAO. (2022). Código de conducta voluntario para la reducción de las pérdidas y el desperdicio de alimentos. In </w:t>
      </w:r>
      <w:r w:rsidRPr="00152805">
        <w:rPr>
          <w:rFonts w:ascii="Arial Narrow" w:hAnsi="Arial Narrow" w:cs="Times New Roman"/>
          <w:i/>
          <w:iCs/>
          <w:noProof/>
          <w:szCs w:val="24"/>
        </w:rPr>
        <w:t>Código de conducta voluntario para la reducción de las pérdidas y el desperdicio de alimentos</w:t>
      </w:r>
      <w:r w:rsidRPr="00152805">
        <w:rPr>
          <w:rFonts w:ascii="Arial Narrow" w:hAnsi="Arial Narrow" w:cs="Times New Roman"/>
          <w:noProof/>
          <w:szCs w:val="24"/>
        </w:rPr>
        <w:t xml:space="preserve">. FAO. </w:t>
      </w:r>
      <w:r w:rsidRPr="00152805">
        <w:rPr>
          <w:rFonts w:ascii="Arial Narrow" w:hAnsi="Arial Narrow" w:cs="Times New Roman"/>
          <w:noProof/>
          <w:szCs w:val="24"/>
        </w:rPr>
        <w:lastRenderedPageBreak/>
        <w:t>https://doi.org/10.4060/cb9433es</w:t>
      </w:r>
    </w:p>
    <w:p w14:paraId="0829B2F6"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FAO, FIDA, OMS, PMA, &amp; UNICEF. (2025). </w:t>
      </w:r>
      <w:r w:rsidRPr="00152805">
        <w:rPr>
          <w:rFonts w:ascii="Arial Narrow" w:hAnsi="Arial Narrow" w:cs="Times New Roman"/>
          <w:i/>
          <w:iCs/>
          <w:noProof/>
          <w:szCs w:val="24"/>
        </w:rPr>
        <w:t>El estado de la seguridad alimentaria y la nutrición en el mundo 2025</w:t>
      </w:r>
      <w:r w:rsidRPr="00152805">
        <w:rPr>
          <w:rFonts w:ascii="Arial Narrow" w:hAnsi="Arial Narrow" w:cs="Times New Roman"/>
          <w:noProof/>
          <w:szCs w:val="24"/>
        </w:rPr>
        <w:t>. FAO; IFAD; WHO; WFP; UNICEF; https://doi.org/10.4060/cd6008es</w:t>
      </w:r>
    </w:p>
    <w:p w14:paraId="42C342C9"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152805">
        <w:rPr>
          <w:rFonts w:ascii="Arial Narrow" w:hAnsi="Arial Narrow" w:cs="Times New Roman"/>
          <w:noProof/>
          <w:szCs w:val="24"/>
        </w:rPr>
        <w:t xml:space="preserve">Homez-Jara, A., Daza, L. D., Aguirre, D. M., Muñoz, J. A., Solanilla, J. F., &amp; Váquiro, H. A. (2018). </w:t>
      </w:r>
      <w:r w:rsidRPr="00467C30">
        <w:rPr>
          <w:rFonts w:ascii="Arial Narrow" w:hAnsi="Arial Narrow" w:cs="Times New Roman"/>
          <w:noProof/>
          <w:szCs w:val="24"/>
          <w:lang w:val="en-US"/>
        </w:rPr>
        <w:t xml:space="preserve">Characterization of chitosan edible films obtained with various polymer concentrations and drying temperatures. </w:t>
      </w:r>
      <w:r w:rsidRPr="00467C30">
        <w:rPr>
          <w:rFonts w:ascii="Arial Narrow" w:hAnsi="Arial Narrow" w:cs="Times New Roman"/>
          <w:i/>
          <w:iCs/>
          <w:noProof/>
          <w:szCs w:val="24"/>
          <w:lang w:val="en-US"/>
        </w:rPr>
        <w:t>International Journal of Biological Macromolecules</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113</w:t>
      </w:r>
      <w:r w:rsidRPr="00467C30">
        <w:rPr>
          <w:rFonts w:ascii="Arial Narrow" w:hAnsi="Arial Narrow" w:cs="Times New Roman"/>
          <w:noProof/>
          <w:szCs w:val="24"/>
          <w:lang w:val="en-US"/>
        </w:rPr>
        <w:t>, 1233. https://doi.org/10.1016/j.ijbiomac.2018.03.057</w:t>
      </w:r>
    </w:p>
    <w:p w14:paraId="57E5F46E"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Ibarra Vega, D. (2023). Perspectiva sistémica de la generación de residuos y pérdidas de alimentos en Colombia. </w:t>
      </w:r>
      <w:r w:rsidRPr="00152805">
        <w:rPr>
          <w:rFonts w:ascii="Arial Narrow" w:hAnsi="Arial Narrow" w:cs="Times New Roman"/>
          <w:i/>
          <w:iCs/>
          <w:noProof/>
          <w:szCs w:val="24"/>
        </w:rPr>
        <w:t>Publicaciones e Investigación</w:t>
      </w:r>
      <w:r w:rsidRPr="00152805">
        <w:rPr>
          <w:rFonts w:ascii="Arial Narrow" w:hAnsi="Arial Narrow" w:cs="Times New Roman"/>
          <w:noProof/>
          <w:szCs w:val="24"/>
        </w:rPr>
        <w:t xml:space="preserve">, </w:t>
      </w:r>
      <w:r w:rsidRPr="00152805">
        <w:rPr>
          <w:rFonts w:ascii="Arial Narrow" w:hAnsi="Arial Narrow" w:cs="Times New Roman"/>
          <w:i/>
          <w:iCs/>
          <w:noProof/>
          <w:szCs w:val="24"/>
        </w:rPr>
        <w:t>17</w:t>
      </w:r>
      <w:r w:rsidRPr="00152805">
        <w:rPr>
          <w:rFonts w:ascii="Arial Narrow" w:hAnsi="Arial Narrow" w:cs="Times New Roman"/>
          <w:noProof/>
          <w:szCs w:val="24"/>
        </w:rPr>
        <w:t>(3), 1–4. https://doi.org/10.22490/25394088.7446</w:t>
      </w:r>
    </w:p>
    <w:p w14:paraId="2BDF10E1"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152805">
        <w:rPr>
          <w:rFonts w:ascii="Arial Narrow" w:hAnsi="Arial Narrow" w:cs="Times New Roman"/>
          <w:noProof/>
          <w:szCs w:val="24"/>
        </w:rPr>
        <w:t xml:space="preserve">Lackner, M., &amp; Besharati, M. (2025). </w:t>
      </w:r>
      <w:r w:rsidRPr="00467C30">
        <w:rPr>
          <w:rFonts w:ascii="Arial Narrow" w:hAnsi="Arial Narrow" w:cs="Times New Roman"/>
          <w:noProof/>
          <w:szCs w:val="24"/>
          <w:lang w:val="en-US"/>
        </w:rPr>
        <w:t xml:space="preserve">Agricultural Waste: Challenges and Solutions, a Review. </w:t>
      </w:r>
      <w:r w:rsidRPr="00467C30">
        <w:rPr>
          <w:rFonts w:ascii="Arial Narrow" w:hAnsi="Arial Narrow" w:cs="Times New Roman"/>
          <w:i/>
          <w:iCs/>
          <w:noProof/>
          <w:szCs w:val="24"/>
          <w:lang w:val="en-US"/>
        </w:rPr>
        <w:t>Waste</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3</w:t>
      </w:r>
      <w:r w:rsidRPr="00467C30">
        <w:rPr>
          <w:rFonts w:ascii="Arial Narrow" w:hAnsi="Arial Narrow" w:cs="Times New Roman"/>
          <w:noProof/>
          <w:szCs w:val="24"/>
          <w:lang w:val="en-US"/>
        </w:rPr>
        <w:t>(2), 18. https://doi.org/10.3390/waste3020018</w:t>
      </w:r>
    </w:p>
    <w:p w14:paraId="27975750"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467C30">
        <w:rPr>
          <w:rFonts w:ascii="Arial Narrow" w:hAnsi="Arial Narrow" w:cs="Times New Roman"/>
          <w:noProof/>
          <w:szCs w:val="24"/>
          <w:lang w:val="en-US"/>
        </w:rPr>
        <w:t xml:space="preserve">Leisner, C. P. (2020). Review: Climate change impacts on food security- focus on perennial cropping systems and nutritional value. </w:t>
      </w:r>
      <w:r w:rsidRPr="00467C30">
        <w:rPr>
          <w:rFonts w:ascii="Arial Narrow" w:hAnsi="Arial Narrow" w:cs="Times New Roman"/>
          <w:i/>
          <w:iCs/>
          <w:noProof/>
          <w:szCs w:val="24"/>
          <w:lang w:val="en-US"/>
        </w:rPr>
        <w:t>Plant Science</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293</w:t>
      </w:r>
      <w:r w:rsidRPr="00467C30">
        <w:rPr>
          <w:rFonts w:ascii="Arial Narrow" w:hAnsi="Arial Narrow" w:cs="Times New Roman"/>
          <w:noProof/>
          <w:szCs w:val="24"/>
          <w:lang w:val="en-US"/>
        </w:rPr>
        <w:t>(January), 110412. https://doi.org/10.1016/j.plantsci.2020.110412</w:t>
      </w:r>
    </w:p>
    <w:p w14:paraId="73FD6E27"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467C30">
        <w:rPr>
          <w:rFonts w:ascii="Arial Narrow" w:hAnsi="Arial Narrow" w:cs="Times New Roman"/>
          <w:noProof/>
          <w:szCs w:val="24"/>
          <w:lang w:val="en-US"/>
        </w:rPr>
        <w:t xml:space="preserve">Liao, Y. C., Kim, T., Silva, J. L., Hu, W. Y., &amp; Chen, B. Y. (2022). Effects of roasting degrees on phenolic compounds and antioxidant activity in coffee beans from different geographic origins. </w:t>
      </w:r>
      <w:r w:rsidRPr="00467C30">
        <w:rPr>
          <w:rFonts w:ascii="Arial Narrow" w:hAnsi="Arial Narrow" w:cs="Times New Roman"/>
          <w:i/>
          <w:iCs/>
          <w:noProof/>
          <w:szCs w:val="24"/>
          <w:lang w:val="en-US"/>
        </w:rPr>
        <w:t>Lwt</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168</w:t>
      </w:r>
      <w:r w:rsidRPr="00467C30">
        <w:rPr>
          <w:rFonts w:ascii="Arial Narrow" w:hAnsi="Arial Narrow" w:cs="Times New Roman"/>
          <w:noProof/>
          <w:szCs w:val="24"/>
          <w:lang w:val="en-US"/>
        </w:rPr>
        <w:t>(June). https://doi.org/10.1016/j.lwt.2022.113965</w:t>
      </w:r>
    </w:p>
    <w:p w14:paraId="5C77C30E"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467C30">
        <w:rPr>
          <w:rFonts w:ascii="Arial Narrow" w:hAnsi="Arial Narrow" w:cs="Times New Roman"/>
          <w:noProof/>
          <w:szCs w:val="24"/>
          <w:lang w:val="en-US"/>
        </w:rPr>
        <w:t xml:space="preserve">Mamiru, D., &amp; Gonfa, G. (2023). </w:t>
      </w:r>
      <w:r w:rsidRPr="00467C30">
        <w:rPr>
          <w:rFonts w:ascii="Arial Narrow" w:hAnsi="Arial Narrow" w:cs="Times New Roman"/>
          <w:i/>
          <w:iCs/>
          <w:noProof/>
          <w:szCs w:val="24"/>
          <w:lang w:val="en-US"/>
        </w:rPr>
        <w:t>Heliyon Extraction and characterization of pectin from watermelon rind using acetic acid</w:t>
      </w:r>
      <w:r w:rsidRPr="00467C30">
        <w:rPr>
          <w:rFonts w:ascii="Arial Narrow" w:hAnsi="Arial Narrow" w:cs="Times New Roman"/>
          <w:noProof/>
          <w:szCs w:val="24"/>
          <w:lang w:val="en-US"/>
        </w:rPr>
        <w:t xml:space="preserve">. </w:t>
      </w:r>
      <w:r w:rsidRPr="00152805">
        <w:rPr>
          <w:rFonts w:ascii="Arial Narrow" w:hAnsi="Arial Narrow" w:cs="Times New Roman"/>
          <w:i/>
          <w:iCs/>
          <w:noProof/>
          <w:szCs w:val="24"/>
        </w:rPr>
        <w:t>9</w:t>
      </w:r>
      <w:r w:rsidRPr="00152805">
        <w:rPr>
          <w:rFonts w:ascii="Arial Narrow" w:hAnsi="Arial Narrow" w:cs="Times New Roman"/>
          <w:noProof/>
          <w:szCs w:val="24"/>
        </w:rPr>
        <w:t>(February).</w:t>
      </w:r>
    </w:p>
    <w:p w14:paraId="7982D7B5"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Milião, G. L., de Oliveira, A. P. H., Soares, L. de S., Arruda, T. R., Vieira, É. N. R., &amp; Leite Junior, B. R. de C. (2022). </w:t>
      </w:r>
      <w:r w:rsidRPr="00467C30">
        <w:rPr>
          <w:rFonts w:ascii="Arial Narrow" w:hAnsi="Arial Narrow" w:cs="Times New Roman"/>
          <w:noProof/>
          <w:szCs w:val="24"/>
          <w:lang w:val="en-US"/>
        </w:rPr>
        <w:t xml:space="preserve">Unconventional food plants: Nutritional aspects and perspectives for industrial applications. </w:t>
      </w:r>
      <w:r w:rsidRPr="00152805">
        <w:rPr>
          <w:rFonts w:ascii="Arial Narrow" w:hAnsi="Arial Narrow" w:cs="Times New Roman"/>
          <w:i/>
          <w:iCs/>
          <w:noProof/>
          <w:szCs w:val="24"/>
        </w:rPr>
        <w:t>Future Foods</w:t>
      </w:r>
      <w:r w:rsidRPr="00152805">
        <w:rPr>
          <w:rFonts w:ascii="Arial Narrow" w:hAnsi="Arial Narrow" w:cs="Times New Roman"/>
          <w:noProof/>
          <w:szCs w:val="24"/>
        </w:rPr>
        <w:t xml:space="preserve">, </w:t>
      </w:r>
      <w:r w:rsidRPr="00152805">
        <w:rPr>
          <w:rFonts w:ascii="Arial Narrow" w:hAnsi="Arial Narrow" w:cs="Times New Roman"/>
          <w:i/>
          <w:iCs/>
          <w:noProof/>
          <w:szCs w:val="24"/>
        </w:rPr>
        <w:t>5</w:t>
      </w:r>
      <w:r w:rsidRPr="00152805">
        <w:rPr>
          <w:rFonts w:ascii="Arial Narrow" w:hAnsi="Arial Narrow" w:cs="Times New Roman"/>
          <w:noProof/>
          <w:szCs w:val="24"/>
        </w:rPr>
        <w:t>(January). https://doi.org/10.1016/j.fufo.2022.100124</w:t>
      </w:r>
    </w:p>
    <w:p w14:paraId="2B9A42FA"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ONU. (2021). </w:t>
      </w:r>
      <w:r w:rsidRPr="00152805">
        <w:rPr>
          <w:rFonts w:ascii="Arial Narrow" w:hAnsi="Arial Narrow" w:cs="Times New Roman"/>
          <w:i/>
          <w:iCs/>
          <w:noProof/>
          <w:szCs w:val="24"/>
        </w:rPr>
        <w:t>Hacer las paces con la naturaleza</w:t>
      </w:r>
      <w:r w:rsidRPr="00152805">
        <w:rPr>
          <w:rFonts w:ascii="Arial Narrow" w:hAnsi="Arial Narrow" w:cs="Times New Roman"/>
          <w:noProof/>
          <w:szCs w:val="24"/>
        </w:rPr>
        <w:t>. 168. https://www.unep.org/resources/making-peace-nature</w:t>
      </w:r>
    </w:p>
    <w:p w14:paraId="58082CFD"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Pablo, L., Ramos, C., Felipe, D., Díaz, F., &amp; Sierra, I. V. (2019). </w:t>
      </w:r>
      <w:r w:rsidRPr="00152805">
        <w:rPr>
          <w:rFonts w:ascii="Arial Narrow" w:hAnsi="Arial Narrow" w:cs="Times New Roman"/>
          <w:i/>
          <w:iCs/>
          <w:noProof/>
          <w:szCs w:val="24"/>
        </w:rPr>
        <w:t>Modelo pedagógico con enfoque sociocultural para mejorar el desempeño profesional en la Escuela Latinoamericana de Medicina</w:t>
      </w:r>
      <w:r w:rsidRPr="00152805">
        <w:rPr>
          <w:rFonts w:ascii="Arial Narrow" w:hAnsi="Arial Narrow" w:cs="Times New Roman"/>
          <w:noProof/>
          <w:szCs w:val="24"/>
        </w:rPr>
        <w:t xml:space="preserve">. </w:t>
      </w:r>
      <w:r w:rsidRPr="00152805">
        <w:rPr>
          <w:rFonts w:ascii="Arial Narrow" w:hAnsi="Arial Narrow" w:cs="Times New Roman"/>
          <w:i/>
          <w:iCs/>
          <w:noProof/>
          <w:szCs w:val="24"/>
        </w:rPr>
        <w:t>14</w:t>
      </w:r>
      <w:r w:rsidRPr="00152805">
        <w:rPr>
          <w:rFonts w:ascii="Arial Narrow" w:hAnsi="Arial Narrow" w:cs="Times New Roman"/>
          <w:noProof/>
          <w:szCs w:val="24"/>
        </w:rPr>
        <w:t>(1), 67–69.</w:t>
      </w:r>
    </w:p>
    <w:p w14:paraId="4CB2BA47"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Porras, S. M., Saavedra, R. A., Sierra, L. J., González, R. T., Martínez, J. R., &amp; Stashenko, E. E. (2023). </w:t>
      </w:r>
      <w:r w:rsidRPr="00467C30">
        <w:rPr>
          <w:rFonts w:ascii="Arial Narrow" w:hAnsi="Arial Narrow" w:cs="Times New Roman"/>
          <w:noProof/>
          <w:szCs w:val="24"/>
          <w:lang w:val="en-US"/>
        </w:rPr>
        <w:t xml:space="preserve">Chemical Characterization and Determination of the Antioxidant Properties of Phenolic Compounds in Three Scutellaria sp. </w:t>
      </w:r>
      <w:r w:rsidRPr="00152805">
        <w:rPr>
          <w:rFonts w:ascii="Arial Narrow" w:hAnsi="Arial Narrow" w:cs="Times New Roman"/>
          <w:noProof/>
          <w:szCs w:val="24"/>
        </w:rPr>
        <w:t xml:space="preserve">Plants Grown in Colombia. </w:t>
      </w:r>
      <w:r w:rsidRPr="00152805">
        <w:rPr>
          <w:rFonts w:ascii="Arial Narrow" w:hAnsi="Arial Narrow" w:cs="Times New Roman"/>
          <w:i/>
          <w:iCs/>
          <w:noProof/>
          <w:szCs w:val="24"/>
        </w:rPr>
        <w:t>Molecules</w:t>
      </w:r>
      <w:r w:rsidRPr="00152805">
        <w:rPr>
          <w:rFonts w:ascii="Arial Narrow" w:hAnsi="Arial Narrow" w:cs="Times New Roman"/>
          <w:noProof/>
          <w:szCs w:val="24"/>
        </w:rPr>
        <w:t xml:space="preserve">, </w:t>
      </w:r>
      <w:r w:rsidRPr="00152805">
        <w:rPr>
          <w:rFonts w:ascii="Arial Narrow" w:hAnsi="Arial Narrow" w:cs="Times New Roman"/>
          <w:i/>
          <w:iCs/>
          <w:noProof/>
          <w:szCs w:val="24"/>
        </w:rPr>
        <w:t>28</w:t>
      </w:r>
      <w:r w:rsidRPr="00152805">
        <w:rPr>
          <w:rFonts w:ascii="Arial Narrow" w:hAnsi="Arial Narrow" w:cs="Times New Roman"/>
          <w:noProof/>
          <w:szCs w:val="24"/>
        </w:rPr>
        <w:t>(8). https://doi.org/10.3390/molecules28083474</w:t>
      </w:r>
    </w:p>
    <w:p w14:paraId="7FA123DC"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Puenayan Piñan, M. R., Estupiñan Suárez, M. G., Vásquez Sampedro, N. M., Almeida Almachi, L. P., &amp; Abad Jiménez, N. I. (2024). El Aprendizaje Basado en Proyectos (ABP) como Estrategia Didáctica para Mejorar el Rendimiento Académico. </w:t>
      </w:r>
      <w:r w:rsidRPr="00152805">
        <w:rPr>
          <w:rFonts w:ascii="Arial Narrow" w:hAnsi="Arial Narrow" w:cs="Times New Roman"/>
          <w:i/>
          <w:iCs/>
          <w:noProof/>
          <w:szCs w:val="24"/>
        </w:rPr>
        <w:t>Ciencia Latina Revista Científica Multidisciplinar</w:t>
      </w:r>
      <w:r w:rsidRPr="00152805">
        <w:rPr>
          <w:rFonts w:ascii="Arial Narrow" w:hAnsi="Arial Narrow" w:cs="Times New Roman"/>
          <w:noProof/>
          <w:szCs w:val="24"/>
        </w:rPr>
        <w:t xml:space="preserve">, </w:t>
      </w:r>
      <w:r w:rsidRPr="00152805">
        <w:rPr>
          <w:rFonts w:ascii="Arial Narrow" w:hAnsi="Arial Narrow" w:cs="Times New Roman"/>
          <w:i/>
          <w:iCs/>
          <w:noProof/>
          <w:szCs w:val="24"/>
        </w:rPr>
        <w:t>8</w:t>
      </w:r>
      <w:r w:rsidRPr="00152805">
        <w:rPr>
          <w:rFonts w:ascii="Arial Narrow" w:hAnsi="Arial Narrow" w:cs="Times New Roman"/>
          <w:noProof/>
          <w:szCs w:val="24"/>
        </w:rPr>
        <w:t>(4), 10447–10459. https://doi.org/10.37811/cl_rcm.v8i4.13186</w:t>
      </w:r>
    </w:p>
    <w:p w14:paraId="63E9A89B"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cs="Times New Roman"/>
          <w:noProof/>
          <w:szCs w:val="24"/>
        </w:rPr>
      </w:pPr>
      <w:r w:rsidRPr="00152805">
        <w:rPr>
          <w:rFonts w:ascii="Arial Narrow" w:hAnsi="Arial Narrow" w:cs="Times New Roman"/>
          <w:noProof/>
          <w:szCs w:val="24"/>
        </w:rPr>
        <w:t xml:space="preserve">Risaliti, L., Pini, G., Ascrizzi, R., Donato, R., Sacco, C., Camilla, M., Cristina, M., &amp; Rita, A. (2020). </w:t>
      </w:r>
      <w:r w:rsidRPr="00467C30">
        <w:rPr>
          <w:rFonts w:ascii="Arial Narrow" w:hAnsi="Arial Narrow" w:cs="Times New Roman"/>
          <w:i/>
          <w:iCs/>
          <w:noProof/>
          <w:szCs w:val="24"/>
          <w:lang w:val="en-US"/>
        </w:rPr>
        <w:t>Journal of Drug Delivery Science and Technology Artemisia annua essential oil extraction , characterization , and incorporation in nanoliposomes , smart drug delivery systems against Candida species</w:t>
      </w:r>
      <w:r w:rsidRPr="00467C30">
        <w:rPr>
          <w:rFonts w:ascii="Arial Narrow" w:hAnsi="Arial Narrow" w:cs="Times New Roman"/>
          <w:noProof/>
          <w:szCs w:val="24"/>
          <w:lang w:val="en-US"/>
        </w:rPr>
        <w:t xml:space="preserve">. </w:t>
      </w:r>
      <w:r w:rsidRPr="00152805">
        <w:rPr>
          <w:rFonts w:ascii="Arial Narrow" w:hAnsi="Arial Narrow" w:cs="Times New Roman"/>
          <w:i/>
          <w:iCs/>
          <w:noProof/>
          <w:szCs w:val="24"/>
        </w:rPr>
        <w:t>59</w:t>
      </w:r>
      <w:r w:rsidRPr="00152805">
        <w:rPr>
          <w:rFonts w:ascii="Arial Narrow" w:hAnsi="Arial Narrow" w:cs="Times New Roman"/>
          <w:noProof/>
          <w:szCs w:val="24"/>
        </w:rPr>
        <w:t>(June).</w:t>
      </w:r>
    </w:p>
    <w:p w14:paraId="15F61B8D"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152805">
        <w:rPr>
          <w:rFonts w:ascii="Arial Narrow" w:hAnsi="Arial Narrow" w:cs="Times New Roman"/>
          <w:noProof/>
          <w:szCs w:val="24"/>
        </w:rPr>
        <w:t xml:space="preserve">Roman-Benn, A., Contador, C. A., Li, M. W., Lam, H. M., Ah-Hen, K., Ulloa, P. E., &amp; Ravanal, M. C. (2023). </w:t>
      </w:r>
      <w:r w:rsidRPr="00467C30">
        <w:rPr>
          <w:rFonts w:ascii="Arial Narrow" w:hAnsi="Arial Narrow" w:cs="Times New Roman"/>
          <w:noProof/>
          <w:szCs w:val="24"/>
          <w:lang w:val="en-US"/>
        </w:rPr>
        <w:t xml:space="preserve">Pectin: An overview of sources, extraction and applications in food products, biomedical, pharmaceutical and environmental issues. </w:t>
      </w:r>
      <w:r w:rsidRPr="00467C30">
        <w:rPr>
          <w:rFonts w:ascii="Arial Narrow" w:hAnsi="Arial Narrow" w:cs="Times New Roman"/>
          <w:i/>
          <w:iCs/>
          <w:noProof/>
          <w:szCs w:val="24"/>
          <w:lang w:val="en-US"/>
        </w:rPr>
        <w:t>Food Chemistry Advances</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2</w:t>
      </w:r>
      <w:r w:rsidRPr="00467C30">
        <w:rPr>
          <w:rFonts w:ascii="Arial Narrow" w:hAnsi="Arial Narrow" w:cs="Times New Roman"/>
          <w:noProof/>
          <w:szCs w:val="24"/>
          <w:lang w:val="en-US"/>
        </w:rPr>
        <w:t>(December 2022), 100192. https://doi.org/10.1016/j.focha.2023.100192</w:t>
      </w:r>
    </w:p>
    <w:p w14:paraId="1D8BB083"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467C30">
        <w:rPr>
          <w:rFonts w:ascii="Arial Narrow" w:hAnsi="Arial Narrow" w:cs="Times New Roman"/>
          <w:noProof/>
          <w:szCs w:val="24"/>
          <w:lang w:val="en-US"/>
        </w:rPr>
        <w:t xml:space="preserve">Solomakou, N., Loukri, A., Tsafrakidou, P., Michaelidou, A. M., Mourtzinos, I., &amp; Goula, A. M. (2022). Recovery of phenolic compounds from spent coffee grounds through optimized extraction processes. </w:t>
      </w:r>
      <w:r w:rsidRPr="00467C30">
        <w:rPr>
          <w:rFonts w:ascii="Arial Narrow" w:hAnsi="Arial Narrow" w:cs="Times New Roman"/>
          <w:i/>
          <w:iCs/>
          <w:noProof/>
          <w:szCs w:val="24"/>
          <w:lang w:val="en-US"/>
        </w:rPr>
        <w:t xml:space="preserve">Sustainable </w:t>
      </w:r>
      <w:r w:rsidRPr="00467C30">
        <w:rPr>
          <w:rFonts w:ascii="Arial Narrow" w:hAnsi="Arial Narrow" w:cs="Times New Roman"/>
          <w:i/>
          <w:iCs/>
          <w:noProof/>
          <w:szCs w:val="24"/>
          <w:lang w:val="en-US"/>
        </w:rPr>
        <w:lastRenderedPageBreak/>
        <w:t>Chemistry and Pharmacy</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25</w:t>
      </w:r>
      <w:r w:rsidRPr="00467C30">
        <w:rPr>
          <w:rFonts w:ascii="Arial Narrow" w:hAnsi="Arial Narrow" w:cs="Times New Roman"/>
          <w:noProof/>
          <w:szCs w:val="24"/>
          <w:lang w:val="en-US"/>
        </w:rPr>
        <w:t>(December 2021). https://doi.org/10.1016/j.scp.2021.100592</w:t>
      </w:r>
    </w:p>
    <w:p w14:paraId="12FF6596" w14:textId="77777777" w:rsidR="00152805" w:rsidRPr="00467C30" w:rsidRDefault="00152805" w:rsidP="00152805">
      <w:pPr>
        <w:widowControl w:val="0"/>
        <w:autoSpaceDE w:val="0"/>
        <w:autoSpaceDN w:val="0"/>
        <w:adjustRightInd w:val="0"/>
        <w:spacing w:line="240" w:lineRule="auto"/>
        <w:ind w:left="480" w:hanging="480"/>
        <w:rPr>
          <w:rFonts w:ascii="Arial Narrow" w:hAnsi="Arial Narrow" w:cs="Times New Roman"/>
          <w:noProof/>
          <w:szCs w:val="24"/>
          <w:lang w:val="en-US"/>
        </w:rPr>
      </w:pPr>
      <w:r w:rsidRPr="00467C30">
        <w:rPr>
          <w:rFonts w:ascii="Arial Narrow" w:hAnsi="Arial Narrow" w:cs="Times New Roman"/>
          <w:noProof/>
          <w:szCs w:val="24"/>
          <w:lang w:val="en-US"/>
        </w:rPr>
        <w:t xml:space="preserve">Toplicean, I. M., &amp; Datcu, A. D. (2024). An Overview on Bioeconomy in Agricultural Sector, Biomass Production, Recycling Methods, and Circular Economy Considerations. </w:t>
      </w:r>
      <w:r w:rsidRPr="00467C30">
        <w:rPr>
          <w:rFonts w:ascii="Arial Narrow" w:hAnsi="Arial Narrow" w:cs="Times New Roman"/>
          <w:i/>
          <w:iCs/>
          <w:noProof/>
          <w:szCs w:val="24"/>
          <w:lang w:val="en-US"/>
        </w:rPr>
        <w:t>Agriculture (Switzerland)</w:t>
      </w:r>
      <w:r w:rsidRPr="00467C30">
        <w:rPr>
          <w:rFonts w:ascii="Arial Narrow" w:hAnsi="Arial Narrow" w:cs="Times New Roman"/>
          <w:noProof/>
          <w:szCs w:val="24"/>
          <w:lang w:val="en-US"/>
        </w:rPr>
        <w:t xml:space="preserve">, </w:t>
      </w:r>
      <w:r w:rsidRPr="00467C30">
        <w:rPr>
          <w:rFonts w:ascii="Arial Narrow" w:hAnsi="Arial Narrow" w:cs="Times New Roman"/>
          <w:i/>
          <w:iCs/>
          <w:noProof/>
          <w:szCs w:val="24"/>
          <w:lang w:val="en-US"/>
        </w:rPr>
        <w:t>14</w:t>
      </w:r>
      <w:r w:rsidRPr="00467C30">
        <w:rPr>
          <w:rFonts w:ascii="Arial Narrow" w:hAnsi="Arial Narrow" w:cs="Times New Roman"/>
          <w:noProof/>
          <w:szCs w:val="24"/>
          <w:lang w:val="en-US"/>
        </w:rPr>
        <w:t>(7). https://doi.org/10.3390/agriculture14071143</w:t>
      </w:r>
    </w:p>
    <w:p w14:paraId="6AE8F6B8" w14:textId="77777777" w:rsidR="00152805" w:rsidRPr="00152805" w:rsidRDefault="00152805" w:rsidP="00152805">
      <w:pPr>
        <w:widowControl w:val="0"/>
        <w:autoSpaceDE w:val="0"/>
        <w:autoSpaceDN w:val="0"/>
        <w:adjustRightInd w:val="0"/>
        <w:spacing w:line="240" w:lineRule="auto"/>
        <w:ind w:left="480" w:hanging="480"/>
        <w:rPr>
          <w:rFonts w:ascii="Arial Narrow" w:hAnsi="Arial Narrow"/>
          <w:noProof/>
        </w:rPr>
      </w:pPr>
      <w:r w:rsidRPr="00467C30">
        <w:rPr>
          <w:rFonts w:ascii="Arial Narrow" w:hAnsi="Arial Narrow" w:cs="Times New Roman"/>
          <w:noProof/>
          <w:szCs w:val="24"/>
          <w:lang w:val="en-US"/>
        </w:rPr>
        <w:t>Zarski, A., Bajer, K., &amp; Kapuśniak, J. (2021). Review of the most important methods of improving the processing properties of starch toward non</w:t>
      </w:r>
      <w:r w:rsidRPr="00467C30">
        <w:rPr>
          <w:rFonts w:ascii="Cambria Math" w:hAnsi="Cambria Math" w:cs="Cambria Math"/>
          <w:noProof/>
          <w:szCs w:val="24"/>
          <w:lang w:val="en-US"/>
        </w:rPr>
        <w:t>‐</w:t>
      </w:r>
      <w:r w:rsidRPr="00467C30">
        <w:rPr>
          <w:rFonts w:ascii="Arial Narrow" w:hAnsi="Arial Narrow" w:cs="Times New Roman"/>
          <w:noProof/>
          <w:szCs w:val="24"/>
          <w:lang w:val="en-US"/>
        </w:rPr>
        <w:t xml:space="preserve">food applications. </w:t>
      </w:r>
      <w:r w:rsidRPr="00152805">
        <w:rPr>
          <w:rFonts w:ascii="Arial Narrow" w:hAnsi="Arial Narrow" w:cs="Times New Roman"/>
          <w:i/>
          <w:iCs/>
          <w:noProof/>
          <w:szCs w:val="24"/>
        </w:rPr>
        <w:t>Polymers</w:t>
      </w:r>
      <w:r w:rsidRPr="00152805">
        <w:rPr>
          <w:rFonts w:ascii="Arial Narrow" w:hAnsi="Arial Narrow" w:cs="Times New Roman"/>
          <w:noProof/>
          <w:szCs w:val="24"/>
        </w:rPr>
        <w:t xml:space="preserve">, </w:t>
      </w:r>
      <w:r w:rsidRPr="00152805">
        <w:rPr>
          <w:rFonts w:ascii="Arial Narrow" w:hAnsi="Arial Narrow" w:cs="Times New Roman"/>
          <w:i/>
          <w:iCs/>
          <w:noProof/>
          <w:szCs w:val="24"/>
        </w:rPr>
        <w:t>13</w:t>
      </w:r>
      <w:r w:rsidRPr="00152805">
        <w:rPr>
          <w:rFonts w:ascii="Arial Narrow" w:hAnsi="Arial Narrow" w:cs="Times New Roman"/>
          <w:noProof/>
          <w:szCs w:val="24"/>
        </w:rPr>
        <w:t>(5), 1–33. https://doi.org/10.3390/polym13050832</w:t>
      </w:r>
    </w:p>
    <w:p w14:paraId="33071512" w14:textId="131BB1BC" w:rsidR="000A41E5" w:rsidRPr="00DC6CBD" w:rsidRDefault="000A41E5" w:rsidP="00C72E03">
      <w:pPr>
        <w:spacing w:line="276" w:lineRule="auto"/>
        <w:jc w:val="both"/>
        <w:rPr>
          <w:rFonts w:ascii="Arial Narrow" w:hAnsi="Arial Narrow"/>
          <w:lang w:val="es-ES"/>
        </w:rPr>
      </w:pPr>
      <w:r>
        <w:rPr>
          <w:rFonts w:ascii="Arial Narrow" w:hAnsi="Arial Narrow"/>
          <w:lang w:val="es-ES"/>
        </w:rPr>
        <w:fldChar w:fldCharType="end"/>
      </w:r>
    </w:p>
    <w:sectPr w:rsidR="000A41E5" w:rsidRPr="00DC6CB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E46DE" w14:textId="77777777" w:rsidR="00FF5728" w:rsidRDefault="00FF5728" w:rsidP="00367088">
      <w:pPr>
        <w:spacing w:after="0" w:line="240" w:lineRule="auto"/>
      </w:pPr>
      <w:r>
        <w:separator/>
      </w:r>
    </w:p>
  </w:endnote>
  <w:endnote w:type="continuationSeparator" w:id="0">
    <w:p w14:paraId="6F64F0C8" w14:textId="77777777" w:rsidR="00FF5728" w:rsidRDefault="00FF5728" w:rsidP="00367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FA289" w14:textId="77777777" w:rsidR="00FF5728" w:rsidRDefault="00FF5728" w:rsidP="00367088">
      <w:pPr>
        <w:spacing w:after="0" w:line="240" w:lineRule="auto"/>
      </w:pPr>
      <w:r>
        <w:separator/>
      </w:r>
    </w:p>
  </w:footnote>
  <w:footnote w:type="continuationSeparator" w:id="0">
    <w:p w14:paraId="72E521EA" w14:textId="77777777" w:rsidR="00FF5728" w:rsidRDefault="00FF5728" w:rsidP="00367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E3779"/>
    <w:multiLevelType w:val="multilevel"/>
    <w:tmpl w:val="00D8A3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4C73D5"/>
    <w:multiLevelType w:val="hybridMultilevel"/>
    <w:tmpl w:val="E2162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FE601B"/>
    <w:multiLevelType w:val="hybridMultilevel"/>
    <w:tmpl w:val="FE46470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1465F"/>
    <w:multiLevelType w:val="hybridMultilevel"/>
    <w:tmpl w:val="B582AF84"/>
    <w:lvl w:ilvl="0" w:tplc="C61C95E4">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847D48"/>
    <w:multiLevelType w:val="hybridMultilevel"/>
    <w:tmpl w:val="19067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166237A"/>
    <w:multiLevelType w:val="hybridMultilevel"/>
    <w:tmpl w:val="C90E91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8B2B81"/>
    <w:multiLevelType w:val="hybridMultilevel"/>
    <w:tmpl w:val="1E4807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5C62D71"/>
    <w:multiLevelType w:val="hybridMultilevel"/>
    <w:tmpl w:val="0CE28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B271032"/>
    <w:multiLevelType w:val="hybridMultilevel"/>
    <w:tmpl w:val="1362F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41F0ABE"/>
    <w:multiLevelType w:val="hybridMultilevel"/>
    <w:tmpl w:val="5852BB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8"/>
  </w:num>
  <w:num w:numId="5">
    <w:abstractNumId w:val="1"/>
  </w:num>
  <w:num w:numId="6">
    <w:abstractNumId w:val="7"/>
  </w:num>
  <w:num w:numId="7">
    <w:abstractNumId w:val="2"/>
  </w:num>
  <w:num w:numId="8">
    <w:abstractNumId w:val="9"/>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CBD"/>
    <w:rsid w:val="00050692"/>
    <w:rsid w:val="000A41E5"/>
    <w:rsid w:val="000E25EB"/>
    <w:rsid w:val="00152805"/>
    <w:rsid w:val="001B7EF6"/>
    <w:rsid w:val="00292317"/>
    <w:rsid w:val="00353305"/>
    <w:rsid w:val="00367088"/>
    <w:rsid w:val="00372DF0"/>
    <w:rsid w:val="00383D1A"/>
    <w:rsid w:val="003A7177"/>
    <w:rsid w:val="004046DF"/>
    <w:rsid w:val="00416B18"/>
    <w:rsid w:val="004218DA"/>
    <w:rsid w:val="00467C30"/>
    <w:rsid w:val="004E645B"/>
    <w:rsid w:val="005874E1"/>
    <w:rsid w:val="005A2D5F"/>
    <w:rsid w:val="005D3871"/>
    <w:rsid w:val="0060029F"/>
    <w:rsid w:val="0060220E"/>
    <w:rsid w:val="00610230"/>
    <w:rsid w:val="00642DFC"/>
    <w:rsid w:val="0064615C"/>
    <w:rsid w:val="006E5599"/>
    <w:rsid w:val="007313C0"/>
    <w:rsid w:val="00744100"/>
    <w:rsid w:val="007616D1"/>
    <w:rsid w:val="007A666D"/>
    <w:rsid w:val="00876296"/>
    <w:rsid w:val="008823B6"/>
    <w:rsid w:val="008D6FEF"/>
    <w:rsid w:val="008F3E55"/>
    <w:rsid w:val="00932A51"/>
    <w:rsid w:val="009A3C35"/>
    <w:rsid w:val="009D477B"/>
    <w:rsid w:val="00A52E60"/>
    <w:rsid w:val="00A84B62"/>
    <w:rsid w:val="00B13C20"/>
    <w:rsid w:val="00B769A2"/>
    <w:rsid w:val="00BB7AA5"/>
    <w:rsid w:val="00C40316"/>
    <w:rsid w:val="00C72E03"/>
    <w:rsid w:val="00CB5569"/>
    <w:rsid w:val="00CC6778"/>
    <w:rsid w:val="00D022C7"/>
    <w:rsid w:val="00D25EA0"/>
    <w:rsid w:val="00D5188C"/>
    <w:rsid w:val="00D82F28"/>
    <w:rsid w:val="00DA0508"/>
    <w:rsid w:val="00DA24F7"/>
    <w:rsid w:val="00DC6CBD"/>
    <w:rsid w:val="00DC791F"/>
    <w:rsid w:val="00E426C4"/>
    <w:rsid w:val="00E443C9"/>
    <w:rsid w:val="00E82CD1"/>
    <w:rsid w:val="00EA7357"/>
    <w:rsid w:val="00FE318C"/>
    <w:rsid w:val="00FF57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EFEFC"/>
  <w15:chartTrackingRefBased/>
  <w15:docId w15:val="{B0349487-FAA0-4209-BDAB-5E52FAD28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046DF"/>
    <w:pPr>
      <w:ind w:left="720"/>
      <w:contextualSpacing/>
    </w:pPr>
  </w:style>
  <w:style w:type="paragraph" w:styleId="NormalWeb">
    <w:name w:val="Normal (Web)"/>
    <w:basedOn w:val="Normal"/>
    <w:uiPriority w:val="99"/>
    <w:semiHidden/>
    <w:unhideWhenUsed/>
    <w:rsid w:val="008F3E5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932A5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6708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67088"/>
    <w:rPr>
      <w:sz w:val="20"/>
      <w:szCs w:val="20"/>
    </w:rPr>
  </w:style>
  <w:style w:type="character" w:styleId="Refdenotaalpie">
    <w:name w:val="footnote reference"/>
    <w:basedOn w:val="Fuentedeprrafopredeter"/>
    <w:uiPriority w:val="99"/>
    <w:semiHidden/>
    <w:unhideWhenUsed/>
    <w:rsid w:val="003670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8689">
      <w:bodyDiv w:val="1"/>
      <w:marLeft w:val="0"/>
      <w:marRight w:val="0"/>
      <w:marTop w:val="0"/>
      <w:marBottom w:val="0"/>
      <w:divBdr>
        <w:top w:val="none" w:sz="0" w:space="0" w:color="auto"/>
        <w:left w:val="none" w:sz="0" w:space="0" w:color="auto"/>
        <w:bottom w:val="none" w:sz="0" w:space="0" w:color="auto"/>
        <w:right w:val="none" w:sz="0" w:space="0" w:color="auto"/>
      </w:divBdr>
    </w:div>
    <w:div w:id="281498447">
      <w:bodyDiv w:val="1"/>
      <w:marLeft w:val="0"/>
      <w:marRight w:val="0"/>
      <w:marTop w:val="0"/>
      <w:marBottom w:val="0"/>
      <w:divBdr>
        <w:top w:val="none" w:sz="0" w:space="0" w:color="auto"/>
        <w:left w:val="none" w:sz="0" w:space="0" w:color="auto"/>
        <w:bottom w:val="none" w:sz="0" w:space="0" w:color="auto"/>
        <w:right w:val="none" w:sz="0" w:space="0" w:color="auto"/>
      </w:divBdr>
      <w:divsChild>
        <w:div w:id="1322809803">
          <w:marLeft w:val="0"/>
          <w:marRight w:val="0"/>
          <w:marTop w:val="0"/>
          <w:marBottom w:val="0"/>
          <w:divBdr>
            <w:top w:val="none" w:sz="0" w:space="0" w:color="auto"/>
            <w:left w:val="none" w:sz="0" w:space="0" w:color="auto"/>
            <w:bottom w:val="none" w:sz="0" w:space="0" w:color="auto"/>
            <w:right w:val="none" w:sz="0" w:space="0" w:color="auto"/>
          </w:divBdr>
        </w:div>
      </w:divsChild>
    </w:div>
    <w:div w:id="299573554">
      <w:bodyDiv w:val="1"/>
      <w:marLeft w:val="0"/>
      <w:marRight w:val="0"/>
      <w:marTop w:val="0"/>
      <w:marBottom w:val="0"/>
      <w:divBdr>
        <w:top w:val="none" w:sz="0" w:space="0" w:color="auto"/>
        <w:left w:val="none" w:sz="0" w:space="0" w:color="auto"/>
        <w:bottom w:val="none" w:sz="0" w:space="0" w:color="auto"/>
        <w:right w:val="none" w:sz="0" w:space="0" w:color="auto"/>
      </w:divBdr>
    </w:div>
    <w:div w:id="623200159">
      <w:bodyDiv w:val="1"/>
      <w:marLeft w:val="0"/>
      <w:marRight w:val="0"/>
      <w:marTop w:val="0"/>
      <w:marBottom w:val="0"/>
      <w:divBdr>
        <w:top w:val="none" w:sz="0" w:space="0" w:color="auto"/>
        <w:left w:val="none" w:sz="0" w:space="0" w:color="auto"/>
        <w:bottom w:val="none" w:sz="0" w:space="0" w:color="auto"/>
        <w:right w:val="none" w:sz="0" w:space="0" w:color="auto"/>
      </w:divBdr>
    </w:div>
    <w:div w:id="878929434">
      <w:bodyDiv w:val="1"/>
      <w:marLeft w:val="0"/>
      <w:marRight w:val="0"/>
      <w:marTop w:val="0"/>
      <w:marBottom w:val="0"/>
      <w:divBdr>
        <w:top w:val="none" w:sz="0" w:space="0" w:color="auto"/>
        <w:left w:val="none" w:sz="0" w:space="0" w:color="auto"/>
        <w:bottom w:val="none" w:sz="0" w:space="0" w:color="auto"/>
        <w:right w:val="none" w:sz="0" w:space="0" w:color="auto"/>
      </w:divBdr>
    </w:div>
    <w:div w:id="918439651">
      <w:bodyDiv w:val="1"/>
      <w:marLeft w:val="0"/>
      <w:marRight w:val="0"/>
      <w:marTop w:val="0"/>
      <w:marBottom w:val="0"/>
      <w:divBdr>
        <w:top w:val="none" w:sz="0" w:space="0" w:color="auto"/>
        <w:left w:val="none" w:sz="0" w:space="0" w:color="auto"/>
        <w:bottom w:val="none" w:sz="0" w:space="0" w:color="auto"/>
        <w:right w:val="none" w:sz="0" w:space="0" w:color="auto"/>
      </w:divBdr>
      <w:divsChild>
        <w:div w:id="881987523">
          <w:marLeft w:val="0"/>
          <w:marRight w:val="0"/>
          <w:marTop w:val="0"/>
          <w:marBottom w:val="0"/>
          <w:divBdr>
            <w:top w:val="none" w:sz="0" w:space="0" w:color="auto"/>
            <w:left w:val="none" w:sz="0" w:space="0" w:color="auto"/>
            <w:bottom w:val="none" w:sz="0" w:space="0" w:color="auto"/>
            <w:right w:val="none" w:sz="0" w:space="0" w:color="auto"/>
          </w:divBdr>
        </w:div>
      </w:divsChild>
    </w:div>
    <w:div w:id="949703468">
      <w:bodyDiv w:val="1"/>
      <w:marLeft w:val="0"/>
      <w:marRight w:val="0"/>
      <w:marTop w:val="0"/>
      <w:marBottom w:val="0"/>
      <w:divBdr>
        <w:top w:val="none" w:sz="0" w:space="0" w:color="auto"/>
        <w:left w:val="none" w:sz="0" w:space="0" w:color="auto"/>
        <w:bottom w:val="none" w:sz="0" w:space="0" w:color="auto"/>
        <w:right w:val="none" w:sz="0" w:space="0" w:color="auto"/>
      </w:divBdr>
    </w:div>
    <w:div w:id="1077359803">
      <w:bodyDiv w:val="1"/>
      <w:marLeft w:val="0"/>
      <w:marRight w:val="0"/>
      <w:marTop w:val="0"/>
      <w:marBottom w:val="0"/>
      <w:divBdr>
        <w:top w:val="none" w:sz="0" w:space="0" w:color="auto"/>
        <w:left w:val="none" w:sz="0" w:space="0" w:color="auto"/>
        <w:bottom w:val="none" w:sz="0" w:space="0" w:color="auto"/>
        <w:right w:val="none" w:sz="0" w:space="0" w:color="auto"/>
      </w:divBdr>
    </w:div>
    <w:div w:id="1106996158">
      <w:bodyDiv w:val="1"/>
      <w:marLeft w:val="0"/>
      <w:marRight w:val="0"/>
      <w:marTop w:val="0"/>
      <w:marBottom w:val="0"/>
      <w:divBdr>
        <w:top w:val="none" w:sz="0" w:space="0" w:color="auto"/>
        <w:left w:val="none" w:sz="0" w:space="0" w:color="auto"/>
        <w:bottom w:val="none" w:sz="0" w:space="0" w:color="auto"/>
        <w:right w:val="none" w:sz="0" w:space="0" w:color="auto"/>
      </w:divBdr>
      <w:divsChild>
        <w:div w:id="1789814749">
          <w:marLeft w:val="0"/>
          <w:marRight w:val="0"/>
          <w:marTop w:val="0"/>
          <w:marBottom w:val="0"/>
          <w:divBdr>
            <w:top w:val="none" w:sz="0" w:space="0" w:color="auto"/>
            <w:left w:val="none" w:sz="0" w:space="0" w:color="auto"/>
            <w:bottom w:val="none" w:sz="0" w:space="0" w:color="auto"/>
            <w:right w:val="none" w:sz="0" w:space="0" w:color="auto"/>
          </w:divBdr>
        </w:div>
      </w:divsChild>
    </w:div>
    <w:div w:id="1284800059">
      <w:bodyDiv w:val="1"/>
      <w:marLeft w:val="0"/>
      <w:marRight w:val="0"/>
      <w:marTop w:val="0"/>
      <w:marBottom w:val="0"/>
      <w:divBdr>
        <w:top w:val="none" w:sz="0" w:space="0" w:color="auto"/>
        <w:left w:val="none" w:sz="0" w:space="0" w:color="auto"/>
        <w:bottom w:val="none" w:sz="0" w:space="0" w:color="auto"/>
        <w:right w:val="none" w:sz="0" w:space="0" w:color="auto"/>
      </w:divBdr>
    </w:div>
    <w:div w:id="1289438125">
      <w:bodyDiv w:val="1"/>
      <w:marLeft w:val="0"/>
      <w:marRight w:val="0"/>
      <w:marTop w:val="0"/>
      <w:marBottom w:val="0"/>
      <w:divBdr>
        <w:top w:val="none" w:sz="0" w:space="0" w:color="auto"/>
        <w:left w:val="none" w:sz="0" w:space="0" w:color="auto"/>
        <w:bottom w:val="none" w:sz="0" w:space="0" w:color="auto"/>
        <w:right w:val="none" w:sz="0" w:space="0" w:color="auto"/>
      </w:divBdr>
    </w:div>
    <w:div w:id="1417167486">
      <w:bodyDiv w:val="1"/>
      <w:marLeft w:val="0"/>
      <w:marRight w:val="0"/>
      <w:marTop w:val="0"/>
      <w:marBottom w:val="0"/>
      <w:divBdr>
        <w:top w:val="none" w:sz="0" w:space="0" w:color="auto"/>
        <w:left w:val="none" w:sz="0" w:space="0" w:color="auto"/>
        <w:bottom w:val="none" w:sz="0" w:space="0" w:color="auto"/>
        <w:right w:val="none" w:sz="0" w:space="0" w:color="auto"/>
      </w:divBdr>
      <w:divsChild>
        <w:div w:id="1847555629">
          <w:marLeft w:val="0"/>
          <w:marRight w:val="0"/>
          <w:marTop w:val="0"/>
          <w:marBottom w:val="0"/>
          <w:divBdr>
            <w:top w:val="none" w:sz="0" w:space="0" w:color="auto"/>
            <w:left w:val="none" w:sz="0" w:space="0" w:color="auto"/>
            <w:bottom w:val="none" w:sz="0" w:space="0" w:color="auto"/>
            <w:right w:val="none" w:sz="0" w:space="0" w:color="auto"/>
          </w:divBdr>
        </w:div>
      </w:divsChild>
    </w:div>
    <w:div w:id="1499928406">
      <w:bodyDiv w:val="1"/>
      <w:marLeft w:val="0"/>
      <w:marRight w:val="0"/>
      <w:marTop w:val="0"/>
      <w:marBottom w:val="0"/>
      <w:divBdr>
        <w:top w:val="none" w:sz="0" w:space="0" w:color="auto"/>
        <w:left w:val="none" w:sz="0" w:space="0" w:color="auto"/>
        <w:bottom w:val="none" w:sz="0" w:space="0" w:color="auto"/>
        <w:right w:val="none" w:sz="0" w:space="0" w:color="auto"/>
      </w:divBdr>
      <w:divsChild>
        <w:div w:id="128516478">
          <w:marLeft w:val="0"/>
          <w:marRight w:val="0"/>
          <w:marTop w:val="0"/>
          <w:marBottom w:val="0"/>
          <w:divBdr>
            <w:top w:val="none" w:sz="0" w:space="0" w:color="auto"/>
            <w:left w:val="none" w:sz="0" w:space="0" w:color="auto"/>
            <w:bottom w:val="none" w:sz="0" w:space="0" w:color="auto"/>
            <w:right w:val="none" w:sz="0" w:space="0" w:color="auto"/>
          </w:divBdr>
        </w:div>
      </w:divsChild>
    </w:div>
    <w:div w:id="1579829735">
      <w:bodyDiv w:val="1"/>
      <w:marLeft w:val="0"/>
      <w:marRight w:val="0"/>
      <w:marTop w:val="0"/>
      <w:marBottom w:val="0"/>
      <w:divBdr>
        <w:top w:val="none" w:sz="0" w:space="0" w:color="auto"/>
        <w:left w:val="none" w:sz="0" w:space="0" w:color="auto"/>
        <w:bottom w:val="none" w:sz="0" w:space="0" w:color="auto"/>
        <w:right w:val="none" w:sz="0" w:space="0" w:color="auto"/>
      </w:divBdr>
      <w:divsChild>
        <w:div w:id="270094397">
          <w:marLeft w:val="0"/>
          <w:marRight w:val="0"/>
          <w:marTop w:val="0"/>
          <w:marBottom w:val="0"/>
          <w:divBdr>
            <w:top w:val="none" w:sz="0" w:space="0" w:color="auto"/>
            <w:left w:val="none" w:sz="0" w:space="0" w:color="auto"/>
            <w:bottom w:val="none" w:sz="0" w:space="0" w:color="auto"/>
            <w:right w:val="none" w:sz="0" w:space="0" w:color="auto"/>
          </w:divBdr>
        </w:div>
      </w:divsChild>
    </w:div>
    <w:div w:id="1727488753">
      <w:bodyDiv w:val="1"/>
      <w:marLeft w:val="0"/>
      <w:marRight w:val="0"/>
      <w:marTop w:val="0"/>
      <w:marBottom w:val="0"/>
      <w:divBdr>
        <w:top w:val="none" w:sz="0" w:space="0" w:color="auto"/>
        <w:left w:val="none" w:sz="0" w:space="0" w:color="auto"/>
        <w:bottom w:val="none" w:sz="0" w:space="0" w:color="auto"/>
        <w:right w:val="none" w:sz="0" w:space="0" w:color="auto"/>
      </w:divBdr>
      <w:divsChild>
        <w:div w:id="1970739811">
          <w:marLeft w:val="0"/>
          <w:marRight w:val="0"/>
          <w:marTop w:val="0"/>
          <w:marBottom w:val="0"/>
          <w:divBdr>
            <w:top w:val="none" w:sz="0" w:space="0" w:color="auto"/>
            <w:left w:val="none" w:sz="0" w:space="0" w:color="auto"/>
            <w:bottom w:val="none" w:sz="0" w:space="0" w:color="auto"/>
            <w:right w:val="none" w:sz="0" w:space="0" w:color="auto"/>
          </w:divBdr>
        </w:div>
      </w:divsChild>
    </w:div>
    <w:div w:id="200423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122B0-2CD0-44D6-B42E-87B54DCCA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13796</Words>
  <Characters>75884</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Daniel Daza Ramirez</dc:creator>
  <cp:keywords/>
  <dc:description/>
  <cp:lastModifiedBy>Luis Daniel Daza Ramirez</cp:lastModifiedBy>
  <cp:revision>2</cp:revision>
  <dcterms:created xsi:type="dcterms:W3CDTF">2026-03-25T14:05:00Z</dcterms:created>
  <dcterms:modified xsi:type="dcterms:W3CDTF">2026-03-25T14:05:00Z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1a87e53e-daea-3a93-b5fc-91111d05b561</vt:lpwstr>
  </property>
  <property fmtid="{D5CDD505-2E9C-101B-9397-08002B2CF9AE}" pid="4" name="Mendeley Recent Style Id 0_1">
    <vt:lpwstr>http://www.zotero.org/styles/apa</vt:lpwstr>
  </property>
  <property fmtid="{D5CDD505-2E9C-101B-9397-08002B2CF9AE}" pid="5" name="Mendeley Recent Style Name 0_1">
    <vt:lpwstr>American Psychological Association 7th edition</vt:lpwstr>
  </property>
  <property fmtid="{D5CDD505-2E9C-101B-9397-08002B2CF9AE}" pid="6" name="Mendeley Recent Style Id 1_1">
    <vt:lpwstr>http://www.zotero.org/styles/carbohydrate-polymers</vt:lpwstr>
  </property>
  <property fmtid="{D5CDD505-2E9C-101B-9397-08002B2CF9AE}" pid="7" name="Mendeley Recent Style Name 1_1">
    <vt:lpwstr>Carbohydrate Polymers</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http://www.zotero.org/styles/chicago-note-bibliography</vt:lpwstr>
  </property>
  <property fmtid="{D5CDD505-2E9C-101B-9397-08002B2CF9AE}" pid="11" name="Mendeley Recent Style Name 3_1">
    <vt:lpwstr>Chicago Manual of Style 17th edition (note)</vt:lpwstr>
  </property>
  <property fmtid="{D5CDD505-2E9C-101B-9397-08002B2CF9AE}" pid="12" name="Mendeley Recent Style Id 4_1">
    <vt:lpwstr>http://www.zotero.org/styles/harvard-cite-them-right</vt:lpwstr>
  </property>
  <property fmtid="{D5CDD505-2E9C-101B-9397-08002B2CF9AE}" pid="13" name="Mendeley Recent Style Name 4_1">
    <vt:lpwstr>Cite Them Right 12th edition - Harvard</vt:lpwstr>
  </property>
  <property fmtid="{D5CDD505-2E9C-101B-9397-08002B2CF9AE}" pid="14" name="Mendeley Recent Style Id 5_1">
    <vt:lpwstr>http://www.zotero.org/styles/food-hydrocolloids</vt:lpwstr>
  </property>
  <property fmtid="{D5CDD505-2E9C-101B-9397-08002B2CF9AE}" pid="15" name="Mendeley Recent Style Name 5_1">
    <vt:lpwstr>Food Hydrocolloids</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4th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9th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http://www.zotero.org/styles/carbohydrate-polymers</vt:lpwstr>
  </property>
</Properties>
</file>