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49D6C" w14:textId="093196D8" w:rsidR="00287111" w:rsidRPr="005143E7" w:rsidRDefault="005143E7" w:rsidP="005143E7">
      <w:pPr>
        <w:spacing w:after="0" w:line="276" w:lineRule="auto"/>
        <w:jc w:val="center"/>
        <w:rPr>
          <w:rFonts w:ascii="Arial Narrow" w:hAnsi="Arial Narrow"/>
          <w:b/>
          <w:bCs/>
          <w:i w:val="0"/>
          <w:iCs/>
          <w:sz w:val="22"/>
          <w:lang w:val="es-MX"/>
        </w:rPr>
      </w:pPr>
      <w:r w:rsidRPr="005143E7">
        <w:rPr>
          <w:rFonts w:ascii="Arial Narrow" w:hAnsi="Arial Narrow"/>
          <w:b/>
          <w:bCs/>
          <w:i w:val="0"/>
          <w:iCs/>
          <w:sz w:val="22"/>
          <w:lang w:val="es-MX"/>
        </w:rPr>
        <w:t>C8- MÉTODOS DE ANÁLISIS Y DISEÑO DE SISTEMAS DE CIMENTACIÓN SUPERFICIAL Y PROFUNDOS</w:t>
      </w:r>
    </w:p>
    <w:p w14:paraId="40161A14" w14:textId="32E3C722" w:rsidR="005143E7" w:rsidRPr="005143E7" w:rsidRDefault="005143E7" w:rsidP="005143E7">
      <w:pPr>
        <w:spacing w:after="0" w:line="276" w:lineRule="auto"/>
        <w:jc w:val="center"/>
        <w:rPr>
          <w:rFonts w:ascii="Arial Narrow" w:hAnsi="Arial Narrow"/>
          <w:b/>
          <w:bCs/>
          <w:i w:val="0"/>
          <w:iCs/>
          <w:sz w:val="22"/>
          <w:lang w:val="es-MX"/>
        </w:rPr>
      </w:pPr>
      <w:r w:rsidRPr="005143E7">
        <w:rPr>
          <w:rFonts w:ascii="Arial Narrow" w:hAnsi="Arial Narrow"/>
          <w:b/>
          <w:bCs/>
          <w:i w:val="0"/>
          <w:iCs/>
          <w:sz w:val="22"/>
          <w:lang w:val="es-MX"/>
        </w:rPr>
        <w:t>MÉTODOS DE ANÁLISIS Y DISEÑO DE SISTEMAS DE CIMENTACIÓN SUPERFICIAL Y PROFUNDA: UN ENFOQUE MULTIDIMENSIONAL EN LA ENSEÑANZA, INVESTIGACIÓN Y EXTENSIÓN</w:t>
      </w:r>
    </w:p>
    <w:p w14:paraId="7447E040" w14:textId="77777777" w:rsidR="005143E7" w:rsidRDefault="005143E7" w:rsidP="005143E7">
      <w:pPr>
        <w:spacing w:after="0" w:line="276" w:lineRule="auto"/>
        <w:jc w:val="both"/>
        <w:rPr>
          <w:rFonts w:ascii="Arial Narrow" w:hAnsi="Arial Narrow"/>
          <w:i w:val="0"/>
          <w:iCs/>
          <w:sz w:val="22"/>
          <w:lang w:val="es-MX"/>
        </w:rPr>
      </w:pPr>
    </w:p>
    <w:p w14:paraId="577B8189" w14:textId="77777777" w:rsidR="005143E7" w:rsidRPr="001F3F60" w:rsidRDefault="005143E7" w:rsidP="005143E7">
      <w:pPr>
        <w:spacing w:after="0" w:line="276" w:lineRule="auto"/>
        <w:jc w:val="both"/>
        <w:rPr>
          <w:rFonts w:ascii="Arial Narrow" w:hAnsi="Arial Narrow"/>
          <w:b/>
          <w:bCs/>
          <w:i w:val="0"/>
          <w:iCs/>
          <w:sz w:val="22"/>
          <w:lang w:val="es-MX"/>
        </w:rPr>
      </w:pPr>
      <w:r w:rsidRPr="001F3F60">
        <w:rPr>
          <w:rFonts w:ascii="Arial Narrow" w:hAnsi="Arial Narrow"/>
          <w:b/>
          <w:bCs/>
          <w:i w:val="0"/>
          <w:iCs/>
          <w:sz w:val="22"/>
          <w:lang w:val="es-MX"/>
        </w:rPr>
        <w:t>Por: Leonel Cotes de la Hoz</w:t>
      </w:r>
    </w:p>
    <w:p w14:paraId="6506F896" w14:textId="77777777" w:rsidR="005143E7" w:rsidRPr="005143E7" w:rsidRDefault="005143E7" w:rsidP="005143E7">
      <w:pPr>
        <w:spacing w:after="0" w:line="276" w:lineRule="auto"/>
        <w:jc w:val="both"/>
        <w:rPr>
          <w:rFonts w:ascii="Arial Narrow" w:hAnsi="Arial Narrow"/>
          <w:i w:val="0"/>
          <w:iCs/>
          <w:sz w:val="22"/>
          <w:lang w:val="es-MX"/>
        </w:rPr>
      </w:pPr>
    </w:p>
    <w:p w14:paraId="0472DC2F"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En el ámbito de la ingeniería civil y geotécnica, el análisis y diseño de sistemas de cimentación superficial y profunda son pilares fundamentales que determinan el éxito y seguridad de cualquier proyecto de infraestructura. Sin embargo, las metodologías tradicionales para abordar estos temas, aunque eficaces, requieren una evolución hacia enfoques más disruptivos que integren nuevas tecnologías, fomenten el pensamiento crítico y promuevan la adaptación a los cambios en la industria. En el contexto colombiano, donde la diversidad geológica y las condiciones extremas del terreno son retos constantes, es fundamental que los futuros ingenieros no solo dominen las bases técnicas, sino que también desarrollen una mentalidad innovadora y adaptativa para enfrentar estos desafíos.</w:t>
      </w:r>
    </w:p>
    <w:p w14:paraId="45759DF6" w14:textId="77777777" w:rsidR="005143E7" w:rsidRPr="005143E7" w:rsidRDefault="005143E7" w:rsidP="005143E7">
      <w:pPr>
        <w:spacing w:after="0" w:line="276" w:lineRule="auto"/>
        <w:jc w:val="both"/>
        <w:rPr>
          <w:rFonts w:ascii="Arial Narrow" w:hAnsi="Arial Narrow"/>
          <w:i w:val="0"/>
          <w:iCs/>
          <w:sz w:val="22"/>
          <w:lang w:val="es-MX"/>
        </w:rPr>
      </w:pPr>
    </w:p>
    <w:p w14:paraId="4C39CA9F" w14:textId="66E327CF"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La Universidad Nacional de Colombia, como líder en la formación de profesionales</w:t>
      </w:r>
      <w:sdt>
        <w:sdtPr>
          <w:rPr>
            <w:rFonts w:ascii="Arial Narrow" w:hAnsi="Arial Narrow"/>
            <w:i w:val="0"/>
            <w:iCs/>
            <w:sz w:val="22"/>
            <w:lang w:val="es-MX"/>
          </w:rPr>
          <w:id w:val="1256017462"/>
          <w:citation/>
        </w:sdtPr>
        <w:sdtContent>
          <w:r w:rsidR="00B31EEC">
            <w:rPr>
              <w:rFonts w:ascii="Arial Narrow" w:hAnsi="Arial Narrow"/>
              <w:i w:val="0"/>
              <w:iCs/>
              <w:sz w:val="22"/>
              <w:lang w:val="es-MX"/>
            </w:rPr>
            <w:fldChar w:fldCharType="begin"/>
          </w:r>
          <w:r w:rsidR="00B31EEC">
            <w:rPr>
              <w:rFonts w:ascii="Arial Narrow" w:hAnsi="Arial Narrow"/>
              <w:i w:val="0"/>
              <w:iCs/>
              <w:sz w:val="22"/>
              <w:lang w:val="es-MX"/>
            </w:rPr>
            <w:instrText xml:space="preserve"> CITATION Sci24 \l 2058 </w:instrText>
          </w:r>
          <w:r w:rsidR="00B31EEC">
            <w:rPr>
              <w:rFonts w:ascii="Arial Narrow" w:hAnsi="Arial Narrow"/>
              <w:i w:val="0"/>
              <w:iCs/>
              <w:sz w:val="22"/>
              <w:lang w:val="es-MX"/>
            </w:rPr>
            <w:fldChar w:fldCharType="separate"/>
          </w:r>
          <w:r w:rsidR="00B31EEC">
            <w:rPr>
              <w:rFonts w:ascii="Arial Narrow" w:hAnsi="Arial Narrow"/>
              <w:i w:val="0"/>
              <w:iCs/>
              <w:noProof/>
              <w:sz w:val="22"/>
              <w:lang w:val="es-MX"/>
            </w:rPr>
            <w:t xml:space="preserve"> </w:t>
          </w:r>
          <w:r w:rsidR="00B31EEC" w:rsidRPr="005A48DB">
            <w:rPr>
              <w:rFonts w:ascii="Arial Narrow" w:hAnsi="Arial Narrow"/>
              <w:noProof/>
              <w:sz w:val="22"/>
              <w:lang w:val="es-MX"/>
            </w:rPr>
            <w:t>[</w:t>
          </w:r>
          <w:hyperlink w:anchor="Sci24" w:history="1">
            <w:r w:rsidR="00B31EEC" w:rsidRPr="005A48DB">
              <w:rPr>
                <w:rStyle w:val="TtuloN1"/>
                <w:rFonts w:ascii="Arial Narrow" w:hAnsi="Arial Narrow"/>
                <w:noProof/>
                <w:sz w:val="22"/>
                <w:lang w:val="es-MX"/>
              </w:rPr>
              <w:t>1</w:t>
            </w:r>
          </w:hyperlink>
          <w:r w:rsidR="00B31EEC" w:rsidRPr="005A48DB">
            <w:rPr>
              <w:rFonts w:ascii="Arial Narrow" w:hAnsi="Arial Narrow"/>
              <w:noProof/>
              <w:sz w:val="22"/>
              <w:lang w:val="es-MX"/>
            </w:rPr>
            <w:t>]</w:t>
          </w:r>
          <w:r w:rsidR="00B31EEC">
            <w:rPr>
              <w:rFonts w:ascii="Arial Narrow" w:hAnsi="Arial Narrow"/>
              <w:i w:val="0"/>
              <w:iCs/>
              <w:sz w:val="22"/>
              <w:lang w:val="es-MX"/>
            </w:rPr>
            <w:fldChar w:fldCharType="end"/>
          </w:r>
        </w:sdtContent>
      </w:sdt>
      <w:r w:rsidRPr="005143E7">
        <w:rPr>
          <w:rFonts w:ascii="Arial Narrow" w:hAnsi="Arial Narrow"/>
          <w:i w:val="0"/>
          <w:iCs/>
          <w:sz w:val="22"/>
          <w:lang w:val="es-MX"/>
        </w:rPr>
        <w:t>, tiene la oportunidad y la responsabilidad de promover un enfoque disruptivo en la enseñanza, investigación y extensión de los métodos de cimentación. Este enfoque debe ir más allá de los métodos convencionales y preparar a los estudiantes para un entorno en el que la digitalización, la sostenibilidad y la colaboración interdisciplinaria sean elementos esenciales para resolver problemas complejos de la ingeniería geotécnica.</w:t>
      </w:r>
    </w:p>
    <w:p w14:paraId="2395F0D2" w14:textId="77777777" w:rsidR="005143E7" w:rsidRPr="005143E7" w:rsidRDefault="005143E7" w:rsidP="005143E7">
      <w:pPr>
        <w:spacing w:after="0" w:line="276" w:lineRule="auto"/>
        <w:jc w:val="both"/>
        <w:rPr>
          <w:rFonts w:ascii="Arial Narrow" w:hAnsi="Arial Narrow"/>
          <w:i w:val="0"/>
          <w:iCs/>
          <w:sz w:val="22"/>
          <w:lang w:val="es-MX"/>
        </w:rPr>
      </w:pPr>
    </w:p>
    <w:p w14:paraId="4A447D42" w14:textId="77777777" w:rsid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El objetivo de esta propuesta es transformar la enseñanza, la investigación y la extensión de los métodos de análisis y diseño de cimentaciones en la Universidad Nacional de Colombia a través de enfoques disruptivos que integren nuevas tecnologías, fomenten el pensamiento crítico y promuevan soluciones sostenibles. Los objetivos específicos son:</w:t>
      </w:r>
    </w:p>
    <w:p w14:paraId="0627FE8F" w14:textId="77777777" w:rsidR="005143E7" w:rsidRPr="005143E7" w:rsidRDefault="005143E7" w:rsidP="005143E7">
      <w:pPr>
        <w:spacing w:after="0" w:line="276" w:lineRule="auto"/>
        <w:jc w:val="both"/>
        <w:rPr>
          <w:rFonts w:ascii="Arial Narrow" w:hAnsi="Arial Narrow"/>
          <w:i w:val="0"/>
          <w:iCs/>
          <w:sz w:val="22"/>
          <w:lang w:val="es-MX"/>
        </w:rPr>
      </w:pPr>
    </w:p>
    <w:p w14:paraId="40862611" w14:textId="7B2F9224" w:rsidR="005143E7" w:rsidRPr="005143E7" w:rsidRDefault="005143E7" w:rsidP="005143E7">
      <w:pPr>
        <w:pStyle w:val="Prrafodelista"/>
        <w:numPr>
          <w:ilvl w:val="0"/>
          <w:numId w:val="22"/>
        </w:numPr>
        <w:spacing w:line="276" w:lineRule="auto"/>
        <w:rPr>
          <w:rFonts w:ascii="Arial Narrow" w:hAnsi="Arial Narrow"/>
          <w:iCs/>
          <w:sz w:val="22"/>
          <w:lang w:val="es-MX"/>
        </w:rPr>
      </w:pPr>
      <w:r w:rsidRPr="005143E7">
        <w:rPr>
          <w:rFonts w:ascii="Arial Narrow" w:hAnsi="Arial Narrow"/>
          <w:iCs/>
          <w:sz w:val="22"/>
          <w:lang w:val="es-MX"/>
        </w:rPr>
        <w:t>Implementar un modelo educativo centrado en la resolución de problemas complejos mediante simulaciones avanzadas, realidad aumentada (AR) y gemelos digitales para el diseño y análisis de cimentaciones.</w:t>
      </w:r>
    </w:p>
    <w:p w14:paraId="756F32E3" w14:textId="249C104E" w:rsidR="005143E7" w:rsidRPr="005143E7" w:rsidRDefault="005143E7" w:rsidP="005143E7">
      <w:pPr>
        <w:pStyle w:val="Prrafodelista"/>
        <w:numPr>
          <w:ilvl w:val="0"/>
          <w:numId w:val="22"/>
        </w:numPr>
        <w:spacing w:line="276" w:lineRule="auto"/>
        <w:rPr>
          <w:rFonts w:ascii="Arial Narrow" w:hAnsi="Arial Narrow"/>
          <w:iCs/>
          <w:sz w:val="22"/>
          <w:lang w:val="es-MX"/>
        </w:rPr>
      </w:pPr>
      <w:r w:rsidRPr="005143E7">
        <w:rPr>
          <w:rFonts w:ascii="Arial Narrow" w:hAnsi="Arial Narrow"/>
          <w:iCs/>
          <w:sz w:val="22"/>
          <w:lang w:val="es-MX"/>
        </w:rPr>
        <w:t>Establecer líneas de investigación orientadas a la digitalización, inteligencia artificial y sostenibilidad en sistemas de cimentación, abordando desafíos como la economía circular y el impacto ambiental.</w:t>
      </w:r>
    </w:p>
    <w:p w14:paraId="46003111" w14:textId="28DF7EED" w:rsidR="005143E7" w:rsidRPr="005143E7" w:rsidRDefault="005143E7" w:rsidP="005143E7">
      <w:pPr>
        <w:pStyle w:val="Prrafodelista"/>
        <w:numPr>
          <w:ilvl w:val="0"/>
          <w:numId w:val="22"/>
        </w:numPr>
        <w:spacing w:line="276" w:lineRule="auto"/>
        <w:rPr>
          <w:rFonts w:ascii="Arial Narrow" w:hAnsi="Arial Narrow"/>
          <w:iCs/>
          <w:sz w:val="22"/>
          <w:lang w:val="es-MX"/>
        </w:rPr>
      </w:pPr>
      <w:r w:rsidRPr="005143E7">
        <w:rPr>
          <w:rFonts w:ascii="Arial Narrow" w:hAnsi="Arial Narrow"/>
          <w:iCs/>
          <w:sz w:val="22"/>
          <w:lang w:val="es-MX"/>
        </w:rPr>
        <w:t>Desarrollar un programa de extensión basado en la transferencia tecnológica, capacitando a profesionales y comunidades a través de plataformas digitales y talleres interactivos sobre cimentaciones.</w:t>
      </w:r>
    </w:p>
    <w:p w14:paraId="2B652D52" w14:textId="77777777" w:rsidR="005143E7" w:rsidRPr="005143E7" w:rsidRDefault="005143E7" w:rsidP="005143E7">
      <w:pPr>
        <w:spacing w:after="0" w:line="276" w:lineRule="auto"/>
        <w:jc w:val="both"/>
        <w:rPr>
          <w:rFonts w:ascii="Arial Narrow" w:hAnsi="Arial Narrow"/>
          <w:i w:val="0"/>
          <w:iCs/>
          <w:sz w:val="22"/>
          <w:lang w:val="es-MX"/>
        </w:rPr>
      </w:pPr>
    </w:p>
    <w:p w14:paraId="63887150"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El enfoque disruptivo en la docencia parte de un replanteamiento del proceso de enseñanza-aprendizaje en el que los estudiantes de ingeniería geotécnica se conviertan en solucionadores de problemas y pensadores críticos, más allá de simples operadores de software o replicadores de teorías. Este nuevo paradigma involucra la incorporación de tecnologías emergentes como la realidad aumentada (AR) y la creación de gemelos digitales de cimentaciones para el aprendizaje interactivo.</w:t>
      </w:r>
    </w:p>
    <w:p w14:paraId="046FF1B1" w14:textId="77777777" w:rsidR="005143E7" w:rsidRPr="005143E7" w:rsidRDefault="005143E7" w:rsidP="005143E7">
      <w:pPr>
        <w:spacing w:after="0" w:line="276" w:lineRule="auto"/>
        <w:jc w:val="both"/>
        <w:rPr>
          <w:rFonts w:ascii="Arial Narrow" w:hAnsi="Arial Narrow"/>
          <w:i w:val="0"/>
          <w:iCs/>
          <w:sz w:val="22"/>
          <w:lang w:val="es-MX"/>
        </w:rPr>
      </w:pPr>
    </w:p>
    <w:p w14:paraId="5597CECB"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 xml:space="preserve">En lugar de depender exclusivamente de métodos tradicionales de enseñanza, se propone un entorno de aprendizaje basado en proyectos reales que permitan a los estudiantes explorar múltiples escenarios de </w:t>
      </w:r>
      <w:r w:rsidRPr="005143E7">
        <w:rPr>
          <w:rFonts w:ascii="Arial Narrow" w:hAnsi="Arial Narrow"/>
          <w:i w:val="0"/>
          <w:iCs/>
          <w:sz w:val="22"/>
          <w:lang w:val="es-MX"/>
        </w:rPr>
        <w:lastRenderedPageBreak/>
        <w:t>cimentación a través de simulaciones avanzadas. Con la AR, los estudiantes podrán visualizar en tiempo real las interacciones entre el suelo y las cimentaciones, observando cómo las estructuras responden a diferentes tipos de cargas, condiciones geotécnicas y fallos potenciales. Esta metodología no solo fomenta la comprensión profunda de los conceptos, sino que también impulsa el desarrollo de habilidades críticas para interpretar y evaluar soluciones de diseño en contextos geotécnicos complejos.</w:t>
      </w:r>
    </w:p>
    <w:p w14:paraId="3BE52421" w14:textId="77777777" w:rsidR="005143E7" w:rsidRPr="005143E7" w:rsidRDefault="005143E7" w:rsidP="005143E7">
      <w:pPr>
        <w:spacing w:after="0" w:line="276" w:lineRule="auto"/>
        <w:jc w:val="both"/>
        <w:rPr>
          <w:rFonts w:ascii="Arial Narrow" w:hAnsi="Arial Narrow"/>
          <w:i w:val="0"/>
          <w:iCs/>
          <w:sz w:val="22"/>
          <w:lang w:val="es-MX"/>
        </w:rPr>
      </w:pPr>
    </w:p>
    <w:p w14:paraId="60A7CC6B" w14:textId="52DF8385"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La enseñanza de programas computacionales será igualmente disruptiva. En lugar de enfocarse en el uso pasivo de herramientas, los estudiantes serán desafiados a crear sus propios algoritmos para resolver problemas específicos de cimentación, integrando inteligencia artificial y aprendizaje automático para analizar patrones de comportamiento del terreno. Esto permitirá que los futuros ingenieros no solo sean consumidores de tecnología, sino también creadores de soluciones digitales innovadoras.</w:t>
      </w:r>
    </w:p>
    <w:p w14:paraId="205A1B2F" w14:textId="77777777" w:rsidR="005143E7" w:rsidRPr="005143E7" w:rsidRDefault="005143E7" w:rsidP="005143E7">
      <w:pPr>
        <w:spacing w:after="0" w:line="276" w:lineRule="auto"/>
        <w:jc w:val="both"/>
        <w:rPr>
          <w:rFonts w:ascii="Arial Narrow" w:hAnsi="Arial Narrow"/>
          <w:i w:val="0"/>
          <w:iCs/>
          <w:sz w:val="22"/>
          <w:lang w:val="es-MX"/>
        </w:rPr>
      </w:pPr>
    </w:p>
    <w:p w14:paraId="3BD1ACA5"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Finalmente, el desarrollo del criterio técnico será un pilar clave. Se implementarán ejercicios en los que los estudiantes deberán defender sus propuestas de diseño frente a paneles interdisciplinarios, simulando escenarios reales de toma de decisiones. La inclusión de elementos como el análisis multicriterio y la evaluación de riesgos en el proceso de diseño les permitirá abordar los problemas de cimentación desde una perspectiva holística, integrando no solo consideraciones técnicas, sino también económicas, sociales y ambientales.</w:t>
      </w:r>
    </w:p>
    <w:p w14:paraId="57C82B80" w14:textId="77777777" w:rsidR="005143E7" w:rsidRPr="005143E7" w:rsidRDefault="005143E7" w:rsidP="005143E7">
      <w:pPr>
        <w:spacing w:after="0" w:line="276" w:lineRule="auto"/>
        <w:jc w:val="both"/>
        <w:rPr>
          <w:rFonts w:ascii="Arial Narrow" w:hAnsi="Arial Narrow"/>
          <w:i w:val="0"/>
          <w:iCs/>
          <w:sz w:val="22"/>
          <w:lang w:val="es-MX"/>
        </w:rPr>
      </w:pPr>
    </w:p>
    <w:p w14:paraId="3539BBF2" w14:textId="53673026"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El componente de investigación, bajo este enfoque disruptivo, estará centrado en la integración de la digitalización y la sostenibilidad en los sistemas de cimentación. Se promoverá la investigación aplicada que combine la inteligencia artificial (IA) y el análisis de grandes volúmenes de datos (</w:t>
      </w:r>
      <w:proofErr w:type="spellStart"/>
      <w:r w:rsidRPr="005143E7">
        <w:rPr>
          <w:rFonts w:ascii="Arial Narrow" w:hAnsi="Arial Narrow"/>
          <w:i w:val="0"/>
          <w:iCs/>
          <w:sz w:val="22"/>
          <w:lang w:val="es-MX"/>
        </w:rPr>
        <w:t>big</w:t>
      </w:r>
      <w:proofErr w:type="spellEnd"/>
      <w:r w:rsidRPr="005143E7">
        <w:rPr>
          <w:rFonts w:ascii="Arial Narrow" w:hAnsi="Arial Narrow"/>
          <w:i w:val="0"/>
          <w:iCs/>
          <w:sz w:val="22"/>
          <w:lang w:val="es-MX"/>
        </w:rPr>
        <w:t xml:space="preserve"> data) con la ingeniería geotécnica para predecir el comportamiento del terreno y optimizar el diseño de cimentaciones tanto superficiales como profundas</w:t>
      </w:r>
      <w:sdt>
        <w:sdtPr>
          <w:rPr>
            <w:rFonts w:ascii="Arial Narrow" w:hAnsi="Arial Narrow"/>
            <w:i w:val="0"/>
            <w:iCs/>
            <w:sz w:val="22"/>
            <w:lang w:val="es-MX"/>
          </w:rPr>
          <w:id w:val="-1614662666"/>
          <w:citation/>
        </w:sdtPr>
        <w:sdtContent>
          <w:r w:rsidR="00B31EEC">
            <w:rPr>
              <w:rFonts w:ascii="Arial Narrow" w:hAnsi="Arial Narrow"/>
              <w:i w:val="0"/>
              <w:iCs/>
              <w:sz w:val="22"/>
              <w:lang w:val="es-MX"/>
            </w:rPr>
            <w:fldChar w:fldCharType="begin"/>
          </w:r>
          <w:r w:rsidR="00B31EEC">
            <w:rPr>
              <w:rFonts w:ascii="Arial Narrow" w:hAnsi="Arial Narrow"/>
              <w:i w:val="0"/>
              <w:iCs/>
              <w:sz w:val="22"/>
              <w:lang w:val="es-MX"/>
            </w:rPr>
            <w:instrText xml:space="preserve"> CITATION Art20 \l 2058 </w:instrText>
          </w:r>
          <w:r w:rsidR="00B31EEC">
            <w:rPr>
              <w:rFonts w:ascii="Arial Narrow" w:hAnsi="Arial Narrow"/>
              <w:i w:val="0"/>
              <w:iCs/>
              <w:sz w:val="22"/>
              <w:lang w:val="es-MX"/>
            </w:rPr>
            <w:fldChar w:fldCharType="separate"/>
          </w:r>
          <w:r w:rsidR="00B31EEC">
            <w:rPr>
              <w:rFonts w:ascii="Arial Narrow" w:hAnsi="Arial Narrow"/>
              <w:i w:val="0"/>
              <w:iCs/>
              <w:noProof/>
              <w:sz w:val="22"/>
              <w:lang w:val="es-MX"/>
            </w:rPr>
            <w:t xml:space="preserve"> </w:t>
          </w:r>
          <w:r w:rsidR="00B31EEC" w:rsidRPr="00B31EEC">
            <w:rPr>
              <w:rFonts w:ascii="Arial Narrow" w:hAnsi="Arial Narrow"/>
              <w:noProof/>
              <w:sz w:val="22"/>
              <w:lang w:val="es-MX"/>
            </w:rPr>
            <w:t>[</w:t>
          </w:r>
          <w:hyperlink w:anchor="Art20" w:history="1">
            <w:r w:rsidR="00B31EEC" w:rsidRPr="00B31EEC">
              <w:rPr>
                <w:rStyle w:val="TtuloN1"/>
                <w:rFonts w:ascii="Arial Narrow" w:hAnsi="Arial Narrow"/>
                <w:noProof/>
                <w:sz w:val="22"/>
                <w:lang w:val="es-MX"/>
              </w:rPr>
              <w:t>2</w:t>
            </w:r>
          </w:hyperlink>
          <w:r w:rsidR="00B31EEC" w:rsidRPr="00B31EEC">
            <w:rPr>
              <w:rFonts w:ascii="Arial Narrow" w:hAnsi="Arial Narrow"/>
              <w:noProof/>
              <w:sz w:val="22"/>
              <w:lang w:val="es-MX"/>
            </w:rPr>
            <w:t>]</w:t>
          </w:r>
          <w:r w:rsidR="00B31EEC">
            <w:rPr>
              <w:rFonts w:ascii="Arial Narrow" w:hAnsi="Arial Narrow"/>
              <w:i w:val="0"/>
              <w:iCs/>
              <w:sz w:val="22"/>
              <w:lang w:val="es-MX"/>
            </w:rPr>
            <w:fldChar w:fldCharType="end"/>
          </w:r>
        </w:sdtContent>
      </w:sdt>
      <w:r w:rsidRPr="005143E7">
        <w:rPr>
          <w:rFonts w:ascii="Arial Narrow" w:hAnsi="Arial Narrow"/>
          <w:i w:val="0"/>
          <w:iCs/>
          <w:sz w:val="22"/>
          <w:lang w:val="es-MX"/>
        </w:rPr>
        <w:t>.</w:t>
      </w:r>
    </w:p>
    <w:p w14:paraId="02EC02B7" w14:textId="77777777" w:rsidR="005143E7" w:rsidRPr="005143E7" w:rsidRDefault="005143E7" w:rsidP="005143E7">
      <w:pPr>
        <w:spacing w:after="0" w:line="276" w:lineRule="auto"/>
        <w:jc w:val="both"/>
        <w:rPr>
          <w:rFonts w:ascii="Arial Narrow" w:hAnsi="Arial Narrow"/>
          <w:i w:val="0"/>
          <w:iCs/>
          <w:sz w:val="22"/>
          <w:lang w:val="es-MX"/>
        </w:rPr>
      </w:pPr>
    </w:p>
    <w:p w14:paraId="3330EB1E" w14:textId="54A492AB"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Una de las líneas de investigación será el uso de gemelos digitales de cimentaciones. Esta tecnología permitirá la creación de modelos virtuales que simulen el comportamiento de una cimentación en tiempo real, integrando datos de sensores instalados en el campo. Estos gemelos digitales podrán utilizarse para monitorear el rendimiento de cimentaciones profundas, detectar fallos antes de que ocurran y ajustar los parámetros de diseño en función de las condiciones cambiantes del terreno y las cargas.</w:t>
      </w:r>
    </w:p>
    <w:p w14:paraId="76B8A00F" w14:textId="77777777" w:rsidR="005143E7" w:rsidRPr="005143E7" w:rsidRDefault="005143E7" w:rsidP="005143E7">
      <w:pPr>
        <w:spacing w:after="0" w:line="276" w:lineRule="auto"/>
        <w:jc w:val="both"/>
        <w:rPr>
          <w:rFonts w:ascii="Arial Narrow" w:hAnsi="Arial Narrow"/>
          <w:i w:val="0"/>
          <w:iCs/>
          <w:sz w:val="22"/>
          <w:lang w:val="es-MX"/>
        </w:rPr>
      </w:pPr>
    </w:p>
    <w:p w14:paraId="23E15F34" w14:textId="5324AEE4"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 xml:space="preserve">Además, se fomentará el desarrollo de soluciones de cimentación que promuevan la sostenibilidad y el uso de materiales reciclados o </w:t>
      </w:r>
      <w:bookmarkStart w:id="0" w:name="_Hlk177394976"/>
      <w:r w:rsidRPr="005143E7">
        <w:rPr>
          <w:rFonts w:ascii="Arial Narrow" w:hAnsi="Arial Narrow"/>
          <w:i w:val="0"/>
          <w:iCs/>
          <w:sz w:val="22"/>
          <w:lang w:val="es-MX"/>
        </w:rPr>
        <w:t>alternativos</w:t>
      </w:r>
      <w:sdt>
        <w:sdtPr>
          <w:rPr>
            <w:rFonts w:ascii="Arial Narrow" w:hAnsi="Arial Narrow"/>
            <w:i w:val="0"/>
            <w:iCs/>
            <w:sz w:val="22"/>
            <w:lang w:val="es-MX"/>
          </w:rPr>
          <w:id w:val="1244757223"/>
          <w:citation/>
        </w:sdtPr>
        <w:sdtContent>
          <w:r w:rsidR="00B31EEC">
            <w:rPr>
              <w:rFonts w:ascii="Arial Narrow" w:hAnsi="Arial Narrow"/>
              <w:i w:val="0"/>
              <w:iCs/>
              <w:sz w:val="22"/>
              <w:lang w:val="es-MX"/>
            </w:rPr>
            <w:fldChar w:fldCharType="begin"/>
          </w:r>
          <w:r w:rsidR="00B31EEC">
            <w:rPr>
              <w:rFonts w:ascii="Arial Narrow" w:hAnsi="Arial Narrow"/>
              <w:i w:val="0"/>
              <w:iCs/>
              <w:sz w:val="22"/>
              <w:lang w:val="es-MX"/>
            </w:rPr>
            <w:instrText xml:space="preserve"> CITATION Gon12 \l 2058 </w:instrText>
          </w:r>
          <w:r w:rsidR="00B31EEC">
            <w:rPr>
              <w:rFonts w:ascii="Arial Narrow" w:hAnsi="Arial Narrow"/>
              <w:i w:val="0"/>
              <w:iCs/>
              <w:sz w:val="22"/>
              <w:lang w:val="es-MX"/>
            </w:rPr>
            <w:fldChar w:fldCharType="separate"/>
          </w:r>
          <w:r w:rsidR="00B31EEC">
            <w:rPr>
              <w:rFonts w:ascii="Arial Narrow" w:hAnsi="Arial Narrow"/>
              <w:i w:val="0"/>
              <w:iCs/>
              <w:noProof/>
              <w:sz w:val="22"/>
              <w:lang w:val="es-MX"/>
            </w:rPr>
            <w:t xml:space="preserve"> </w:t>
          </w:r>
          <w:r w:rsidR="00B31EEC" w:rsidRPr="00B31EEC">
            <w:rPr>
              <w:rFonts w:ascii="Arial Narrow" w:hAnsi="Arial Narrow"/>
              <w:noProof/>
              <w:sz w:val="22"/>
              <w:lang w:val="es-MX"/>
            </w:rPr>
            <w:t>[</w:t>
          </w:r>
          <w:hyperlink w:anchor="Gon12" w:history="1">
            <w:r w:rsidR="00B31EEC" w:rsidRPr="00B31EEC">
              <w:rPr>
                <w:rStyle w:val="TtuloN1"/>
                <w:rFonts w:ascii="Arial Narrow" w:hAnsi="Arial Narrow"/>
                <w:noProof/>
                <w:sz w:val="22"/>
                <w:lang w:val="es-MX"/>
              </w:rPr>
              <w:t>3</w:t>
            </w:r>
          </w:hyperlink>
          <w:r w:rsidR="00B31EEC" w:rsidRPr="00B31EEC">
            <w:rPr>
              <w:rFonts w:ascii="Arial Narrow" w:hAnsi="Arial Narrow"/>
              <w:noProof/>
              <w:sz w:val="22"/>
              <w:lang w:val="es-MX"/>
            </w:rPr>
            <w:t>]</w:t>
          </w:r>
          <w:r w:rsidR="00B31EEC">
            <w:rPr>
              <w:rFonts w:ascii="Arial Narrow" w:hAnsi="Arial Narrow"/>
              <w:i w:val="0"/>
              <w:iCs/>
              <w:sz w:val="22"/>
              <w:lang w:val="es-MX"/>
            </w:rPr>
            <w:fldChar w:fldCharType="end"/>
          </w:r>
        </w:sdtContent>
      </w:sdt>
      <w:r w:rsidRPr="005143E7">
        <w:rPr>
          <w:rFonts w:ascii="Arial Narrow" w:hAnsi="Arial Narrow"/>
          <w:i w:val="0"/>
          <w:iCs/>
          <w:sz w:val="22"/>
          <w:lang w:val="es-MX"/>
        </w:rPr>
        <w:t xml:space="preserve">. </w:t>
      </w:r>
      <w:bookmarkEnd w:id="0"/>
      <w:r w:rsidRPr="005143E7">
        <w:rPr>
          <w:rFonts w:ascii="Arial Narrow" w:hAnsi="Arial Narrow"/>
          <w:i w:val="0"/>
          <w:iCs/>
          <w:sz w:val="22"/>
          <w:lang w:val="es-MX"/>
        </w:rPr>
        <w:t>El concepto de cimentaciones sostenibles se explorará no solo desde el punto de vista de la eficiencia estructural, sino también considerando su huella ambiental. Investigaciones sobre el uso de residuos industriales en la construcción de cimentaciones y la implementación de sistemas híbridos que combinen soluciones tradicionales con enfoques biotecnológicos serán claves para la creación de cimentaciones con un impacto ambiental mínimo.</w:t>
      </w:r>
    </w:p>
    <w:p w14:paraId="180E1C32" w14:textId="77777777" w:rsidR="005143E7" w:rsidRPr="005143E7" w:rsidRDefault="005143E7" w:rsidP="005143E7">
      <w:pPr>
        <w:spacing w:after="0" w:line="276" w:lineRule="auto"/>
        <w:jc w:val="both"/>
        <w:rPr>
          <w:rFonts w:ascii="Arial Narrow" w:hAnsi="Arial Narrow"/>
          <w:i w:val="0"/>
          <w:iCs/>
          <w:sz w:val="22"/>
          <w:lang w:val="es-MX"/>
        </w:rPr>
      </w:pPr>
    </w:p>
    <w:p w14:paraId="705C5685"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La colaboración interdisciplinaria será otro componente esencial. Los estudiantes y docentes trabajarán conjuntamente con expertos en áreas como la biotecnología, la economía circular y la ciencia de los materiales para desarrollar nuevos métodos de estabilización y cimentación que se adapten mejor a los desafíos locales. Estos esfuerzos permitirán no solo avanzar en la ciencia geotécnica, sino también posicionar a la Universidad Nacional de Colombia como líder en investigación innovadora y disruptiva en ingeniería.</w:t>
      </w:r>
    </w:p>
    <w:p w14:paraId="56004C69" w14:textId="77777777" w:rsidR="005143E7" w:rsidRPr="005143E7" w:rsidRDefault="005143E7" w:rsidP="005143E7">
      <w:pPr>
        <w:spacing w:after="0" w:line="276" w:lineRule="auto"/>
        <w:jc w:val="both"/>
        <w:rPr>
          <w:rFonts w:ascii="Arial Narrow" w:hAnsi="Arial Narrow"/>
          <w:i w:val="0"/>
          <w:iCs/>
          <w:sz w:val="22"/>
          <w:lang w:val="es-MX"/>
        </w:rPr>
      </w:pPr>
    </w:p>
    <w:p w14:paraId="64803B6C"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lastRenderedPageBreak/>
        <w:t>La extensión, en este enfoque disruptivo, no se limitará a las actividades tradicionales de capacitación y transferencia de conocimientos. Se propone la creación de una *plataforma digital interactiva*, accesible a través de dispositivos móviles y diseñada para ingenieros, técnicos y comunidades, que permita acceder a módulos de aprendizaje sobre cimentaciones, compartir datos de campo en tiempo real y colaborar en soluciones a problemas específicos de cimentación.</w:t>
      </w:r>
    </w:p>
    <w:p w14:paraId="267491ED" w14:textId="77777777" w:rsidR="005143E7" w:rsidRPr="005143E7" w:rsidRDefault="005143E7" w:rsidP="005143E7">
      <w:pPr>
        <w:spacing w:after="0" w:line="276" w:lineRule="auto"/>
        <w:jc w:val="both"/>
        <w:rPr>
          <w:rFonts w:ascii="Arial Narrow" w:hAnsi="Arial Narrow"/>
          <w:i w:val="0"/>
          <w:iCs/>
          <w:sz w:val="22"/>
          <w:lang w:val="es-MX"/>
        </w:rPr>
      </w:pPr>
    </w:p>
    <w:p w14:paraId="610EF5F4" w14:textId="6AAFAB0C"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 xml:space="preserve">Esta plataforma también facilitará el acceso a simulaciones y modelos de gemelos digitales, permitiendo a los profesionales de la industria realizar análisis de cimentaciones sin necesidad de acceso a </w:t>
      </w:r>
      <w:r w:rsidR="000E7303" w:rsidRPr="005143E7">
        <w:rPr>
          <w:rFonts w:ascii="Arial Narrow" w:hAnsi="Arial Narrow"/>
          <w:i w:val="0"/>
          <w:iCs/>
          <w:sz w:val="22"/>
          <w:lang w:val="es-MX"/>
        </w:rPr>
        <w:t>costosos softwares</w:t>
      </w:r>
      <w:r w:rsidRPr="005143E7">
        <w:rPr>
          <w:rFonts w:ascii="Arial Narrow" w:hAnsi="Arial Narrow"/>
          <w:i w:val="0"/>
          <w:iCs/>
          <w:sz w:val="22"/>
          <w:lang w:val="es-MX"/>
        </w:rPr>
        <w:t xml:space="preserve"> especializados. Además, se desarrollarán cursos en línea masivos y abiertos (</w:t>
      </w:r>
      <w:proofErr w:type="spellStart"/>
      <w:r w:rsidRPr="005143E7">
        <w:rPr>
          <w:rFonts w:ascii="Arial Narrow" w:hAnsi="Arial Narrow"/>
          <w:i w:val="0"/>
          <w:iCs/>
          <w:sz w:val="22"/>
          <w:lang w:val="es-MX"/>
        </w:rPr>
        <w:t>MOOCs</w:t>
      </w:r>
      <w:proofErr w:type="spellEnd"/>
      <w:r w:rsidRPr="005143E7">
        <w:rPr>
          <w:rFonts w:ascii="Arial Narrow" w:hAnsi="Arial Narrow"/>
          <w:i w:val="0"/>
          <w:iCs/>
          <w:sz w:val="22"/>
          <w:lang w:val="es-MX"/>
        </w:rPr>
        <w:t>) sobre cimentaciones superficiales y profundas, que proporcionarán una capacitación continua para los ingenieros en ejercicio y fomentarán la actualización profesional en nuevas tecnologías y métodos disruptivos.</w:t>
      </w:r>
    </w:p>
    <w:p w14:paraId="15FE8F13" w14:textId="77777777" w:rsidR="005143E7" w:rsidRPr="005143E7" w:rsidRDefault="005143E7" w:rsidP="005143E7">
      <w:pPr>
        <w:spacing w:after="0" w:line="276" w:lineRule="auto"/>
        <w:jc w:val="both"/>
        <w:rPr>
          <w:rFonts w:ascii="Arial Narrow" w:hAnsi="Arial Narrow"/>
          <w:i w:val="0"/>
          <w:iCs/>
          <w:sz w:val="22"/>
          <w:lang w:val="es-MX"/>
        </w:rPr>
      </w:pPr>
    </w:p>
    <w:p w14:paraId="61C381ED"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Los talleres de extensión incluirán simulaciones en campo con realidad aumentada, donde tanto los profesionales como las comunidades locales podrán visualizar en tiempo real cómo afectan las decisiones de cimentación a la estabilidad de sus estructuras. Esta participación activa no solo aumentará el nivel de concienciación sobre los riesgos geotécnicos, sino que también proporcionará a las comunidades herramientas para gestionar y mitigar esos riesgos de manera más efectiva.</w:t>
      </w:r>
    </w:p>
    <w:p w14:paraId="245C3984" w14:textId="77777777" w:rsidR="005143E7" w:rsidRPr="005143E7" w:rsidRDefault="005143E7" w:rsidP="005143E7">
      <w:pPr>
        <w:spacing w:after="0" w:line="276" w:lineRule="auto"/>
        <w:jc w:val="both"/>
        <w:rPr>
          <w:rFonts w:ascii="Arial Narrow" w:hAnsi="Arial Narrow"/>
          <w:i w:val="0"/>
          <w:iCs/>
          <w:sz w:val="22"/>
          <w:lang w:val="es-MX"/>
        </w:rPr>
      </w:pPr>
    </w:p>
    <w:p w14:paraId="01173D52" w14:textId="77777777" w:rsidR="005143E7" w:rsidRPr="005143E7" w:rsidRDefault="005143E7" w:rsidP="005143E7">
      <w:pPr>
        <w:spacing w:after="0" w:line="276" w:lineRule="auto"/>
        <w:jc w:val="both"/>
        <w:rPr>
          <w:rFonts w:ascii="Arial Narrow" w:hAnsi="Arial Narrow"/>
          <w:i w:val="0"/>
          <w:iCs/>
          <w:sz w:val="22"/>
          <w:lang w:val="es-MX"/>
        </w:rPr>
      </w:pPr>
      <w:r w:rsidRPr="005143E7">
        <w:rPr>
          <w:rFonts w:ascii="Arial Narrow" w:hAnsi="Arial Narrow"/>
          <w:i w:val="0"/>
          <w:iCs/>
          <w:sz w:val="22"/>
          <w:lang w:val="es-MX"/>
        </w:rPr>
        <w:t>Finalmente, la colaboración con empresas privadas y entidades gubernamentales será clave para garantizar que los avances en investigación y tecnología se transfieran rápidamente al sector de la construcción. Se propondrán convenios con INVIAS, empresas de ingeniería y organismos locales para aplicar las investigaciones y tecnologías desarrolladas en la universidad a proyectos reales de infraestructura.</w:t>
      </w:r>
    </w:p>
    <w:p w14:paraId="5AFA8EFA" w14:textId="1DC976BE" w:rsidR="00972205" w:rsidRDefault="00972205">
      <w:pPr>
        <w:rPr>
          <w:rFonts w:ascii="Arial Narrow" w:hAnsi="Arial Narrow"/>
          <w:i w:val="0"/>
          <w:iCs/>
          <w:sz w:val="22"/>
          <w:lang w:val="es-MX"/>
        </w:rPr>
      </w:pPr>
      <w:r>
        <w:rPr>
          <w:rFonts w:ascii="Arial Narrow" w:hAnsi="Arial Narrow"/>
          <w:i w:val="0"/>
          <w:iCs/>
          <w:sz w:val="22"/>
          <w:lang w:val="es-MX"/>
        </w:rPr>
        <w:br w:type="page"/>
      </w:r>
    </w:p>
    <w:sdt>
      <w:sdtPr>
        <w:rPr>
          <w:lang w:val="es-MX"/>
        </w:rPr>
        <w:id w:val="1135149984"/>
        <w:docPartObj>
          <w:docPartGallery w:val="Bibliographies"/>
          <w:docPartUnique/>
        </w:docPartObj>
      </w:sdtPr>
      <w:sdtEndPr>
        <w:rPr>
          <w:rFonts w:ascii="Times New Roman" w:eastAsiaTheme="minorHAnsi" w:hAnsi="Times New Roman" w:cstheme="minorBidi"/>
          <w:b w:val="0"/>
          <w:caps w:val="0"/>
          <w:sz w:val="20"/>
          <w:szCs w:val="22"/>
          <w:lang w:val="es-ES"/>
          <w14:ligatures w14:val="none"/>
        </w:rPr>
      </w:sdtEndPr>
      <w:sdtContent>
        <w:p w14:paraId="3F2D9F12" w14:textId="61D775F4" w:rsidR="00972205" w:rsidRDefault="00972205">
          <w:pPr>
            <w:pStyle w:val="Ttulo1"/>
          </w:pPr>
          <w:r>
            <w:rPr>
              <w:lang w:val="es-MX"/>
            </w:rPr>
            <w:t>Bibliografía</w:t>
          </w:r>
        </w:p>
        <w:sdt>
          <w:sdtPr>
            <w:id w:val="111145805"/>
            <w:bibliography/>
          </w:sdtPr>
          <w:sdtContent>
            <w:p w14:paraId="17E03FBF" w14:textId="77777777" w:rsidR="00972205" w:rsidRDefault="00972205" w:rsidP="00972205">
              <w:pPr>
                <w:pStyle w:val="Bibliografa"/>
                <w:rPr>
                  <w:noProof/>
                  <w:vanish/>
                  <w:sz w:val="24"/>
                  <w:szCs w:val="24"/>
                </w:rPr>
              </w:pPr>
              <w:r>
                <w:fldChar w:fldCharType="begin"/>
              </w:r>
              <w:r>
                <w:instrText>BIBLIOGRAPHY</w:instrText>
              </w:r>
              <w:r>
                <w:fldChar w:fldCharType="separate"/>
              </w:r>
              <w:r>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1"/>
                <w:gridCol w:w="8507"/>
              </w:tblGrid>
              <w:tr w:rsidR="00972205" w14:paraId="66B7C759" w14:textId="77777777" w:rsidTr="00972205">
                <w:trPr>
                  <w:tblCellSpacing w:w="15" w:type="dxa"/>
                </w:trPr>
                <w:tc>
                  <w:tcPr>
                    <w:tcW w:w="0" w:type="auto"/>
                    <w:hideMark/>
                  </w:tcPr>
                  <w:p w14:paraId="10FA3D6F" w14:textId="77777777" w:rsidR="00972205" w:rsidRDefault="00972205">
                    <w:pPr>
                      <w:pStyle w:val="Bibliografa"/>
                      <w:jc w:val="right"/>
                      <w:rPr>
                        <w:noProof/>
                      </w:rPr>
                    </w:pPr>
                    <w:bookmarkStart w:id="1" w:name="Sci24"/>
                    <w:r>
                      <w:rPr>
                        <w:noProof/>
                      </w:rPr>
                      <w:t>[1]</w:t>
                    </w:r>
                    <w:bookmarkEnd w:id="1"/>
                  </w:p>
                </w:tc>
                <w:tc>
                  <w:tcPr>
                    <w:tcW w:w="0" w:type="auto"/>
                    <w:hideMark/>
                  </w:tcPr>
                  <w:p w14:paraId="6B1383E5" w14:textId="0FCF2880" w:rsidR="00972205" w:rsidRDefault="00972205">
                    <w:pPr>
                      <w:pStyle w:val="Bibliografa"/>
                      <w:rPr>
                        <w:noProof/>
                      </w:rPr>
                    </w:pPr>
                    <w:r>
                      <w:rPr>
                        <w:noProof/>
                      </w:rPr>
                      <w:t xml:space="preserve">Scimago Institutions Rankings. (2024, Septiembre) Scimago Institutions Rankings. [Online]. </w:t>
                    </w:r>
                    <w:hyperlink r:id="rId6" w:history="1">
                      <w:r>
                        <w:rPr>
                          <w:rStyle w:val="Hipervnculo"/>
                          <w:noProof/>
                        </w:rPr>
                        <w:t>https://www.scimagoir.com/institution.php?idp=1953</w:t>
                      </w:r>
                    </w:hyperlink>
                  </w:p>
                </w:tc>
              </w:tr>
              <w:tr w:rsidR="00972205" w14:paraId="7AA957EE" w14:textId="77777777" w:rsidTr="00972205">
                <w:trPr>
                  <w:tblCellSpacing w:w="15" w:type="dxa"/>
                </w:trPr>
                <w:tc>
                  <w:tcPr>
                    <w:tcW w:w="0" w:type="auto"/>
                    <w:hideMark/>
                  </w:tcPr>
                  <w:p w14:paraId="3367958C" w14:textId="77777777" w:rsidR="00972205" w:rsidRDefault="00972205">
                    <w:pPr>
                      <w:pStyle w:val="Bibliografa"/>
                      <w:jc w:val="right"/>
                      <w:rPr>
                        <w:noProof/>
                      </w:rPr>
                    </w:pPr>
                    <w:bookmarkStart w:id="2" w:name="Art20"/>
                    <w:r>
                      <w:rPr>
                        <w:noProof/>
                      </w:rPr>
                      <w:t>[2]</w:t>
                    </w:r>
                    <w:bookmarkEnd w:id="2"/>
                  </w:p>
                </w:tc>
                <w:tc>
                  <w:tcPr>
                    <w:tcW w:w="0" w:type="auto"/>
                    <w:hideMark/>
                  </w:tcPr>
                  <w:p w14:paraId="27E0EB23" w14:textId="77777777" w:rsidR="00972205" w:rsidRDefault="00972205">
                    <w:pPr>
                      <w:pStyle w:val="Bibliografa"/>
                      <w:rPr>
                        <w:noProof/>
                      </w:rPr>
                    </w:pPr>
                    <w:r>
                      <w:rPr>
                        <w:noProof/>
                      </w:rPr>
                      <w:t xml:space="preserve">"Artificial Intelligence Prediction Model for Swelling Potential of Soil and Quicklime Activated Rice Husk Ash Blend for Sustainable Construction," </w:t>
                    </w:r>
                    <w:r>
                      <w:rPr>
                        <w:i w:val="0"/>
                        <w:iCs/>
                        <w:noProof/>
                      </w:rPr>
                      <w:t>Jurnal Kejuruteraan</w:t>
                    </w:r>
                    <w:r>
                      <w:rPr>
                        <w:noProof/>
                      </w:rPr>
                      <w:t>, vol. 33, no. 4, pp. 845-852, Diciembre 2020.</w:t>
                    </w:r>
                  </w:p>
                </w:tc>
              </w:tr>
              <w:tr w:rsidR="00972205" w14:paraId="63214BCE" w14:textId="77777777" w:rsidTr="00972205">
                <w:trPr>
                  <w:tblCellSpacing w:w="15" w:type="dxa"/>
                </w:trPr>
                <w:tc>
                  <w:tcPr>
                    <w:tcW w:w="0" w:type="auto"/>
                    <w:hideMark/>
                  </w:tcPr>
                  <w:p w14:paraId="4D9F4AD5" w14:textId="77777777" w:rsidR="00972205" w:rsidRDefault="00972205">
                    <w:pPr>
                      <w:pStyle w:val="Bibliografa"/>
                      <w:jc w:val="right"/>
                      <w:rPr>
                        <w:noProof/>
                      </w:rPr>
                    </w:pPr>
                    <w:bookmarkStart w:id="3" w:name="Gon12"/>
                    <w:r>
                      <w:rPr>
                        <w:noProof/>
                      </w:rPr>
                      <w:t>[3]</w:t>
                    </w:r>
                    <w:bookmarkEnd w:id="3"/>
                  </w:p>
                </w:tc>
                <w:tc>
                  <w:tcPr>
                    <w:tcW w:w="0" w:type="auto"/>
                    <w:hideMark/>
                  </w:tcPr>
                  <w:p w14:paraId="7306B381" w14:textId="77777777" w:rsidR="00972205" w:rsidRDefault="00972205">
                    <w:pPr>
                      <w:pStyle w:val="Bibliografa"/>
                      <w:rPr>
                        <w:noProof/>
                      </w:rPr>
                    </w:pPr>
                    <w:r>
                      <w:rPr>
                        <w:noProof/>
                      </w:rPr>
                      <w:t xml:space="preserve">Gonzalez Salceso- et. al., "Aplicación de la Inteligencia Artificial en el diseño de mezclas de concreto. Estado del Arte," </w:t>
                    </w:r>
                    <w:r>
                      <w:rPr>
                        <w:i w:val="0"/>
                        <w:iCs/>
                        <w:noProof/>
                      </w:rPr>
                      <w:t>Cuaderno ACTIVA</w:t>
                    </w:r>
                    <w:r>
                      <w:rPr>
                        <w:noProof/>
                      </w:rPr>
                      <w:t>, vol. 4, pp. 55-65, noviembre 2012.</w:t>
                    </w:r>
                  </w:p>
                </w:tc>
              </w:tr>
            </w:tbl>
            <w:p w14:paraId="0F660611" w14:textId="77777777" w:rsidR="00972205" w:rsidRDefault="00972205" w:rsidP="00972205">
              <w:pPr>
                <w:pStyle w:val="Bibliografa"/>
                <w:rPr>
                  <w:rFonts w:eastAsiaTheme="minorEastAsia"/>
                  <w:noProof/>
                  <w:vanish/>
                </w:rPr>
              </w:pPr>
              <w:r>
                <w:rPr>
                  <w:noProof/>
                  <w:vanish/>
                </w:rPr>
                <w:t>x</w:t>
              </w:r>
            </w:p>
            <w:p w14:paraId="543C38C0" w14:textId="19515FDE" w:rsidR="00972205" w:rsidRDefault="00972205" w:rsidP="00972205">
              <w:r>
                <w:rPr>
                  <w:b/>
                  <w:bCs/>
                </w:rPr>
                <w:fldChar w:fldCharType="end"/>
              </w:r>
            </w:p>
          </w:sdtContent>
        </w:sdt>
      </w:sdtContent>
    </w:sdt>
    <w:p w14:paraId="54DD0C4C" w14:textId="77777777" w:rsidR="00F57139" w:rsidRPr="00B31EEC" w:rsidRDefault="00F57139" w:rsidP="00B31EEC">
      <w:pPr>
        <w:rPr>
          <w:rFonts w:ascii="Arial Narrow" w:hAnsi="Arial Narrow"/>
          <w:i w:val="0"/>
          <w:iCs/>
          <w:sz w:val="22"/>
          <w:lang w:val="es-MX"/>
        </w:rPr>
      </w:pPr>
    </w:p>
    <w:sectPr w:rsidR="00F57139" w:rsidRPr="00B31E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venir Next LT Pro">
    <w:altName w:val="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unito Sans">
    <w:panose1 w:val="00000500000000000000"/>
    <w:charset w:val="00"/>
    <w:family w:val="auto"/>
    <w:pitch w:val="variable"/>
    <w:sig w:usb0="20000007" w:usb1="00000001"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664D0"/>
    <w:multiLevelType w:val="hybridMultilevel"/>
    <w:tmpl w:val="AB10EF38"/>
    <w:lvl w:ilvl="0" w:tplc="F0080728">
      <w:start w:val="1"/>
      <w:numFmt w:val="decimal"/>
      <w:lvlText w:val="6.%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7E4BFC"/>
    <w:multiLevelType w:val="multilevel"/>
    <w:tmpl w:val="18CCBE4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3BA76CE"/>
    <w:multiLevelType w:val="multilevel"/>
    <w:tmpl w:val="1E7002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DB546B8"/>
    <w:multiLevelType w:val="hybridMultilevel"/>
    <w:tmpl w:val="46E67140"/>
    <w:lvl w:ilvl="0" w:tplc="0E1233E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2714D7"/>
    <w:multiLevelType w:val="multilevel"/>
    <w:tmpl w:val="1D6AAA70"/>
    <w:lvl w:ilvl="0">
      <w:start w:val="1"/>
      <w:numFmt w:val="decimal"/>
      <w:lvlText w:val="%1."/>
      <w:lvlJc w:val="left"/>
      <w:pPr>
        <w:ind w:left="2487" w:hanging="360"/>
      </w:pPr>
      <w:rPr>
        <w:rFonts w:hint="default"/>
      </w:rPr>
    </w:lvl>
    <w:lvl w:ilvl="1">
      <w:start w:val="1"/>
      <w:numFmt w:val="decimal"/>
      <w:isLgl/>
      <w:lvlText w:val="%1.%2"/>
      <w:lvlJc w:val="left"/>
      <w:pPr>
        <w:ind w:left="2901" w:hanging="708"/>
      </w:pPr>
      <w:rPr>
        <w:rFonts w:hint="default"/>
      </w:rPr>
    </w:lvl>
    <w:lvl w:ilvl="2">
      <w:start w:val="1"/>
      <w:numFmt w:val="decimal"/>
      <w:isLgl/>
      <w:lvlText w:val="%1.%2.%3"/>
      <w:lvlJc w:val="left"/>
      <w:pPr>
        <w:ind w:left="3054" w:hanging="720"/>
      </w:pPr>
      <w:rPr>
        <w:rFonts w:hint="default"/>
        <w:b/>
      </w:rPr>
    </w:lvl>
    <w:lvl w:ilvl="3">
      <w:start w:val="1"/>
      <w:numFmt w:val="decimal"/>
      <w:isLgl/>
      <w:lvlText w:val="%1.%2.%3.%4"/>
      <w:lvlJc w:val="left"/>
      <w:pPr>
        <w:ind w:left="3405" w:hanging="10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isLgl/>
      <w:lvlText w:val="%1.%2.%3.%4.%5"/>
      <w:lvlJc w:val="left"/>
      <w:pPr>
        <w:ind w:left="3831" w:hanging="1440"/>
      </w:pPr>
      <w:rPr>
        <w:rFonts w:hint="default"/>
      </w:rPr>
    </w:lvl>
    <w:lvl w:ilvl="5">
      <w:start w:val="1"/>
      <w:numFmt w:val="decimal"/>
      <w:isLgl/>
      <w:lvlText w:val="%1.%2.%3.%4.%5.%6"/>
      <w:lvlJc w:val="left"/>
      <w:pPr>
        <w:ind w:left="3897" w:hanging="1440"/>
      </w:pPr>
      <w:rPr>
        <w:rFonts w:hint="default"/>
      </w:rPr>
    </w:lvl>
    <w:lvl w:ilvl="6">
      <w:start w:val="1"/>
      <w:numFmt w:val="decimal"/>
      <w:isLgl/>
      <w:lvlText w:val="%1.%2.%3.%4.%5.%6.%7"/>
      <w:lvlJc w:val="left"/>
      <w:pPr>
        <w:ind w:left="4323" w:hanging="1800"/>
      </w:pPr>
      <w:rPr>
        <w:rFonts w:hint="default"/>
      </w:rPr>
    </w:lvl>
    <w:lvl w:ilvl="7">
      <w:start w:val="1"/>
      <w:numFmt w:val="decimal"/>
      <w:isLgl/>
      <w:lvlText w:val="%1.%2.%3.%4.%5.%6.%7.%8"/>
      <w:lvlJc w:val="left"/>
      <w:pPr>
        <w:ind w:left="4749" w:hanging="2160"/>
      </w:pPr>
      <w:rPr>
        <w:rFonts w:hint="default"/>
      </w:rPr>
    </w:lvl>
    <w:lvl w:ilvl="8">
      <w:start w:val="1"/>
      <w:numFmt w:val="decimal"/>
      <w:isLgl/>
      <w:lvlText w:val="%1.%2.%3.%4.%5.%6.%7.%8.%9"/>
      <w:lvlJc w:val="left"/>
      <w:pPr>
        <w:ind w:left="5175" w:hanging="2520"/>
      </w:pPr>
      <w:rPr>
        <w:rFonts w:hint="default"/>
      </w:rPr>
    </w:lvl>
  </w:abstractNum>
  <w:abstractNum w:abstractNumId="5" w15:restartNumberingAfterBreak="0">
    <w:nsid w:val="355113A5"/>
    <w:multiLevelType w:val="multilevel"/>
    <w:tmpl w:val="4C8C2DF6"/>
    <w:lvl w:ilvl="0">
      <w:start w:val="1"/>
      <w:numFmt w:val="decimal"/>
      <w:pStyle w:val="Prrafodelis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6580B9B"/>
    <w:multiLevelType w:val="hybridMultilevel"/>
    <w:tmpl w:val="CFA2FE9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E671C2"/>
    <w:multiLevelType w:val="multilevel"/>
    <w:tmpl w:val="FBB880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993ECF"/>
    <w:multiLevelType w:val="hybridMultilevel"/>
    <w:tmpl w:val="7C6CA05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FA7AEE"/>
    <w:multiLevelType w:val="multilevel"/>
    <w:tmpl w:val="5B9E3D8C"/>
    <w:lvl w:ilvl="0">
      <w:start w:val="1"/>
      <w:numFmt w:val="decimal"/>
      <w:lvlText w:val="%1."/>
      <w:lvlJc w:val="left"/>
      <w:pPr>
        <w:ind w:left="720" w:hanging="360"/>
      </w:pPr>
      <w:rPr>
        <w:rFonts w:ascii="Tahoma" w:hAnsi="Tahoma" w:hint="default"/>
        <w:b/>
        <w:i w:val="0"/>
        <w:sz w:val="24"/>
      </w:rPr>
    </w:lvl>
    <w:lvl w:ilvl="1">
      <w:start w:val="1"/>
      <w:numFmt w:val="decimal"/>
      <w:isLgl/>
      <w:lvlText w:val="%1.%2."/>
      <w:lvlJc w:val="left"/>
      <w:pPr>
        <w:ind w:left="720" w:hanging="720"/>
      </w:pPr>
      <w:rPr>
        <w:rFonts w:ascii="Tahoma" w:hAnsi="Tahoma" w:hint="default"/>
        <w:b/>
        <w:i w:val="0"/>
        <w:sz w:val="22"/>
      </w:rPr>
    </w:lvl>
    <w:lvl w:ilvl="2">
      <w:start w:val="1"/>
      <w:numFmt w:val="decimal"/>
      <w:isLgl/>
      <w:lvlText w:val="%1.%2.%3."/>
      <w:lvlJc w:val="left"/>
      <w:pPr>
        <w:ind w:left="1440" w:hanging="1080"/>
      </w:pPr>
      <w:rPr>
        <w:rFonts w:ascii="Tahoma" w:hAnsi="Tahoma" w:hint="default"/>
        <w:b/>
        <w:i w:val="0"/>
        <w:sz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57FC279C"/>
    <w:multiLevelType w:val="multilevel"/>
    <w:tmpl w:val="81C857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Estilo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B630A13"/>
    <w:multiLevelType w:val="multilevel"/>
    <w:tmpl w:val="E3F02DD6"/>
    <w:lvl w:ilvl="0">
      <w:start w:val="1"/>
      <w:numFmt w:val="decimal"/>
      <w:lvlText w:val="%1."/>
      <w:lvlJc w:val="left"/>
      <w:pPr>
        <w:ind w:left="360" w:hanging="360"/>
      </w:pPr>
      <w:rPr>
        <w:rFonts w:hint="default"/>
        <w:b/>
        <w:i w:val="0"/>
        <w:strike w:val="0"/>
        <w:dstrike w:val="0"/>
        <w:sz w:val="24"/>
        <w:vertAlign w:val="baseline"/>
      </w:rPr>
    </w:lvl>
    <w:lvl w:ilvl="1">
      <w:start w:val="1"/>
      <w:numFmt w:val="decimal"/>
      <w:isLgl/>
      <w:lvlText w:val="%1.%2"/>
      <w:lvlJc w:val="left"/>
      <w:pPr>
        <w:ind w:left="360" w:hanging="360"/>
      </w:pPr>
      <w:rPr>
        <w:rFonts w:hint="default"/>
      </w:rPr>
    </w:lvl>
    <w:lvl w:ilvl="2">
      <w:start w:val="1"/>
      <w:numFmt w:val="decimal"/>
      <w:pStyle w:val="Ttulo2"/>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BFD65F4"/>
    <w:multiLevelType w:val="hybridMultilevel"/>
    <w:tmpl w:val="141828A4"/>
    <w:lvl w:ilvl="0" w:tplc="B4967A5E">
      <w:start w:val="1"/>
      <w:numFmt w:val="decimal"/>
      <w:lvlText w:val="6.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81213D"/>
    <w:multiLevelType w:val="multilevel"/>
    <w:tmpl w:val="E6D88BD6"/>
    <w:lvl w:ilvl="0">
      <w:start w:val="1"/>
      <w:numFmt w:val="decimal"/>
      <w:lvlText w:val="%1."/>
      <w:lvlJc w:val="left"/>
      <w:pPr>
        <w:ind w:left="822" w:hanging="360"/>
        <w:jc w:val="left"/>
      </w:pPr>
      <w:rPr>
        <w:rFonts w:ascii="Avenir Next LT Pro" w:eastAsia="Times New Roman" w:hAnsi="Avenir Next LT Pro" w:cs="Times New Roman" w:hint="default"/>
        <w:b/>
        <w:bCs/>
        <w:w w:val="100"/>
        <w:sz w:val="22"/>
        <w:szCs w:val="22"/>
        <w:lang w:val="es-ES" w:eastAsia="es-ES" w:bidi="es-ES"/>
      </w:rPr>
    </w:lvl>
    <w:lvl w:ilvl="1">
      <w:start w:val="1"/>
      <w:numFmt w:val="decimal"/>
      <w:lvlText w:val="%1.%2."/>
      <w:lvlJc w:val="left"/>
      <w:pPr>
        <w:ind w:left="822" w:hanging="416"/>
        <w:jc w:val="left"/>
      </w:pPr>
      <w:rPr>
        <w:rFonts w:hint="default"/>
        <w:w w:val="100"/>
        <w:lang w:val="es-ES" w:eastAsia="es-ES" w:bidi="es-ES"/>
      </w:rPr>
    </w:lvl>
    <w:lvl w:ilvl="2">
      <w:numFmt w:val="bullet"/>
      <w:lvlText w:val="•"/>
      <w:lvlJc w:val="left"/>
      <w:pPr>
        <w:ind w:left="2548" w:hanging="416"/>
      </w:pPr>
      <w:rPr>
        <w:rFonts w:hint="default"/>
        <w:lang w:val="es-ES" w:eastAsia="es-ES" w:bidi="es-ES"/>
      </w:rPr>
    </w:lvl>
    <w:lvl w:ilvl="3">
      <w:numFmt w:val="bullet"/>
      <w:lvlText w:val="•"/>
      <w:lvlJc w:val="left"/>
      <w:pPr>
        <w:ind w:left="3412" w:hanging="416"/>
      </w:pPr>
      <w:rPr>
        <w:rFonts w:hint="default"/>
        <w:lang w:val="es-ES" w:eastAsia="es-ES" w:bidi="es-ES"/>
      </w:rPr>
    </w:lvl>
    <w:lvl w:ilvl="4">
      <w:numFmt w:val="bullet"/>
      <w:lvlText w:val="•"/>
      <w:lvlJc w:val="left"/>
      <w:pPr>
        <w:ind w:left="4276" w:hanging="416"/>
      </w:pPr>
      <w:rPr>
        <w:rFonts w:hint="default"/>
        <w:lang w:val="es-ES" w:eastAsia="es-ES" w:bidi="es-ES"/>
      </w:rPr>
    </w:lvl>
    <w:lvl w:ilvl="5">
      <w:numFmt w:val="bullet"/>
      <w:lvlText w:val="•"/>
      <w:lvlJc w:val="left"/>
      <w:pPr>
        <w:ind w:left="5141" w:hanging="416"/>
      </w:pPr>
      <w:rPr>
        <w:rFonts w:hint="default"/>
        <w:lang w:val="es-ES" w:eastAsia="es-ES" w:bidi="es-ES"/>
      </w:rPr>
    </w:lvl>
    <w:lvl w:ilvl="6">
      <w:numFmt w:val="bullet"/>
      <w:lvlText w:val="•"/>
      <w:lvlJc w:val="left"/>
      <w:pPr>
        <w:ind w:left="6005" w:hanging="416"/>
      </w:pPr>
      <w:rPr>
        <w:rFonts w:hint="default"/>
        <w:lang w:val="es-ES" w:eastAsia="es-ES" w:bidi="es-ES"/>
      </w:rPr>
    </w:lvl>
    <w:lvl w:ilvl="7">
      <w:numFmt w:val="bullet"/>
      <w:lvlText w:val="•"/>
      <w:lvlJc w:val="left"/>
      <w:pPr>
        <w:ind w:left="6869" w:hanging="416"/>
      </w:pPr>
      <w:rPr>
        <w:rFonts w:hint="default"/>
        <w:lang w:val="es-ES" w:eastAsia="es-ES" w:bidi="es-ES"/>
      </w:rPr>
    </w:lvl>
    <w:lvl w:ilvl="8">
      <w:numFmt w:val="bullet"/>
      <w:lvlText w:val="•"/>
      <w:lvlJc w:val="left"/>
      <w:pPr>
        <w:ind w:left="7733" w:hanging="416"/>
      </w:pPr>
      <w:rPr>
        <w:rFonts w:hint="default"/>
        <w:lang w:val="es-ES" w:eastAsia="es-ES" w:bidi="es-ES"/>
      </w:rPr>
    </w:lvl>
  </w:abstractNum>
  <w:num w:numId="1" w16cid:durableId="1145589608">
    <w:abstractNumId w:val="9"/>
  </w:num>
  <w:num w:numId="2" w16cid:durableId="1795707428">
    <w:abstractNumId w:val="0"/>
  </w:num>
  <w:num w:numId="3" w16cid:durableId="770204914">
    <w:abstractNumId w:val="12"/>
  </w:num>
  <w:num w:numId="4" w16cid:durableId="1548570128">
    <w:abstractNumId w:val="10"/>
  </w:num>
  <w:num w:numId="5" w16cid:durableId="563229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3304360">
    <w:abstractNumId w:val="12"/>
  </w:num>
  <w:num w:numId="7" w16cid:durableId="45222775">
    <w:abstractNumId w:val="4"/>
  </w:num>
  <w:num w:numId="8" w16cid:durableId="431245835">
    <w:abstractNumId w:val="4"/>
  </w:num>
  <w:num w:numId="9" w16cid:durableId="184953041">
    <w:abstractNumId w:val="2"/>
  </w:num>
  <w:num w:numId="10" w16cid:durableId="1053312391">
    <w:abstractNumId w:val="1"/>
  </w:num>
  <w:num w:numId="11" w16cid:durableId="1228303849">
    <w:abstractNumId w:val="1"/>
  </w:num>
  <w:num w:numId="12" w16cid:durableId="1037396033">
    <w:abstractNumId w:val="10"/>
  </w:num>
  <w:num w:numId="13" w16cid:durableId="1795710928">
    <w:abstractNumId w:val="1"/>
  </w:num>
  <w:num w:numId="14" w16cid:durableId="857617902">
    <w:abstractNumId w:val="13"/>
  </w:num>
  <w:num w:numId="15" w16cid:durableId="812865450">
    <w:abstractNumId w:val="7"/>
  </w:num>
  <w:num w:numId="16" w16cid:durableId="828709742">
    <w:abstractNumId w:val="11"/>
  </w:num>
  <w:num w:numId="17" w16cid:durableId="1968314594">
    <w:abstractNumId w:val="3"/>
  </w:num>
  <w:num w:numId="18" w16cid:durableId="1428891255">
    <w:abstractNumId w:val="3"/>
  </w:num>
  <w:num w:numId="19" w16cid:durableId="779763813">
    <w:abstractNumId w:val="5"/>
  </w:num>
  <w:num w:numId="20" w16cid:durableId="1264067119">
    <w:abstractNumId w:val="5"/>
  </w:num>
  <w:num w:numId="21" w16cid:durableId="703747289">
    <w:abstractNumId w:val="8"/>
  </w:num>
  <w:num w:numId="22" w16cid:durableId="12938274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111"/>
    <w:rsid w:val="000E7303"/>
    <w:rsid w:val="00195A0B"/>
    <w:rsid w:val="001A399C"/>
    <w:rsid w:val="0020180F"/>
    <w:rsid w:val="00287111"/>
    <w:rsid w:val="0029036E"/>
    <w:rsid w:val="00290DB4"/>
    <w:rsid w:val="00310508"/>
    <w:rsid w:val="0032525F"/>
    <w:rsid w:val="00395741"/>
    <w:rsid w:val="004200F2"/>
    <w:rsid w:val="00420DCE"/>
    <w:rsid w:val="005143E7"/>
    <w:rsid w:val="005A204A"/>
    <w:rsid w:val="005B3C64"/>
    <w:rsid w:val="00687E93"/>
    <w:rsid w:val="006A4A81"/>
    <w:rsid w:val="00717671"/>
    <w:rsid w:val="00855854"/>
    <w:rsid w:val="00885C3B"/>
    <w:rsid w:val="00890618"/>
    <w:rsid w:val="008F7DB5"/>
    <w:rsid w:val="009252FA"/>
    <w:rsid w:val="009360F4"/>
    <w:rsid w:val="00964D62"/>
    <w:rsid w:val="00972205"/>
    <w:rsid w:val="009E233D"/>
    <w:rsid w:val="00A83D8C"/>
    <w:rsid w:val="00AF3BED"/>
    <w:rsid w:val="00B31EEC"/>
    <w:rsid w:val="00CD5391"/>
    <w:rsid w:val="00D27126"/>
    <w:rsid w:val="00E262D5"/>
    <w:rsid w:val="00E468A1"/>
    <w:rsid w:val="00E96710"/>
    <w:rsid w:val="00EA5236"/>
    <w:rsid w:val="00F57139"/>
    <w:rsid w:val="00FF4C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79B37"/>
  <w15:chartTrackingRefBased/>
  <w15:docId w15:val="{672F7A9E-10D0-462F-B782-0999FA27B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111"/>
    <w:rPr>
      <w:rFonts w:ascii="Times New Roman" w:hAnsi="Times New Roman"/>
      <w:i/>
      <w:kern w:val="0"/>
      <w:sz w:val="20"/>
      <w:lang w:val="es-ES"/>
      <w14:ligatures w14:val="none"/>
    </w:rPr>
  </w:style>
  <w:style w:type="paragraph" w:styleId="Ttulo1">
    <w:name w:val="heading 1"/>
    <w:basedOn w:val="Normal"/>
    <w:next w:val="Normal"/>
    <w:link w:val="Ttulo1Car"/>
    <w:autoRedefine/>
    <w:uiPriority w:val="9"/>
    <w:qFormat/>
    <w:rsid w:val="00195A0B"/>
    <w:pPr>
      <w:keepNext/>
      <w:keepLines/>
      <w:spacing w:before="240" w:after="0" w:line="360" w:lineRule="auto"/>
      <w:ind w:left="360" w:hanging="360"/>
      <w:jc w:val="both"/>
      <w:outlineLvl w:val="0"/>
    </w:pPr>
    <w:rPr>
      <w:rFonts w:ascii="Arial" w:eastAsiaTheme="majorEastAsia" w:hAnsi="Arial" w:cstheme="majorBidi"/>
      <w:b/>
      <w:caps/>
      <w:sz w:val="24"/>
      <w:szCs w:val="32"/>
      <w14:ligatures w14:val="standardContextual"/>
    </w:rPr>
  </w:style>
  <w:style w:type="paragraph" w:styleId="Ttulo2">
    <w:name w:val="heading 2"/>
    <w:aliases w:val="TITULO 2"/>
    <w:basedOn w:val="Normal"/>
    <w:next w:val="Normal"/>
    <w:link w:val="Ttulo2Car"/>
    <w:autoRedefine/>
    <w:unhideWhenUsed/>
    <w:qFormat/>
    <w:rsid w:val="006A4A81"/>
    <w:pPr>
      <w:keepNext/>
      <w:keepLines/>
      <w:numPr>
        <w:ilvl w:val="2"/>
        <w:numId w:val="16"/>
      </w:numPr>
      <w:spacing w:before="120" w:after="120" w:line="276" w:lineRule="auto"/>
      <w:jc w:val="both"/>
      <w:outlineLvl w:val="1"/>
    </w:pPr>
    <w:rPr>
      <w:b/>
      <w:bCs/>
      <w:szCs w:val="26"/>
    </w:rPr>
  </w:style>
  <w:style w:type="paragraph" w:styleId="Ttulo3">
    <w:name w:val="heading 3"/>
    <w:aliases w:val="Título 3 (capítulo),Oscar Faber 3,Minor,Outline3,Apx par,Halcrow 3,Mi,Headline,L3,Level 3 - 1,Use,Main Text,Section SubHeading,Report sub head,SBH,rb,bold italic,NIVEL 3-R&amp;S,Título 3A,Edgar 3,1.1.1Título 3,Título 3-BCN,moloko,Sous-titre (3),2"/>
    <w:basedOn w:val="Normal"/>
    <w:next w:val="Normal"/>
    <w:link w:val="Ttulo3Car"/>
    <w:autoRedefine/>
    <w:unhideWhenUsed/>
    <w:qFormat/>
    <w:rsid w:val="006A4A81"/>
    <w:pPr>
      <w:keepNext/>
      <w:numPr>
        <w:ilvl w:val="2"/>
        <w:numId w:val="13"/>
      </w:numPr>
      <w:spacing w:afterAutospacing="1"/>
      <w:outlineLvl w:val="2"/>
    </w:pPr>
    <w:rPr>
      <w:rFonts w:cs="Tahoma"/>
      <w:b/>
      <w:bCs/>
      <w:lang w:val="x-none"/>
    </w:rPr>
  </w:style>
  <w:style w:type="paragraph" w:styleId="Ttulo4">
    <w:name w:val="heading 4"/>
    <w:basedOn w:val="Normal"/>
    <w:next w:val="Normal"/>
    <w:link w:val="Ttulo4Car"/>
    <w:uiPriority w:val="9"/>
    <w:semiHidden/>
    <w:unhideWhenUsed/>
    <w:qFormat/>
    <w:rsid w:val="006A4A81"/>
    <w:pPr>
      <w:keepNext/>
      <w:keepLines/>
      <w:numPr>
        <w:ilvl w:val="3"/>
        <w:numId w:val="13"/>
      </w:numPr>
      <w:spacing w:before="40"/>
      <w:outlineLvl w:val="3"/>
    </w:pPr>
    <w:rPr>
      <w:rFonts w:asciiTheme="majorHAnsi" w:eastAsiaTheme="majorEastAsia" w:hAnsiTheme="majorHAnsi" w:cstheme="majorBidi"/>
      <w:i w:val="0"/>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link w:val="DescripcinCar"/>
    <w:autoRedefine/>
    <w:uiPriority w:val="35"/>
    <w:unhideWhenUsed/>
    <w:qFormat/>
    <w:rsid w:val="00890618"/>
    <w:pPr>
      <w:spacing w:after="0" w:line="240" w:lineRule="auto"/>
    </w:pPr>
    <w:rPr>
      <w:rFonts w:eastAsia="Times New Roman" w:cs="Times New Roman"/>
      <w:bCs/>
      <w:szCs w:val="20"/>
      <w:lang w:eastAsia="fr-FR"/>
    </w:rPr>
  </w:style>
  <w:style w:type="character" w:customStyle="1" w:styleId="DescripcinCar">
    <w:name w:val="Descripción Car"/>
    <w:link w:val="Descripcin"/>
    <w:uiPriority w:val="35"/>
    <w:qFormat/>
    <w:locked/>
    <w:rsid w:val="00890618"/>
    <w:rPr>
      <w:rFonts w:ascii="Times New Roman" w:eastAsia="Times New Roman" w:hAnsi="Times New Roman" w:cs="Times New Roman"/>
      <w:bCs/>
      <w:kern w:val="0"/>
      <w:sz w:val="20"/>
      <w:szCs w:val="20"/>
      <w:lang w:eastAsia="fr-FR"/>
      <w14:ligatures w14:val="none"/>
    </w:rPr>
  </w:style>
  <w:style w:type="paragraph" w:customStyle="1" w:styleId="TtuloN1">
    <w:name w:val="Título N1"/>
    <w:basedOn w:val="Ttulo1"/>
    <w:autoRedefine/>
    <w:qFormat/>
    <w:rsid w:val="00E468A1"/>
    <w:pPr>
      <w:spacing w:after="60"/>
      <w:ind w:left="720"/>
    </w:pPr>
    <w:rPr>
      <w:rFonts w:eastAsia="Calibri" w:cs="Tahoma"/>
      <w:b w:val="0"/>
    </w:rPr>
  </w:style>
  <w:style w:type="character" w:customStyle="1" w:styleId="Ttulo1Car">
    <w:name w:val="Título 1 Car"/>
    <w:basedOn w:val="Fuentedeprrafopredeter"/>
    <w:link w:val="Ttulo1"/>
    <w:uiPriority w:val="9"/>
    <w:rsid w:val="00195A0B"/>
    <w:rPr>
      <w:rFonts w:ascii="Arial" w:eastAsiaTheme="majorEastAsia" w:hAnsi="Arial" w:cstheme="majorBidi"/>
      <w:b/>
      <w:caps/>
      <w:kern w:val="0"/>
      <w:sz w:val="24"/>
      <w:szCs w:val="32"/>
    </w:rPr>
  </w:style>
  <w:style w:type="paragraph" w:customStyle="1" w:styleId="Estilo6x">
    <w:name w:val="Estilo 6.x"/>
    <w:basedOn w:val="Ttulo3"/>
    <w:link w:val="Estilo6xCar"/>
    <w:autoRedefine/>
    <w:qFormat/>
    <w:rsid w:val="00E468A1"/>
    <w:pPr>
      <w:spacing w:after="100"/>
    </w:pPr>
    <w:rPr>
      <w:rFonts w:ascii="Tahoma" w:hAnsi="Tahoma" w:cstheme="minorBidi"/>
      <w:b w:val="0"/>
      <w:bCs w:val="0"/>
      <w:szCs w:val="26"/>
      <w:lang w:val="es-CO"/>
    </w:rPr>
  </w:style>
  <w:style w:type="character" w:customStyle="1" w:styleId="Estilo6xCar">
    <w:name w:val="Estilo 6.x Car"/>
    <w:link w:val="Estilo6x"/>
    <w:rsid w:val="00E468A1"/>
    <w:rPr>
      <w:rFonts w:ascii="Tahoma" w:eastAsia="Times New Roman" w:hAnsi="Tahoma"/>
      <w:b/>
      <w:bCs/>
      <w:szCs w:val="26"/>
    </w:rPr>
  </w:style>
  <w:style w:type="character" w:customStyle="1" w:styleId="Ttulo3Car">
    <w:name w:val="Título 3 Car"/>
    <w:aliases w:val="Título 3 (capítulo) Car,Oscar Faber 3 Car,Minor Car,Outline3 Car,Apx par Car,Halcrow 3 Car,Mi Car,Headline Car,L3 Car,Level 3 - 1 Car,Use Car,Main Text Car,Section SubHeading Car,Report sub head Car,SBH Car,rb Car,bold italic Car,moloko Car"/>
    <w:link w:val="Ttulo3"/>
    <w:rsid w:val="00E262D5"/>
    <w:rPr>
      <w:rFonts w:ascii="Calibri Light" w:eastAsia="Times New Roman" w:hAnsi="Calibri Light" w:cs="Tahoma"/>
      <w:b/>
      <w:bCs/>
      <w:lang w:val="x-none"/>
    </w:rPr>
  </w:style>
  <w:style w:type="paragraph" w:customStyle="1" w:styleId="Estilo1">
    <w:name w:val="Estilo1"/>
    <w:basedOn w:val="Estilo6x"/>
    <w:link w:val="Estilo1Car"/>
    <w:autoRedefine/>
    <w:qFormat/>
    <w:rsid w:val="0020180F"/>
    <w:pPr>
      <w:numPr>
        <w:numId w:val="4"/>
      </w:numPr>
      <w:spacing w:after="0"/>
      <w:ind w:left="360" w:hanging="360"/>
      <w:jc w:val="center"/>
    </w:pPr>
    <w:rPr>
      <w:rFonts w:ascii="Calibri Light" w:hAnsi="Calibri Light" w:cs="Tahoma"/>
      <w:szCs w:val="22"/>
    </w:rPr>
  </w:style>
  <w:style w:type="character" w:customStyle="1" w:styleId="Estilo1Car">
    <w:name w:val="Estilo1 Car"/>
    <w:link w:val="Estilo1"/>
    <w:rsid w:val="0020180F"/>
    <w:rPr>
      <w:rFonts w:ascii="Calibri Light" w:eastAsia="Times New Roman" w:hAnsi="Calibri Light" w:cs="Tahoma"/>
    </w:rPr>
  </w:style>
  <w:style w:type="paragraph" w:customStyle="1" w:styleId="Estilo2">
    <w:name w:val="Estilo2"/>
    <w:basedOn w:val="Ttulo3"/>
    <w:next w:val="Normal"/>
    <w:link w:val="Estilo2Car"/>
    <w:autoRedefine/>
    <w:qFormat/>
    <w:rsid w:val="00290DB4"/>
    <w:pPr>
      <w:spacing w:before="360" w:after="180"/>
      <w:ind w:left="360" w:hanging="360"/>
    </w:pPr>
    <w:rPr>
      <w:color w:val="000000" w:themeColor="text1"/>
      <w:lang w:val="es-CO" w:eastAsia="es-CO"/>
    </w:rPr>
  </w:style>
  <w:style w:type="character" w:customStyle="1" w:styleId="Estilo2Car">
    <w:name w:val="Estilo2 Car"/>
    <w:link w:val="Estilo2"/>
    <w:rsid w:val="00290DB4"/>
    <w:rPr>
      <w:rFonts w:ascii="Calibri Light" w:eastAsia="Times New Roman" w:hAnsi="Calibri Light" w:cs="Tahoma"/>
      <w:b/>
      <w:bCs/>
      <w:color w:val="000000" w:themeColor="text1"/>
      <w:lang w:eastAsia="es-CO"/>
    </w:rPr>
  </w:style>
  <w:style w:type="character" w:customStyle="1" w:styleId="Ttulo4Car">
    <w:name w:val="Título 4 Car"/>
    <w:basedOn w:val="Fuentedeprrafopredeter"/>
    <w:link w:val="Ttulo4"/>
    <w:uiPriority w:val="9"/>
    <w:semiHidden/>
    <w:rsid w:val="00E468A1"/>
    <w:rPr>
      <w:rFonts w:asciiTheme="majorHAnsi" w:eastAsiaTheme="majorEastAsia" w:hAnsiTheme="majorHAnsi" w:cstheme="majorBidi"/>
      <w:i/>
      <w:iCs/>
      <w:color w:val="2F5496" w:themeColor="accent1" w:themeShade="BF"/>
      <w:szCs w:val="20"/>
      <w:lang w:val="es-ES" w:eastAsia="es-ES"/>
    </w:rPr>
  </w:style>
  <w:style w:type="character" w:customStyle="1" w:styleId="Ttulo2Car">
    <w:name w:val="Título 2 Car"/>
    <w:aliases w:val="TITULO 2 Car"/>
    <w:link w:val="Ttulo2"/>
    <w:rsid w:val="006A4A81"/>
    <w:rPr>
      <w:rFonts w:ascii="Calibri Light" w:eastAsia="Times New Roman" w:hAnsi="Calibri Light"/>
      <w:b/>
      <w:bCs/>
      <w:szCs w:val="26"/>
    </w:rPr>
  </w:style>
  <w:style w:type="paragraph" w:styleId="Prrafodelista">
    <w:name w:val="List Paragraph"/>
    <w:aliases w:val="Titulo 11"/>
    <w:basedOn w:val="Normal"/>
    <w:link w:val="PrrafodelistaCar"/>
    <w:autoRedefine/>
    <w:uiPriority w:val="34"/>
    <w:qFormat/>
    <w:rsid w:val="0032525F"/>
    <w:pPr>
      <w:numPr>
        <w:numId w:val="19"/>
      </w:numPr>
      <w:spacing w:after="0" w:line="240" w:lineRule="auto"/>
      <w:ind w:hanging="360"/>
      <w:contextualSpacing/>
      <w:jc w:val="both"/>
    </w:pPr>
    <w:rPr>
      <w:rFonts w:ascii="Nunito Sans" w:hAnsi="Nunito Sans"/>
      <w:bCs/>
      <w:i w:val="0"/>
    </w:rPr>
  </w:style>
  <w:style w:type="character" w:customStyle="1" w:styleId="PrrafodelistaCar">
    <w:name w:val="Párrafo de lista Car"/>
    <w:aliases w:val="Titulo 11 Car"/>
    <w:link w:val="Prrafodelista"/>
    <w:uiPriority w:val="34"/>
    <w:qFormat/>
    <w:rsid w:val="0032525F"/>
    <w:rPr>
      <w:rFonts w:ascii="Nunito Sans" w:hAnsi="Nunito Sans"/>
      <w:bCs/>
      <w:kern w:val="0"/>
      <w:sz w:val="20"/>
      <w:lang w:val="es-ES"/>
      <w14:ligatures w14:val="none"/>
    </w:rPr>
  </w:style>
  <w:style w:type="paragraph" w:customStyle="1" w:styleId="Tit1">
    <w:name w:val="Tit 1"/>
    <w:basedOn w:val="Ttulo1"/>
    <w:autoRedefine/>
    <w:qFormat/>
    <w:rsid w:val="00D27126"/>
    <w:pPr>
      <w:spacing w:before="360" w:after="120" w:line="240" w:lineRule="auto"/>
      <w:ind w:left="0" w:firstLine="0"/>
      <w:jc w:val="center"/>
    </w:pPr>
    <w:rPr>
      <w:rFonts w:ascii="Nunito Sans" w:hAnsi="Nunito Sans"/>
      <w:bCs/>
      <w:i w:val="0"/>
      <w:iCs/>
      <w:caps w:val="0"/>
      <w:color w:val="000000" w:themeColor="text1"/>
      <w:kern w:val="2"/>
      <w:sz w:val="22"/>
      <w:lang w:val="es-CO"/>
    </w:rPr>
  </w:style>
  <w:style w:type="paragraph" w:customStyle="1" w:styleId="Tit2">
    <w:name w:val="Tit 2"/>
    <w:basedOn w:val="Ttulo2"/>
    <w:link w:val="Tit2Car"/>
    <w:autoRedefine/>
    <w:qFormat/>
    <w:rsid w:val="00D27126"/>
    <w:pPr>
      <w:numPr>
        <w:ilvl w:val="0"/>
        <w:numId w:val="0"/>
      </w:numPr>
      <w:spacing w:before="240" w:after="240" w:line="259" w:lineRule="auto"/>
      <w:jc w:val="left"/>
    </w:pPr>
    <w:rPr>
      <w:rFonts w:ascii="Nunito Sans" w:eastAsiaTheme="majorEastAsia" w:hAnsi="Nunito Sans" w:cstheme="majorBidi"/>
      <w:bCs w:val="0"/>
      <w:i w:val="0"/>
      <w:color w:val="2F5496" w:themeColor="accent1" w:themeShade="BF"/>
      <w:kern w:val="2"/>
      <w:sz w:val="26"/>
      <w:lang w:val="es-CO"/>
      <w14:ligatures w14:val="standardContextual"/>
    </w:rPr>
  </w:style>
  <w:style w:type="character" w:customStyle="1" w:styleId="Tit2Car">
    <w:name w:val="Tit 2 Car"/>
    <w:basedOn w:val="Ttulo2Car"/>
    <w:link w:val="Tit2"/>
    <w:rsid w:val="00D27126"/>
    <w:rPr>
      <w:rFonts w:ascii="Nunito Sans" w:eastAsiaTheme="majorEastAsia" w:hAnsi="Nunito Sans" w:cstheme="majorBidi"/>
      <w:b/>
      <w:bCs w:val="0"/>
      <w:color w:val="2F5496" w:themeColor="accent1" w:themeShade="BF"/>
      <w:sz w:val="26"/>
      <w:szCs w:val="26"/>
    </w:rPr>
  </w:style>
  <w:style w:type="paragraph" w:customStyle="1" w:styleId="Tit3">
    <w:name w:val="Tit 3"/>
    <w:basedOn w:val="Tit2"/>
    <w:link w:val="Tit3Car"/>
    <w:autoRedefine/>
    <w:qFormat/>
    <w:rsid w:val="00D27126"/>
    <w:pPr>
      <w:spacing w:line="240" w:lineRule="auto"/>
    </w:pPr>
    <w:rPr>
      <w:b w:val="0"/>
    </w:rPr>
  </w:style>
  <w:style w:type="character" w:customStyle="1" w:styleId="Tit3Car">
    <w:name w:val="Tit 3 Car"/>
    <w:basedOn w:val="Tit2Car"/>
    <w:link w:val="Tit3"/>
    <w:rsid w:val="00D27126"/>
    <w:rPr>
      <w:rFonts w:ascii="Nunito Sans" w:eastAsiaTheme="majorEastAsia" w:hAnsi="Nunito Sans" w:cstheme="majorBidi"/>
      <w:b w:val="0"/>
      <w:bCs w:val="0"/>
      <w:color w:val="2F5496" w:themeColor="accent1" w:themeShade="BF"/>
      <w:sz w:val="26"/>
      <w:szCs w:val="26"/>
    </w:rPr>
  </w:style>
  <w:style w:type="paragraph" w:styleId="TtuloTDC">
    <w:name w:val="TOC Heading"/>
    <w:basedOn w:val="Ttulo1"/>
    <w:next w:val="Normal"/>
    <w:autoRedefine/>
    <w:uiPriority w:val="39"/>
    <w:unhideWhenUsed/>
    <w:qFormat/>
    <w:rsid w:val="00D27126"/>
    <w:pPr>
      <w:spacing w:line="259" w:lineRule="auto"/>
      <w:ind w:left="0" w:firstLine="0"/>
      <w:jc w:val="left"/>
      <w:outlineLvl w:val="9"/>
    </w:pPr>
    <w:rPr>
      <w:rFonts w:ascii="Nunito Sans" w:hAnsi="Nunito Sans"/>
      <w:i w:val="0"/>
      <w:caps w:val="0"/>
      <w:sz w:val="22"/>
      <w:lang w:val="es-CO" w:eastAsia="es-CO"/>
      <w14:ligatures w14:val="none"/>
    </w:rPr>
  </w:style>
  <w:style w:type="paragraph" w:styleId="Bibliografa">
    <w:name w:val="Bibliography"/>
    <w:basedOn w:val="Normal"/>
    <w:next w:val="Normal"/>
    <w:uiPriority w:val="37"/>
    <w:unhideWhenUsed/>
    <w:rsid w:val="00972205"/>
  </w:style>
  <w:style w:type="character" w:styleId="Hipervnculo">
    <w:name w:val="Hyperlink"/>
    <w:basedOn w:val="Fuentedeprrafopredeter"/>
    <w:uiPriority w:val="99"/>
    <w:semiHidden/>
    <w:unhideWhenUsed/>
    <w:rsid w:val="009722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604280">
      <w:bodyDiv w:val="1"/>
      <w:marLeft w:val="0"/>
      <w:marRight w:val="0"/>
      <w:marTop w:val="0"/>
      <w:marBottom w:val="0"/>
      <w:divBdr>
        <w:top w:val="none" w:sz="0" w:space="0" w:color="auto"/>
        <w:left w:val="none" w:sz="0" w:space="0" w:color="auto"/>
        <w:bottom w:val="none" w:sz="0" w:space="0" w:color="auto"/>
        <w:right w:val="none" w:sz="0" w:space="0" w:color="auto"/>
      </w:divBdr>
    </w:div>
    <w:div w:id="952857478">
      <w:bodyDiv w:val="1"/>
      <w:marLeft w:val="0"/>
      <w:marRight w:val="0"/>
      <w:marTop w:val="0"/>
      <w:marBottom w:val="0"/>
      <w:divBdr>
        <w:top w:val="none" w:sz="0" w:space="0" w:color="auto"/>
        <w:left w:val="none" w:sz="0" w:space="0" w:color="auto"/>
        <w:bottom w:val="none" w:sz="0" w:space="0" w:color="auto"/>
        <w:right w:val="none" w:sz="0" w:space="0" w:color="auto"/>
      </w:divBdr>
    </w:div>
    <w:div w:id="1326056115">
      <w:bodyDiv w:val="1"/>
      <w:marLeft w:val="0"/>
      <w:marRight w:val="0"/>
      <w:marTop w:val="0"/>
      <w:marBottom w:val="0"/>
      <w:divBdr>
        <w:top w:val="none" w:sz="0" w:space="0" w:color="auto"/>
        <w:left w:val="none" w:sz="0" w:space="0" w:color="auto"/>
        <w:bottom w:val="none" w:sz="0" w:space="0" w:color="auto"/>
        <w:right w:val="none" w:sz="0" w:space="0" w:color="auto"/>
      </w:divBdr>
    </w:div>
    <w:div w:id="213852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magoir.com/institution.php?idp=195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b:Source>
    <b:Tag>Sci24</b:Tag>
    <b:SourceType>InternetSite</b:SourceType>
    <b:Guid>{C44FC9C4-6EA5-42F3-9366-681948AE3526}</b:Guid>
    <b:Year>2024</b:Year>
    <b:Author>
      <b:Author>
        <b:NameList>
          <b:Person>
            <b:Last>Rankings</b:Last>
            <b:First>Scimago</b:First>
            <b:Middle>Institutions</b:Middle>
          </b:Person>
        </b:NameList>
      </b:Author>
    </b:Author>
    <b:InternetSiteTitle>Scimago Institutions Rankings</b:InternetSiteTitle>
    <b:Month>Septiembre</b:Month>
    <b:URL>https://www.scimagoir.com/institution.php?idp=1953</b:URL>
    <b:RefOrder>1</b:RefOrder>
  </b:Source>
  <b:Source>
    <b:Tag>Art20</b:Tag>
    <b:SourceType>JournalArticle</b:SourceType>
    <b:Guid>{152BD229-35CE-427B-B416-3E3070A077C2}</b:Guid>
    <b:Title>Artificial Intelligence Prediction Model for Swelling Potential of Soil and Quicklime Activated Rice Husk Ash Blend for Sustainable Construction</b:Title>
    <b:JournalName>Jurnal Kejuruteraan</b:JournalName>
    <b:Year>2020</b:Year>
    <b:Month>Diciembre</b:Month>
    <b:Pages>845-852</b:Pages>
    <b:Volume>33</b:Volume>
    <b:Issue>4</b:Issue>
    <b:DOI>https://doi.org/10.17576/jkukm-2021-33(4)-07</b:DOI>
    <b:RefOrder>2</b:RefOrder>
  </b:Source>
  <b:Source>
    <b:Tag>Gon12</b:Tag>
    <b:SourceType>JournalArticle</b:SourceType>
    <b:Guid>{41CCA7F6-B5E5-4A7A-BA36-F0E30854B04F}</b:Guid>
    <b:Title>Aplicación de la Inteligencia Artificial en el diseño de mezclas de concreto. Estado del Arte</b:Title>
    <b:JournalName>Cuaderno ACTIVA</b:JournalName>
    <b:Year>2012</b:Year>
    <b:Month>noviembre</b:Month>
    <b:Pages>55-65</b:Pages>
    <b:Volume>4</b:Volume>
    <b:Author>
      <b:Author>
        <b:NameList>
          <b:Person>
            <b:Last>al.</b:Last>
            <b:First>Gonzalez</b:First>
            <b:Middle>Salceso- et.</b:Middle>
          </b:Person>
        </b:NameList>
      </b:Author>
    </b:Author>
    <b:StandardNumber>ISSN 2027-8101</b:StandardNumber>
    <b:RefOrder>3</b:RefOrder>
  </b:Source>
</b:Sources>
</file>

<file path=customXml/itemProps1.xml><?xml version="1.0" encoding="utf-8"?>
<ds:datastoreItem xmlns:ds="http://schemas.openxmlformats.org/officeDocument/2006/customXml" ds:itemID="{74BB728F-1A4F-444B-B343-41E58CBF1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1465</Words>
  <Characters>8060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Leonel Eduardo Cotes de la Hoz</dc:creator>
  <cp:keywords/>
  <dc:description/>
  <cp:lastModifiedBy>Leonel Eduardo Cotes de la Hoz</cp:lastModifiedBy>
  <cp:revision>6</cp:revision>
  <dcterms:created xsi:type="dcterms:W3CDTF">2024-09-12T00:06:00Z</dcterms:created>
  <dcterms:modified xsi:type="dcterms:W3CDTF">2024-09-16T21:03:00Z</dcterms:modified>
</cp:coreProperties>
</file>