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53AAC" w14:textId="54542D6D" w:rsidR="006F56F8" w:rsidRPr="0005541A" w:rsidRDefault="006F56F8" w:rsidP="0005541A">
      <w:pPr>
        <w:jc w:val="center"/>
        <w:rPr>
          <w:rFonts w:ascii="Arial Narrow" w:hAnsi="Arial Narrow"/>
          <w:b/>
          <w:bCs/>
          <w:sz w:val="22"/>
          <w:szCs w:val="22"/>
        </w:rPr>
      </w:pPr>
      <w:r w:rsidRPr="0005541A">
        <w:rPr>
          <w:rFonts w:ascii="Arial Narrow" w:hAnsi="Arial Narrow"/>
          <w:b/>
          <w:bCs/>
          <w:sz w:val="22"/>
          <w:szCs w:val="22"/>
        </w:rPr>
        <w:t>Calibración de Modelos Hidrológicos</w:t>
      </w:r>
      <w:r w:rsidR="0005541A" w:rsidRPr="0005541A">
        <w:rPr>
          <w:rFonts w:ascii="Arial Narrow" w:hAnsi="Arial Narrow"/>
          <w:b/>
          <w:bCs/>
          <w:sz w:val="22"/>
          <w:szCs w:val="22"/>
        </w:rPr>
        <w:t xml:space="preserve"> como propuesta académica en el contexto colombiano</w:t>
      </w:r>
    </w:p>
    <w:p w14:paraId="5B02FE92" w14:textId="77777777" w:rsidR="0005541A" w:rsidRPr="0005541A" w:rsidRDefault="0005541A" w:rsidP="0005541A">
      <w:pPr>
        <w:rPr>
          <w:rFonts w:ascii="Arial Narrow" w:hAnsi="Arial Narrow"/>
          <w:sz w:val="22"/>
          <w:szCs w:val="22"/>
        </w:rPr>
      </w:pPr>
      <w:r w:rsidRPr="0005541A">
        <w:rPr>
          <w:rFonts w:ascii="Arial Narrow" w:hAnsi="Arial Narrow"/>
          <w:b/>
          <w:bCs/>
          <w:sz w:val="22"/>
          <w:szCs w:val="22"/>
        </w:rPr>
        <w:t>Aspirante:</w:t>
      </w:r>
      <w:r w:rsidRPr="0005541A">
        <w:rPr>
          <w:rFonts w:ascii="Arial Narrow" w:hAnsi="Arial Narrow"/>
          <w:sz w:val="22"/>
          <w:szCs w:val="22"/>
        </w:rPr>
        <w:t xml:space="preserve"> Luis Eduardo Peña Rojas</w:t>
      </w:r>
    </w:p>
    <w:p w14:paraId="1CED07C6" w14:textId="41EC18EF" w:rsidR="0005541A" w:rsidRPr="0005541A" w:rsidRDefault="0005541A" w:rsidP="0005541A">
      <w:pPr>
        <w:rPr>
          <w:rFonts w:ascii="Arial Narrow" w:hAnsi="Arial Narrow"/>
          <w:sz w:val="22"/>
          <w:szCs w:val="22"/>
        </w:rPr>
      </w:pPr>
      <w:r w:rsidRPr="0005541A">
        <w:rPr>
          <w:rFonts w:ascii="Arial Narrow" w:hAnsi="Arial Narrow"/>
          <w:b/>
          <w:bCs/>
          <w:sz w:val="22"/>
          <w:szCs w:val="22"/>
        </w:rPr>
        <w:t xml:space="preserve">Perfil </w:t>
      </w:r>
      <w:r w:rsidRPr="0005541A">
        <w:rPr>
          <w:rFonts w:ascii="Arial Narrow" w:hAnsi="Arial Narrow"/>
          <w:b/>
          <w:bCs/>
          <w:sz w:val="22"/>
          <w:szCs w:val="22"/>
        </w:rPr>
        <w:t>E2</w:t>
      </w:r>
      <w:r w:rsidRPr="0005541A">
        <w:rPr>
          <w:rFonts w:ascii="Arial Narrow" w:hAnsi="Arial Narrow"/>
          <w:sz w:val="22"/>
          <w:szCs w:val="22"/>
        </w:rPr>
        <w:t xml:space="preserve"> Concurso profesoral 2026</w:t>
      </w:r>
    </w:p>
    <w:p w14:paraId="53A95007" w14:textId="733FF077" w:rsidR="0005541A" w:rsidRDefault="0005541A" w:rsidP="006F56F8">
      <w:pPr>
        <w:rPr>
          <w:rFonts w:ascii="Arial Narrow" w:hAnsi="Arial Narrow"/>
          <w:sz w:val="22"/>
          <w:szCs w:val="22"/>
        </w:rPr>
      </w:pPr>
      <w:r w:rsidRPr="0005541A">
        <w:rPr>
          <w:rFonts w:ascii="Arial Narrow" w:hAnsi="Arial Narrow"/>
          <w:b/>
          <w:bCs/>
          <w:sz w:val="22"/>
          <w:szCs w:val="22"/>
        </w:rPr>
        <w:t>Tema:</w:t>
      </w:r>
      <w:r w:rsidRPr="0005541A">
        <w:rPr>
          <w:rFonts w:ascii="Arial Narrow" w:hAnsi="Arial Narrow"/>
          <w:sz w:val="22"/>
          <w:szCs w:val="22"/>
        </w:rPr>
        <w:t xml:space="preserve"> Estrategias de calibración de modelos hidrológicos o hidráulicos o de calidad del agua.</w:t>
      </w:r>
    </w:p>
    <w:p w14:paraId="16489D59" w14:textId="13D7AA34" w:rsidR="006F56F8" w:rsidRPr="00462D55" w:rsidRDefault="006F56F8" w:rsidP="00D608FA">
      <w:pPr>
        <w:pStyle w:val="Ttulo1"/>
        <w:jc w:val="both"/>
        <w:rPr>
          <w:rFonts w:ascii="Arial Narrow" w:hAnsi="Arial Narrow"/>
          <w:b/>
          <w:bCs/>
          <w:color w:val="auto"/>
          <w:sz w:val="22"/>
          <w:szCs w:val="22"/>
        </w:rPr>
      </w:pPr>
      <w:r w:rsidRPr="00462D55">
        <w:rPr>
          <w:rFonts w:ascii="Arial Narrow" w:hAnsi="Arial Narrow"/>
          <w:b/>
          <w:bCs/>
          <w:color w:val="auto"/>
          <w:sz w:val="22"/>
          <w:szCs w:val="22"/>
        </w:rPr>
        <w:t>1. Justificación</w:t>
      </w:r>
    </w:p>
    <w:p w14:paraId="7AC91008" w14:textId="0D7FB4FB" w:rsidR="006F56F8" w:rsidRPr="006F56F8" w:rsidRDefault="006F56F8" w:rsidP="00D608FA">
      <w:pPr>
        <w:jc w:val="both"/>
        <w:rPr>
          <w:rFonts w:ascii="Arial Narrow" w:hAnsi="Arial Narrow"/>
          <w:sz w:val="22"/>
          <w:szCs w:val="22"/>
        </w:rPr>
      </w:pPr>
      <w:r w:rsidRPr="006F56F8">
        <w:rPr>
          <w:rFonts w:ascii="Arial Narrow" w:hAnsi="Arial Narrow"/>
          <w:sz w:val="22"/>
          <w:szCs w:val="22"/>
        </w:rPr>
        <w:t xml:space="preserve">La calibración de modelos hidrológicos es el proceso </w:t>
      </w:r>
      <w:r w:rsidR="00293A7C">
        <w:rPr>
          <w:rFonts w:ascii="Arial Narrow" w:hAnsi="Arial Narrow"/>
          <w:sz w:val="22"/>
          <w:szCs w:val="22"/>
        </w:rPr>
        <w:t xml:space="preserve">en el que </w:t>
      </w:r>
      <w:r w:rsidRPr="006F56F8">
        <w:rPr>
          <w:rFonts w:ascii="Arial Narrow" w:hAnsi="Arial Narrow"/>
          <w:sz w:val="22"/>
          <w:szCs w:val="22"/>
        </w:rPr>
        <w:t>los parámetros de un modelo s</w:t>
      </w:r>
      <w:r w:rsidR="00293A7C">
        <w:rPr>
          <w:rFonts w:ascii="Arial Narrow" w:hAnsi="Arial Narrow"/>
          <w:sz w:val="22"/>
          <w:szCs w:val="22"/>
        </w:rPr>
        <w:t xml:space="preserve">on ajustados hasta </w:t>
      </w:r>
      <w:r w:rsidRPr="006F56F8">
        <w:rPr>
          <w:rFonts w:ascii="Arial Narrow" w:hAnsi="Arial Narrow"/>
          <w:sz w:val="22"/>
          <w:szCs w:val="22"/>
        </w:rPr>
        <w:t>reproducir</w:t>
      </w:r>
      <w:r w:rsidR="00293A7C">
        <w:rPr>
          <w:rFonts w:ascii="Arial Narrow" w:hAnsi="Arial Narrow"/>
          <w:sz w:val="22"/>
          <w:szCs w:val="22"/>
        </w:rPr>
        <w:t xml:space="preserve">, lo más aproximadamente posible, </w:t>
      </w:r>
      <w:r w:rsidRPr="006F56F8">
        <w:rPr>
          <w:rFonts w:ascii="Arial Narrow" w:hAnsi="Arial Narrow"/>
          <w:sz w:val="22"/>
          <w:szCs w:val="22"/>
        </w:rPr>
        <w:t xml:space="preserve">el comportamiento hidrológico observado </w:t>
      </w:r>
      <w:r w:rsidR="00293A7C">
        <w:rPr>
          <w:rFonts w:ascii="Arial Narrow" w:hAnsi="Arial Narrow"/>
          <w:sz w:val="22"/>
          <w:szCs w:val="22"/>
        </w:rPr>
        <w:t>de</w:t>
      </w:r>
      <w:r w:rsidRPr="006F56F8">
        <w:rPr>
          <w:rFonts w:ascii="Arial Narrow" w:hAnsi="Arial Narrow"/>
          <w:sz w:val="22"/>
          <w:szCs w:val="22"/>
        </w:rPr>
        <w:t xml:space="preserve"> una cuenca (Beven, 2012). </w:t>
      </w:r>
      <w:r w:rsidR="00293A7C">
        <w:rPr>
          <w:rFonts w:ascii="Arial Narrow" w:hAnsi="Arial Narrow"/>
          <w:sz w:val="22"/>
          <w:szCs w:val="22"/>
        </w:rPr>
        <w:t xml:space="preserve">De modo que, la calibración es un paso </w:t>
      </w:r>
      <w:r w:rsidRPr="006F56F8">
        <w:rPr>
          <w:rFonts w:ascii="Arial Narrow" w:hAnsi="Arial Narrow"/>
          <w:sz w:val="22"/>
          <w:szCs w:val="22"/>
        </w:rPr>
        <w:t xml:space="preserve">indispensable </w:t>
      </w:r>
      <w:r w:rsidR="00293A7C">
        <w:rPr>
          <w:rFonts w:ascii="Arial Narrow" w:hAnsi="Arial Narrow"/>
          <w:sz w:val="22"/>
          <w:szCs w:val="22"/>
        </w:rPr>
        <w:t>para utilizar un modelo hidrológico con fines de predicción de</w:t>
      </w:r>
      <w:r w:rsidRPr="006F56F8">
        <w:rPr>
          <w:rFonts w:ascii="Arial Narrow" w:hAnsi="Arial Narrow"/>
          <w:sz w:val="22"/>
          <w:szCs w:val="22"/>
        </w:rPr>
        <w:t xml:space="preserve"> caudales, </w:t>
      </w:r>
      <w:r w:rsidR="000D5CB9">
        <w:rPr>
          <w:rFonts w:ascii="Arial Narrow" w:hAnsi="Arial Narrow"/>
          <w:sz w:val="22"/>
          <w:szCs w:val="22"/>
        </w:rPr>
        <w:t>gestión de los</w:t>
      </w:r>
      <w:r w:rsidRPr="006F56F8">
        <w:rPr>
          <w:rFonts w:ascii="Arial Narrow" w:hAnsi="Arial Narrow"/>
          <w:sz w:val="22"/>
          <w:szCs w:val="22"/>
        </w:rPr>
        <w:t xml:space="preserve"> recursos hídricos y </w:t>
      </w:r>
      <w:r w:rsidR="000D5CB9">
        <w:rPr>
          <w:rFonts w:ascii="Arial Narrow" w:hAnsi="Arial Narrow"/>
          <w:sz w:val="22"/>
          <w:szCs w:val="22"/>
        </w:rPr>
        <w:t xml:space="preserve">realizar análisis relacionados de potenciales </w:t>
      </w:r>
      <w:r w:rsidRPr="006F56F8">
        <w:rPr>
          <w:rFonts w:ascii="Arial Narrow" w:hAnsi="Arial Narrow"/>
          <w:sz w:val="22"/>
          <w:szCs w:val="22"/>
        </w:rPr>
        <w:t xml:space="preserve">desastres </w:t>
      </w:r>
      <w:r w:rsidR="000D5CB9">
        <w:rPr>
          <w:rFonts w:ascii="Arial Narrow" w:hAnsi="Arial Narrow"/>
          <w:sz w:val="22"/>
          <w:szCs w:val="22"/>
        </w:rPr>
        <w:t xml:space="preserve">causado por la ocurrencia de </w:t>
      </w:r>
      <w:r w:rsidRPr="006F56F8">
        <w:rPr>
          <w:rFonts w:ascii="Arial Narrow" w:hAnsi="Arial Narrow"/>
          <w:sz w:val="22"/>
          <w:szCs w:val="22"/>
        </w:rPr>
        <w:t>eventos extremos</w:t>
      </w:r>
      <w:r w:rsidR="000D5CB9">
        <w:rPr>
          <w:rFonts w:ascii="Arial Narrow" w:hAnsi="Arial Narrow"/>
          <w:sz w:val="22"/>
          <w:szCs w:val="22"/>
        </w:rPr>
        <w:t xml:space="preserve"> de precipitación</w:t>
      </w:r>
      <w:r w:rsidRPr="006F56F8">
        <w:rPr>
          <w:rFonts w:ascii="Arial Narrow" w:hAnsi="Arial Narrow"/>
          <w:sz w:val="22"/>
          <w:szCs w:val="22"/>
        </w:rPr>
        <w:t xml:space="preserve">. Sin embargo, </w:t>
      </w:r>
      <w:r w:rsidR="00E64156">
        <w:rPr>
          <w:rFonts w:ascii="Arial Narrow" w:hAnsi="Arial Narrow"/>
          <w:sz w:val="22"/>
          <w:szCs w:val="22"/>
        </w:rPr>
        <w:t xml:space="preserve">este proceso presenta </w:t>
      </w:r>
      <w:r w:rsidRPr="006F56F8">
        <w:rPr>
          <w:rFonts w:ascii="Arial Narrow" w:hAnsi="Arial Narrow"/>
          <w:sz w:val="22"/>
          <w:szCs w:val="22"/>
        </w:rPr>
        <w:t xml:space="preserve">desafíos </w:t>
      </w:r>
      <w:r w:rsidR="00E64156">
        <w:rPr>
          <w:rFonts w:ascii="Arial Narrow" w:hAnsi="Arial Narrow"/>
          <w:sz w:val="22"/>
          <w:szCs w:val="22"/>
        </w:rPr>
        <w:t xml:space="preserve">relacionados con situaciones de modelación en las que un conjunto de </w:t>
      </w:r>
      <w:r w:rsidRPr="006F56F8">
        <w:rPr>
          <w:rFonts w:ascii="Arial Narrow" w:hAnsi="Arial Narrow"/>
          <w:sz w:val="22"/>
          <w:szCs w:val="22"/>
        </w:rPr>
        <w:t>parámetros con múltiples soluciones</w:t>
      </w:r>
      <w:r w:rsidR="00E64156">
        <w:rPr>
          <w:rFonts w:ascii="Arial Narrow" w:hAnsi="Arial Narrow"/>
          <w:sz w:val="22"/>
          <w:szCs w:val="22"/>
        </w:rPr>
        <w:t xml:space="preserve"> son</w:t>
      </w:r>
      <w:r w:rsidRPr="006F56F8">
        <w:rPr>
          <w:rFonts w:ascii="Arial Narrow" w:hAnsi="Arial Narrow"/>
          <w:sz w:val="22"/>
          <w:szCs w:val="22"/>
        </w:rPr>
        <w:t xml:space="preserve"> igualmente válidas</w:t>
      </w:r>
      <w:r w:rsidR="00E64156">
        <w:rPr>
          <w:rFonts w:ascii="Arial Narrow" w:hAnsi="Arial Narrow"/>
          <w:sz w:val="22"/>
          <w:szCs w:val="22"/>
        </w:rPr>
        <w:t xml:space="preserve"> (</w:t>
      </w:r>
      <w:r w:rsidRPr="006F56F8">
        <w:rPr>
          <w:rFonts w:ascii="Arial Narrow" w:hAnsi="Arial Narrow"/>
          <w:sz w:val="22"/>
          <w:szCs w:val="22"/>
        </w:rPr>
        <w:t>fenómeno de equifinalidad</w:t>
      </w:r>
      <w:r w:rsidR="00E64156">
        <w:rPr>
          <w:rFonts w:ascii="Arial Narrow" w:hAnsi="Arial Narrow"/>
          <w:sz w:val="22"/>
          <w:szCs w:val="22"/>
        </w:rPr>
        <w:t>)</w:t>
      </w:r>
      <w:r w:rsidRPr="006F56F8">
        <w:rPr>
          <w:rFonts w:ascii="Arial Narrow" w:hAnsi="Arial Narrow"/>
          <w:sz w:val="22"/>
          <w:szCs w:val="22"/>
        </w:rPr>
        <w:t xml:space="preserve"> (Beven, 2006)</w:t>
      </w:r>
      <w:r w:rsidR="006D139B">
        <w:rPr>
          <w:rFonts w:ascii="Arial Narrow" w:hAnsi="Arial Narrow"/>
          <w:sz w:val="22"/>
          <w:szCs w:val="22"/>
        </w:rPr>
        <w:t xml:space="preserve">, así como la </w:t>
      </w:r>
      <w:r w:rsidRPr="006F56F8">
        <w:rPr>
          <w:rFonts w:ascii="Arial Narrow" w:hAnsi="Arial Narrow"/>
          <w:sz w:val="22"/>
          <w:szCs w:val="22"/>
        </w:rPr>
        <w:t>escasez de datos en cuencas no aforadas y baja transferibilidad de parámetros ante</w:t>
      </w:r>
      <w:r w:rsidR="006D139B">
        <w:rPr>
          <w:rFonts w:ascii="Arial Narrow" w:hAnsi="Arial Narrow"/>
          <w:sz w:val="22"/>
          <w:szCs w:val="22"/>
        </w:rPr>
        <w:t xml:space="preserve"> escenarios d</w:t>
      </w:r>
      <w:r w:rsidRPr="006F56F8">
        <w:rPr>
          <w:rFonts w:ascii="Arial Narrow" w:hAnsi="Arial Narrow"/>
          <w:sz w:val="22"/>
          <w:szCs w:val="22"/>
        </w:rPr>
        <w:t>e cambio climático (Klemeš, 1986; Wagener &amp; Wheater, 2006).</w:t>
      </w:r>
    </w:p>
    <w:p w14:paraId="0E7905A9" w14:textId="4EE86D80" w:rsidR="006F56F8" w:rsidRPr="006F56F8" w:rsidRDefault="00F7290E" w:rsidP="00D608FA">
      <w:pPr>
        <w:jc w:val="both"/>
        <w:rPr>
          <w:rFonts w:ascii="Arial Narrow" w:hAnsi="Arial Narrow"/>
          <w:sz w:val="22"/>
          <w:szCs w:val="22"/>
        </w:rPr>
      </w:pPr>
      <w:r>
        <w:rPr>
          <w:rFonts w:ascii="Arial Narrow" w:hAnsi="Arial Narrow"/>
          <w:sz w:val="22"/>
          <w:szCs w:val="22"/>
        </w:rPr>
        <w:t xml:space="preserve">En </w:t>
      </w:r>
      <w:r w:rsidR="006F56F8" w:rsidRPr="006F56F8">
        <w:rPr>
          <w:rFonts w:ascii="Arial Narrow" w:hAnsi="Arial Narrow"/>
          <w:sz w:val="22"/>
          <w:szCs w:val="22"/>
        </w:rPr>
        <w:t xml:space="preserve">Colombia </w:t>
      </w:r>
      <w:r w:rsidR="00103FD4">
        <w:rPr>
          <w:rFonts w:ascii="Arial Narrow" w:hAnsi="Arial Narrow"/>
          <w:sz w:val="22"/>
          <w:szCs w:val="22"/>
        </w:rPr>
        <w:t xml:space="preserve">se enfrentan </w:t>
      </w:r>
      <w:r>
        <w:rPr>
          <w:rFonts w:ascii="Arial Narrow" w:hAnsi="Arial Narrow"/>
          <w:sz w:val="22"/>
          <w:szCs w:val="22"/>
        </w:rPr>
        <w:t xml:space="preserve">dificultades para la implementación de modelos hidrológicos detallados debido a que su </w:t>
      </w:r>
      <w:r w:rsidR="006F56F8" w:rsidRPr="006F56F8">
        <w:rPr>
          <w:rFonts w:ascii="Arial Narrow" w:hAnsi="Arial Narrow"/>
          <w:sz w:val="22"/>
          <w:szCs w:val="22"/>
        </w:rPr>
        <w:t>red hidrométrica</w:t>
      </w:r>
      <w:r>
        <w:rPr>
          <w:rFonts w:ascii="Arial Narrow" w:hAnsi="Arial Narrow"/>
          <w:sz w:val="22"/>
          <w:szCs w:val="22"/>
        </w:rPr>
        <w:t xml:space="preserve"> es poco densa</w:t>
      </w:r>
      <w:r w:rsidR="006F56F8" w:rsidRPr="006F56F8">
        <w:rPr>
          <w:rFonts w:ascii="Arial Narrow" w:hAnsi="Arial Narrow"/>
          <w:sz w:val="22"/>
          <w:szCs w:val="22"/>
        </w:rPr>
        <w:t xml:space="preserve">, especialmente </w:t>
      </w:r>
      <w:r>
        <w:rPr>
          <w:rFonts w:ascii="Arial Narrow" w:hAnsi="Arial Narrow"/>
          <w:sz w:val="22"/>
          <w:szCs w:val="22"/>
        </w:rPr>
        <w:t xml:space="preserve">en regiones como </w:t>
      </w:r>
      <w:r w:rsidR="006F56F8" w:rsidRPr="006F56F8">
        <w:rPr>
          <w:rFonts w:ascii="Arial Narrow" w:hAnsi="Arial Narrow"/>
          <w:sz w:val="22"/>
          <w:szCs w:val="22"/>
        </w:rPr>
        <w:t>la Amazonía, el Pacífico y los Llanos Orientales (IDEAM, 2015)</w:t>
      </w:r>
      <w:r>
        <w:rPr>
          <w:rFonts w:ascii="Arial Narrow" w:hAnsi="Arial Narrow"/>
          <w:sz w:val="22"/>
          <w:szCs w:val="22"/>
        </w:rPr>
        <w:t>, lo cual dificulta</w:t>
      </w:r>
      <w:r w:rsidR="006F56F8" w:rsidRPr="006F56F8">
        <w:rPr>
          <w:rFonts w:ascii="Arial Narrow" w:hAnsi="Arial Narrow"/>
          <w:sz w:val="22"/>
          <w:szCs w:val="22"/>
        </w:rPr>
        <w:t xml:space="preserve"> la calibración de modelos </w:t>
      </w:r>
      <w:r>
        <w:rPr>
          <w:rFonts w:ascii="Arial Narrow" w:hAnsi="Arial Narrow"/>
          <w:sz w:val="22"/>
          <w:szCs w:val="22"/>
        </w:rPr>
        <w:t xml:space="preserve">hidrológicos </w:t>
      </w:r>
      <w:r w:rsidR="00103FD4">
        <w:rPr>
          <w:rFonts w:ascii="Arial Narrow" w:hAnsi="Arial Narrow"/>
          <w:sz w:val="22"/>
          <w:szCs w:val="22"/>
        </w:rPr>
        <w:t>para que</w:t>
      </w:r>
      <w:r>
        <w:rPr>
          <w:rFonts w:ascii="Arial Narrow" w:hAnsi="Arial Narrow"/>
          <w:sz w:val="22"/>
          <w:szCs w:val="22"/>
        </w:rPr>
        <w:t xml:space="preserve"> sean </w:t>
      </w:r>
      <w:r w:rsidR="006F56F8" w:rsidRPr="006F56F8">
        <w:rPr>
          <w:rFonts w:ascii="Arial Narrow" w:hAnsi="Arial Narrow"/>
          <w:sz w:val="22"/>
          <w:szCs w:val="22"/>
        </w:rPr>
        <w:t xml:space="preserve">confiables </w:t>
      </w:r>
      <w:r w:rsidR="00103FD4">
        <w:rPr>
          <w:rFonts w:ascii="Arial Narrow" w:hAnsi="Arial Narrow"/>
          <w:sz w:val="22"/>
          <w:szCs w:val="22"/>
        </w:rPr>
        <w:t xml:space="preserve">y útiles en </w:t>
      </w:r>
      <w:r w:rsidR="006F56F8" w:rsidRPr="006F56F8">
        <w:rPr>
          <w:rFonts w:ascii="Arial Narrow" w:hAnsi="Arial Narrow"/>
          <w:sz w:val="22"/>
          <w:szCs w:val="22"/>
        </w:rPr>
        <w:t xml:space="preserve">la gestión del riesgo y la planificación </w:t>
      </w:r>
      <w:r>
        <w:rPr>
          <w:rFonts w:ascii="Arial Narrow" w:hAnsi="Arial Narrow"/>
          <w:sz w:val="22"/>
          <w:szCs w:val="22"/>
        </w:rPr>
        <w:t>de los recursos hídricos</w:t>
      </w:r>
      <w:r w:rsidR="006F56F8" w:rsidRPr="006F56F8">
        <w:rPr>
          <w:rFonts w:ascii="Arial Narrow" w:hAnsi="Arial Narrow"/>
          <w:sz w:val="22"/>
          <w:szCs w:val="22"/>
        </w:rPr>
        <w:t xml:space="preserve">, </w:t>
      </w:r>
      <w:r w:rsidR="00103FD4">
        <w:rPr>
          <w:rFonts w:ascii="Arial Narrow" w:hAnsi="Arial Narrow"/>
          <w:sz w:val="22"/>
          <w:szCs w:val="22"/>
        </w:rPr>
        <w:t xml:space="preserve">que son </w:t>
      </w:r>
      <w:r w:rsidR="006F56F8" w:rsidRPr="006F56F8">
        <w:rPr>
          <w:rFonts w:ascii="Arial Narrow" w:hAnsi="Arial Narrow"/>
          <w:sz w:val="22"/>
          <w:szCs w:val="22"/>
        </w:rPr>
        <w:t xml:space="preserve">metas vinculadas con los Objetivos de Desarrollo Sostenible ODS 6, 11 y 13 (UN, 2015) y el Marco de Sendai para la Reducción del Riesgo de Desastres 2015-2030 (UNDRR, 2015). </w:t>
      </w:r>
      <w:r w:rsidR="00103FD4">
        <w:rPr>
          <w:rFonts w:ascii="Arial Narrow" w:hAnsi="Arial Narrow"/>
          <w:sz w:val="22"/>
          <w:szCs w:val="22"/>
        </w:rPr>
        <w:t>Por lo tanto, l</w:t>
      </w:r>
      <w:r w:rsidR="006F56F8" w:rsidRPr="006F56F8">
        <w:rPr>
          <w:rFonts w:ascii="Arial Narrow" w:hAnsi="Arial Narrow"/>
          <w:sz w:val="22"/>
          <w:szCs w:val="22"/>
        </w:rPr>
        <w:t xml:space="preserve">a </w:t>
      </w:r>
      <w:r w:rsidR="00103FD4">
        <w:rPr>
          <w:rFonts w:ascii="Arial Narrow" w:hAnsi="Arial Narrow"/>
          <w:sz w:val="22"/>
          <w:szCs w:val="22"/>
        </w:rPr>
        <w:t>estimación</w:t>
      </w:r>
      <w:r w:rsidR="006F56F8" w:rsidRPr="006F56F8">
        <w:rPr>
          <w:rFonts w:ascii="Arial Narrow" w:hAnsi="Arial Narrow"/>
          <w:sz w:val="22"/>
          <w:szCs w:val="22"/>
        </w:rPr>
        <w:t xml:space="preserve"> de caudales con incertidumbre acotada en cuencas no aforadas es una brecha estructural que </w:t>
      </w:r>
      <w:r w:rsidR="00103FD4">
        <w:rPr>
          <w:rFonts w:ascii="Arial Narrow" w:hAnsi="Arial Narrow"/>
          <w:sz w:val="22"/>
          <w:szCs w:val="22"/>
        </w:rPr>
        <w:t>dificulta</w:t>
      </w:r>
      <w:r w:rsidR="006F56F8" w:rsidRPr="006F56F8">
        <w:rPr>
          <w:rFonts w:ascii="Arial Narrow" w:hAnsi="Arial Narrow"/>
          <w:sz w:val="22"/>
          <w:szCs w:val="22"/>
        </w:rPr>
        <w:t xml:space="preserve"> el cumplimiento de estas agendas en países en desarrollo (Hrachowitz et al., 2013; Sivapalan et al., 2003). </w:t>
      </w:r>
      <w:r w:rsidR="00103FD4">
        <w:rPr>
          <w:rFonts w:ascii="Arial Narrow" w:hAnsi="Arial Narrow"/>
          <w:sz w:val="22"/>
          <w:szCs w:val="22"/>
        </w:rPr>
        <w:t xml:space="preserve">En este sentido, aquí se presenta una discusión de los </w:t>
      </w:r>
      <w:r w:rsidR="006F56F8" w:rsidRPr="006F56F8">
        <w:rPr>
          <w:rFonts w:ascii="Arial Narrow" w:hAnsi="Arial Narrow"/>
          <w:sz w:val="22"/>
          <w:szCs w:val="22"/>
        </w:rPr>
        <w:t xml:space="preserve">cinco métodos </w:t>
      </w:r>
      <w:r w:rsidR="00103FD4">
        <w:rPr>
          <w:rFonts w:ascii="Arial Narrow" w:hAnsi="Arial Narrow"/>
          <w:sz w:val="22"/>
          <w:szCs w:val="22"/>
        </w:rPr>
        <w:t xml:space="preserve">enfoques de calibración de modelos hidrológicos </w:t>
      </w:r>
      <w:r w:rsidR="006F56F8" w:rsidRPr="006F56F8">
        <w:rPr>
          <w:rFonts w:ascii="Arial Narrow" w:hAnsi="Arial Narrow"/>
          <w:sz w:val="22"/>
          <w:szCs w:val="22"/>
        </w:rPr>
        <w:t xml:space="preserve">más relevantes </w:t>
      </w:r>
      <w:r w:rsidR="00103FD4">
        <w:rPr>
          <w:rFonts w:ascii="Arial Narrow" w:hAnsi="Arial Narrow"/>
          <w:sz w:val="22"/>
          <w:szCs w:val="22"/>
        </w:rPr>
        <w:t>reportados en la literatura académica</w:t>
      </w:r>
      <w:r w:rsidR="005A6073">
        <w:rPr>
          <w:rFonts w:ascii="Arial Narrow" w:hAnsi="Arial Narrow"/>
          <w:sz w:val="22"/>
          <w:szCs w:val="22"/>
        </w:rPr>
        <w:t>, alrededor de sus ventajas y desventajas, así como la identificación de necesidades de investigación en el área.</w:t>
      </w:r>
    </w:p>
    <w:p w14:paraId="1789074F" w14:textId="6A405CB5" w:rsidR="006F56F8" w:rsidRPr="006F56F8" w:rsidRDefault="006F56F8" w:rsidP="00D608FA">
      <w:pPr>
        <w:jc w:val="both"/>
        <w:rPr>
          <w:rFonts w:ascii="Arial Narrow" w:hAnsi="Arial Narrow"/>
          <w:sz w:val="22"/>
          <w:szCs w:val="22"/>
        </w:rPr>
      </w:pPr>
      <w:r w:rsidRPr="006F56F8">
        <w:rPr>
          <w:rFonts w:ascii="Arial Narrow" w:hAnsi="Arial Narrow"/>
          <w:sz w:val="22"/>
          <w:szCs w:val="22"/>
        </w:rPr>
        <w:t xml:space="preserve">El </w:t>
      </w:r>
      <w:r w:rsidR="005A6073">
        <w:rPr>
          <w:rFonts w:ascii="Arial Narrow" w:hAnsi="Arial Narrow"/>
          <w:sz w:val="22"/>
          <w:szCs w:val="22"/>
        </w:rPr>
        <w:t xml:space="preserve">modelo </w:t>
      </w:r>
      <w:r w:rsidRPr="006F56F8">
        <w:rPr>
          <w:rFonts w:ascii="Arial Narrow" w:hAnsi="Arial Narrow"/>
          <w:sz w:val="22"/>
          <w:szCs w:val="22"/>
        </w:rPr>
        <w:t xml:space="preserve">SCE-UA (Duan et al., 1992) </w:t>
      </w:r>
      <w:r w:rsidR="005A6073">
        <w:rPr>
          <w:rFonts w:ascii="Arial Narrow" w:hAnsi="Arial Narrow"/>
          <w:sz w:val="22"/>
          <w:szCs w:val="22"/>
        </w:rPr>
        <w:t xml:space="preserve">puede ser </w:t>
      </w:r>
      <w:r w:rsidRPr="006F56F8">
        <w:rPr>
          <w:rFonts w:ascii="Arial Narrow" w:hAnsi="Arial Narrow"/>
          <w:sz w:val="22"/>
          <w:szCs w:val="22"/>
        </w:rPr>
        <w:t xml:space="preserve">el algoritmo de calibración automática más citado </w:t>
      </w:r>
      <w:r w:rsidR="005A6073">
        <w:rPr>
          <w:rFonts w:ascii="Arial Narrow" w:hAnsi="Arial Narrow"/>
          <w:sz w:val="22"/>
          <w:szCs w:val="22"/>
        </w:rPr>
        <w:t>en Scopus (</w:t>
      </w:r>
      <w:r w:rsidRPr="006F56F8">
        <w:rPr>
          <w:rFonts w:ascii="Arial Narrow" w:hAnsi="Arial Narrow"/>
          <w:sz w:val="22"/>
          <w:szCs w:val="22"/>
        </w:rPr>
        <w:t>más de 3.500 citas</w:t>
      </w:r>
      <w:r w:rsidR="005A6073">
        <w:rPr>
          <w:rFonts w:ascii="Arial Narrow" w:hAnsi="Arial Narrow"/>
          <w:sz w:val="22"/>
          <w:szCs w:val="22"/>
        </w:rPr>
        <w:t>)</w:t>
      </w:r>
      <w:r w:rsidRPr="006F56F8">
        <w:rPr>
          <w:rFonts w:ascii="Arial Narrow" w:hAnsi="Arial Narrow"/>
          <w:sz w:val="22"/>
          <w:szCs w:val="22"/>
        </w:rPr>
        <w:t xml:space="preserve">. </w:t>
      </w:r>
      <w:r w:rsidR="005A6073">
        <w:rPr>
          <w:rFonts w:ascii="Arial Narrow" w:hAnsi="Arial Narrow"/>
          <w:sz w:val="22"/>
          <w:szCs w:val="22"/>
        </w:rPr>
        <w:t>El método c</w:t>
      </w:r>
      <w:r w:rsidRPr="006F56F8">
        <w:rPr>
          <w:rFonts w:ascii="Arial Narrow" w:hAnsi="Arial Narrow"/>
          <w:sz w:val="22"/>
          <w:szCs w:val="22"/>
        </w:rPr>
        <w:t xml:space="preserve">ombina </w:t>
      </w:r>
      <w:r w:rsidR="005A6073">
        <w:rPr>
          <w:rFonts w:ascii="Arial Narrow" w:hAnsi="Arial Narrow"/>
          <w:sz w:val="22"/>
          <w:szCs w:val="22"/>
        </w:rPr>
        <w:t>la exploración aleatoria con un proceso evolutivo, mediante la agrupación de diferentes configuraciones posibles para que compitan entre sí, lo cual permite encontrar</w:t>
      </w:r>
      <w:r w:rsidRPr="006F56F8">
        <w:rPr>
          <w:rFonts w:ascii="Arial Narrow" w:hAnsi="Arial Narrow"/>
          <w:sz w:val="22"/>
          <w:szCs w:val="22"/>
        </w:rPr>
        <w:t xml:space="preserve"> </w:t>
      </w:r>
      <w:r w:rsidR="005A6073">
        <w:rPr>
          <w:rFonts w:ascii="Arial Narrow" w:hAnsi="Arial Narrow"/>
          <w:sz w:val="22"/>
          <w:szCs w:val="22"/>
        </w:rPr>
        <w:t xml:space="preserve">la mejor solución mediante la </w:t>
      </w:r>
      <w:r w:rsidRPr="006F56F8">
        <w:rPr>
          <w:rFonts w:ascii="Arial Narrow" w:hAnsi="Arial Narrow"/>
          <w:sz w:val="22"/>
          <w:szCs w:val="22"/>
        </w:rPr>
        <w:t>convergencia robusta hacia el óptimo global sin gradientes analíticos (Arsenault et al., 2014). Es eficaz en modelos como HBV, SAC-SMA</w:t>
      </w:r>
      <w:r w:rsidR="005A6073">
        <w:rPr>
          <w:rFonts w:ascii="Arial Narrow" w:hAnsi="Arial Narrow"/>
          <w:sz w:val="22"/>
          <w:szCs w:val="22"/>
        </w:rPr>
        <w:t>, TETIS</w:t>
      </w:r>
      <w:r w:rsidRPr="006F56F8">
        <w:rPr>
          <w:rFonts w:ascii="Arial Narrow" w:hAnsi="Arial Narrow"/>
          <w:sz w:val="22"/>
          <w:szCs w:val="22"/>
        </w:rPr>
        <w:t xml:space="preserve"> y SWAT. Naeini et al. (2019) propusieron SCHE, su variante adaptativa con mayor eficiencia en alta dimensionalidad</w:t>
      </w:r>
      <w:r w:rsidR="005A6073">
        <w:rPr>
          <w:rFonts w:ascii="Arial Narrow" w:hAnsi="Arial Narrow"/>
          <w:sz w:val="22"/>
          <w:szCs w:val="22"/>
        </w:rPr>
        <w:t xml:space="preserve">. Sin embargo, presenta </w:t>
      </w:r>
      <w:r w:rsidRPr="006F56F8">
        <w:rPr>
          <w:rFonts w:ascii="Arial Narrow" w:hAnsi="Arial Narrow"/>
          <w:sz w:val="22"/>
          <w:szCs w:val="22"/>
        </w:rPr>
        <w:t xml:space="preserve">limitaciones </w:t>
      </w:r>
      <w:r w:rsidR="005A6073">
        <w:rPr>
          <w:rFonts w:ascii="Arial Narrow" w:hAnsi="Arial Narrow"/>
          <w:sz w:val="22"/>
          <w:szCs w:val="22"/>
        </w:rPr>
        <w:t xml:space="preserve">debido a la </w:t>
      </w:r>
      <w:r w:rsidRPr="006F56F8">
        <w:rPr>
          <w:rFonts w:ascii="Arial Narrow" w:hAnsi="Arial Narrow"/>
          <w:sz w:val="22"/>
          <w:szCs w:val="22"/>
        </w:rPr>
        <w:t>pérdida de rendimiento con muchos parámetros libres</w:t>
      </w:r>
      <w:r w:rsidR="005A6073">
        <w:rPr>
          <w:rFonts w:ascii="Arial Narrow" w:hAnsi="Arial Narrow"/>
          <w:sz w:val="22"/>
          <w:szCs w:val="22"/>
        </w:rPr>
        <w:t xml:space="preserve">, además se requieren </w:t>
      </w:r>
      <w:r w:rsidRPr="006F56F8">
        <w:rPr>
          <w:rFonts w:ascii="Arial Narrow" w:hAnsi="Arial Narrow"/>
          <w:sz w:val="22"/>
          <w:szCs w:val="22"/>
        </w:rPr>
        <w:t xml:space="preserve">series de caudal largas y continuas, </w:t>
      </w:r>
      <w:r w:rsidR="005A6073">
        <w:rPr>
          <w:rFonts w:ascii="Arial Narrow" w:hAnsi="Arial Narrow"/>
          <w:sz w:val="22"/>
          <w:szCs w:val="22"/>
        </w:rPr>
        <w:t xml:space="preserve">lo cual puede resultar difícil </w:t>
      </w:r>
      <w:r w:rsidRPr="006F56F8">
        <w:rPr>
          <w:rFonts w:ascii="Arial Narrow" w:hAnsi="Arial Narrow"/>
          <w:sz w:val="22"/>
          <w:szCs w:val="22"/>
        </w:rPr>
        <w:t xml:space="preserve">en </w:t>
      </w:r>
      <w:r w:rsidR="005A6073">
        <w:rPr>
          <w:rFonts w:ascii="Arial Narrow" w:hAnsi="Arial Narrow"/>
          <w:sz w:val="22"/>
          <w:szCs w:val="22"/>
        </w:rPr>
        <w:t>el contexto de la información disponible en cuencas colombianas</w:t>
      </w:r>
      <w:r w:rsidRPr="006F56F8">
        <w:rPr>
          <w:rFonts w:ascii="Arial Narrow" w:hAnsi="Arial Narrow"/>
          <w:sz w:val="22"/>
          <w:szCs w:val="22"/>
        </w:rPr>
        <w:t>.</w:t>
      </w:r>
      <w:r w:rsidR="00C977DE">
        <w:rPr>
          <w:rFonts w:ascii="Arial Narrow" w:hAnsi="Arial Narrow"/>
          <w:sz w:val="22"/>
          <w:szCs w:val="22"/>
        </w:rPr>
        <w:t xml:space="preserve"> En este sentido el modelo </w:t>
      </w:r>
      <w:r w:rsidRPr="006F56F8">
        <w:rPr>
          <w:rFonts w:ascii="Arial Narrow" w:hAnsi="Arial Narrow"/>
          <w:sz w:val="22"/>
          <w:szCs w:val="22"/>
        </w:rPr>
        <w:t>GLUE (Beven &amp; Binley, 1992) parte del principio de equifinalidad</w:t>
      </w:r>
      <w:r w:rsidR="00C977DE">
        <w:rPr>
          <w:rFonts w:ascii="Arial Narrow" w:hAnsi="Arial Narrow"/>
          <w:sz w:val="22"/>
          <w:szCs w:val="22"/>
        </w:rPr>
        <w:t xml:space="preserve"> y a</w:t>
      </w:r>
      <w:r w:rsidRPr="006F56F8">
        <w:rPr>
          <w:rFonts w:ascii="Arial Narrow" w:hAnsi="Arial Narrow"/>
          <w:sz w:val="22"/>
          <w:szCs w:val="22"/>
        </w:rPr>
        <w:t xml:space="preserve">signa pesos de verosimilitud a miles de simulaciones Monte Carlo para construir bandas de incertidumbre en las </w:t>
      </w:r>
      <w:r w:rsidR="00BC60D9" w:rsidRPr="006F56F8">
        <w:rPr>
          <w:rFonts w:ascii="Arial Narrow" w:hAnsi="Arial Narrow"/>
          <w:sz w:val="22"/>
          <w:szCs w:val="22"/>
        </w:rPr>
        <w:t>predicciones</w:t>
      </w:r>
      <w:r w:rsidR="00BC60D9">
        <w:rPr>
          <w:rFonts w:ascii="Arial Narrow" w:hAnsi="Arial Narrow"/>
          <w:sz w:val="22"/>
          <w:szCs w:val="22"/>
        </w:rPr>
        <w:t xml:space="preserve"> </w:t>
      </w:r>
      <w:r w:rsidR="00BC60D9" w:rsidRPr="006F56F8">
        <w:rPr>
          <w:rFonts w:ascii="Arial Narrow" w:hAnsi="Arial Narrow"/>
          <w:sz w:val="22"/>
          <w:szCs w:val="22"/>
        </w:rPr>
        <w:t>(</w:t>
      </w:r>
      <w:r w:rsidRPr="006F56F8">
        <w:rPr>
          <w:rFonts w:ascii="Arial Narrow" w:hAnsi="Arial Narrow"/>
          <w:sz w:val="22"/>
          <w:szCs w:val="22"/>
        </w:rPr>
        <w:t>Beven</w:t>
      </w:r>
      <w:r w:rsidR="00BC60D9">
        <w:rPr>
          <w:rFonts w:ascii="Arial Narrow" w:hAnsi="Arial Narrow"/>
          <w:sz w:val="22"/>
          <w:szCs w:val="22"/>
        </w:rPr>
        <w:t>,</w:t>
      </w:r>
      <w:r w:rsidRPr="006F56F8">
        <w:rPr>
          <w:rFonts w:ascii="Arial Narrow" w:hAnsi="Arial Narrow"/>
          <w:sz w:val="22"/>
          <w:szCs w:val="22"/>
        </w:rPr>
        <w:t xml:space="preserve"> 2006</w:t>
      </w:r>
      <w:r w:rsidR="00BC60D9">
        <w:rPr>
          <w:rFonts w:ascii="Arial Narrow" w:hAnsi="Arial Narrow"/>
          <w:sz w:val="22"/>
          <w:szCs w:val="22"/>
        </w:rPr>
        <w:t xml:space="preserve">), lo cual ofrece una </w:t>
      </w:r>
      <w:r w:rsidRPr="006F56F8">
        <w:rPr>
          <w:rFonts w:ascii="Arial Narrow" w:hAnsi="Arial Narrow"/>
          <w:sz w:val="22"/>
          <w:szCs w:val="22"/>
        </w:rPr>
        <w:t xml:space="preserve">comunicación transparente de la incertidumbre, incluso </w:t>
      </w:r>
      <w:r w:rsidR="00BC60D9">
        <w:rPr>
          <w:rFonts w:ascii="Arial Narrow" w:hAnsi="Arial Narrow"/>
          <w:sz w:val="22"/>
          <w:szCs w:val="22"/>
        </w:rPr>
        <w:t xml:space="preserve">en los casos en los que se dispone de </w:t>
      </w:r>
      <w:r w:rsidRPr="006F56F8">
        <w:rPr>
          <w:rFonts w:ascii="Arial Narrow" w:hAnsi="Arial Narrow"/>
          <w:sz w:val="22"/>
          <w:szCs w:val="22"/>
        </w:rPr>
        <w:t xml:space="preserve">registros cortos. </w:t>
      </w:r>
      <w:r w:rsidR="00BC60D9">
        <w:rPr>
          <w:rFonts w:ascii="Arial Narrow" w:hAnsi="Arial Narrow"/>
          <w:sz w:val="22"/>
          <w:szCs w:val="22"/>
        </w:rPr>
        <w:t xml:space="preserve">No obstante, </w:t>
      </w:r>
      <w:r w:rsidRPr="006F56F8">
        <w:rPr>
          <w:rFonts w:ascii="Arial Narrow" w:hAnsi="Arial Narrow"/>
          <w:sz w:val="22"/>
          <w:szCs w:val="22"/>
        </w:rPr>
        <w:t>Montanari (2005) cuestionó la fiabilidad de sus intervalos como probabilidades formales</w:t>
      </w:r>
      <w:r w:rsidR="00BC60D9">
        <w:rPr>
          <w:rFonts w:ascii="Arial Narrow" w:hAnsi="Arial Narrow"/>
          <w:sz w:val="22"/>
          <w:szCs w:val="22"/>
        </w:rPr>
        <w:t>, mientras que</w:t>
      </w:r>
      <w:r w:rsidRPr="006F56F8">
        <w:rPr>
          <w:rFonts w:ascii="Arial Narrow" w:hAnsi="Arial Narrow"/>
          <w:sz w:val="22"/>
          <w:szCs w:val="22"/>
        </w:rPr>
        <w:t xml:space="preserve"> Kavetski et al. (2002) señalaron la subjetividad del umbral de comportamiento aceptable como su limitación central.</w:t>
      </w:r>
    </w:p>
    <w:p w14:paraId="76DEDE23" w14:textId="1A1A39E0" w:rsidR="006F56F8" w:rsidRDefault="00BC60D9" w:rsidP="00D608FA">
      <w:pPr>
        <w:jc w:val="both"/>
        <w:rPr>
          <w:rFonts w:ascii="Arial Narrow" w:hAnsi="Arial Narrow"/>
          <w:sz w:val="22"/>
          <w:szCs w:val="22"/>
        </w:rPr>
      </w:pPr>
      <w:r>
        <w:rPr>
          <w:rFonts w:ascii="Arial Narrow" w:hAnsi="Arial Narrow"/>
          <w:sz w:val="22"/>
          <w:szCs w:val="22"/>
        </w:rPr>
        <w:lastRenderedPageBreak/>
        <w:t xml:space="preserve">En este contexto, </w:t>
      </w:r>
      <w:r w:rsidR="006F56F8" w:rsidRPr="006F56F8">
        <w:rPr>
          <w:rFonts w:ascii="Arial Narrow" w:hAnsi="Arial Narrow"/>
          <w:sz w:val="22"/>
          <w:szCs w:val="22"/>
        </w:rPr>
        <w:t>Vrugt et al.</w:t>
      </w:r>
      <w:r>
        <w:rPr>
          <w:rFonts w:ascii="Arial Narrow" w:hAnsi="Arial Narrow"/>
          <w:sz w:val="22"/>
          <w:szCs w:val="22"/>
        </w:rPr>
        <w:t xml:space="preserve"> (</w:t>
      </w:r>
      <w:r w:rsidR="006F56F8" w:rsidRPr="006F56F8">
        <w:rPr>
          <w:rFonts w:ascii="Arial Narrow" w:hAnsi="Arial Narrow"/>
          <w:sz w:val="22"/>
          <w:szCs w:val="22"/>
        </w:rPr>
        <w:t xml:space="preserve">2009) </w:t>
      </w:r>
      <w:r>
        <w:rPr>
          <w:rFonts w:ascii="Arial Narrow" w:hAnsi="Arial Narrow"/>
          <w:sz w:val="22"/>
          <w:szCs w:val="22"/>
        </w:rPr>
        <w:t xml:space="preserve">propusieron el algoritmo </w:t>
      </w:r>
      <w:r w:rsidRPr="006F56F8">
        <w:rPr>
          <w:rFonts w:ascii="Arial Narrow" w:hAnsi="Arial Narrow"/>
          <w:sz w:val="22"/>
          <w:szCs w:val="22"/>
        </w:rPr>
        <w:t>DREAM</w:t>
      </w:r>
      <w:r>
        <w:rPr>
          <w:rFonts w:ascii="Arial Narrow" w:hAnsi="Arial Narrow"/>
          <w:sz w:val="22"/>
          <w:szCs w:val="22"/>
        </w:rPr>
        <w:t xml:space="preserve">, el cual ha sido considerado en varios casos como estándar para la calibración bayesiana en modelos hidrológicos. </w:t>
      </w:r>
      <w:r w:rsidRPr="00BC60D9">
        <w:rPr>
          <w:rFonts w:ascii="Arial Narrow" w:hAnsi="Arial Narrow"/>
          <w:sz w:val="22"/>
          <w:szCs w:val="22"/>
        </w:rPr>
        <w:t xml:space="preserve">Su gran ventaja es que no busca un único valor perfecto, sino que utiliza técnicas avanzadas de muestreo para estimar con rigor estadístico toda la gama de parámetros probables. Posteriormente, Sadegh y Vrugt (2013) flexibilizaron este método (DREAM-ABC) para reducir su dependencia de ecuaciones estadísticas rígidas. Sin embargo, este enfoque tiene una gran limitación: exige un tiempo y una capacidad de computación tan elevados que resulta inviable para modelos hidrológicos complejos, a menos que se utilicen simplificaciones previas (emuladores). Además, Reichert y Mieleitner (2009), </w:t>
      </w:r>
      <w:r>
        <w:rPr>
          <w:rFonts w:ascii="Arial Narrow" w:hAnsi="Arial Narrow"/>
          <w:sz w:val="22"/>
          <w:szCs w:val="22"/>
        </w:rPr>
        <w:t xml:space="preserve">indicaron que </w:t>
      </w:r>
      <w:r w:rsidRPr="00BC60D9">
        <w:rPr>
          <w:rFonts w:ascii="Arial Narrow" w:hAnsi="Arial Narrow"/>
          <w:sz w:val="22"/>
          <w:szCs w:val="22"/>
        </w:rPr>
        <w:t>es importante considerar que el mayor error en las predicciones suele provenir de la estructura misma del modelo y no solo de la calibración de sus parámetros.</w:t>
      </w:r>
      <w:r>
        <w:rPr>
          <w:rFonts w:ascii="Arial Narrow" w:hAnsi="Arial Narrow"/>
          <w:sz w:val="22"/>
          <w:szCs w:val="22"/>
        </w:rPr>
        <w:t xml:space="preserve"> </w:t>
      </w:r>
    </w:p>
    <w:p w14:paraId="22E78B29" w14:textId="43F123E4" w:rsidR="006F56F8" w:rsidRPr="006F56F8" w:rsidRDefault="00BC60D9" w:rsidP="00BC60D9">
      <w:pPr>
        <w:jc w:val="both"/>
        <w:rPr>
          <w:rFonts w:ascii="Arial Narrow" w:hAnsi="Arial Narrow"/>
          <w:sz w:val="22"/>
          <w:szCs w:val="22"/>
        </w:rPr>
      </w:pPr>
      <w:r>
        <w:rPr>
          <w:rFonts w:ascii="Arial Narrow" w:hAnsi="Arial Narrow"/>
          <w:sz w:val="22"/>
          <w:szCs w:val="22"/>
        </w:rPr>
        <w:t xml:space="preserve">Por otra parte, la </w:t>
      </w:r>
      <w:r w:rsidR="006F56F8" w:rsidRPr="006F56F8">
        <w:rPr>
          <w:rFonts w:ascii="Arial Narrow" w:hAnsi="Arial Narrow"/>
          <w:sz w:val="22"/>
          <w:szCs w:val="22"/>
        </w:rPr>
        <w:t xml:space="preserve">calibración multiobjetivo (Yapo et al., 1998; Gupta et al., 1998; Vrugt et al., 2003) optimiza simultáneamente NSE, KGE y PBIAS, capturando distintos aspectos del hidrograma. Zhang et al. (2016) demostraron que este enfoque mejora la representación del régimen de caudales en distintas escalas temporales. </w:t>
      </w:r>
      <w:r>
        <w:rPr>
          <w:rFonts w:ascii="Arial Narrow" w:hAnsi="Arial Narrow"/>
          <w:sz w:val="22"/>
          <w:szCs w:val="22"/>
        </w:rPr>
        <w:t xml:space="preserve">En este sentido, </w:t>
      </w:r>
      <w:r w:rsidR="006F56F8" w:rsidRPr="006F56F8">
        <w:rPr>
          <w:rFonts w:ascii="Arial Narrow" w:hAnsi="Arial Narrow"/>
          <w:sz w:val="22"/>
          <w:szCs w:val="22"/>
        </w:rPr>
        <w:t>Kling et al. (2012) propusieron una versión modificada del KGE ampliamente adoptada</w:t>
      </w:r>
      <w:r>
        <w:rPr>
          <w:rFonts w:ascii="Arial Narrow" w:hAnsi="Arial Narrow"/>
          <w:sz w:val="22"/>
          <w:szCs w:val="22"/>
        </w:rPr>
        <w:t xml:space="preserve">, en la que su principal ventaje es que </w:t>
      </w:r>
      <w:r w:rsidR="006F56F8" w:rsidRPr="006F56F8">
        <w:rPr>
          <w:rFonts w:ascii="Arial Narrow" w:hAnsi="Arial Narrow"/>
          <w:sz w:val="22"/>
          <w:szCs w:val="22"/>
        </w:rPr>
        <w:t>captura comportamientos hidrológicos complementarios</w:t>
      </w:r>
      <w:r>
        <w:rPr>
          <w:rFonts w:ascii="Arial Narrow" w:hAnsi="Arial Narrow"/>
          <w:sz w:val="22"/>
          <w:szCs w:val="22"/>
        </w:rPr>
        <w:t xml:space="preserve">, pero su desventaja </w:t>
      </w:r>
      <w:r w:rsidR="002716BB" w:rsidRPr="002716BB">
        <w:rPr>
          <w:rFonts w:ascii="Arial Narrow" w:hAnsi="Arial Narrow"/>
          <w:sz w:val="22"/>
          <w:szCs w:val="22"/>
        </w:rPr>
        <w:t>es que obliga al investigador a tomar decisiones subjetivas</w:t>
      </w:r>
      <w:r w:rsidR="002716BB">
        <w:rPr>
          <w:rFonts w:ascii="Arial Narrow" w:hAnsi="Arial Narrow"/>
          <w:sz w:val="22"/>
          <w:szCs w:val="22"/>
        </w:rPr>
        <w:t xml:space="preserve">, ya que debe enfrentarse a equilibrar </w:t>
      </w:r>
      <w:r w:rsidR="002716BB" w:rsidRPr="002716BB">
        <w:rPr>
          <w:rFonts w:ascii="Arial Narrow" w:hAnsi="Arial Narrow"/>
          <w:sz w:val="22"/>
          <w:szCs w:val="22"/>
        </w:rPr>
        <w:t xml:space="preserve">varios objetivos que entran en conflicto, </w:t>
      </w:r>
      <w:r w:rsidR="002716BB">
        <w:rPr>
          <w:rFonts w:ascii="Arial Narrow" w:hAnsi="Arial Narrow"/>
          <w:sz w:val="22"/>
          <w:szCs w:val="22"/>
        </w:rPr>
        <w:t xml:space="preserve">debido a que </w:t>
      </w:r>
      <w:r w:rsidR="002716BB" w:rsidRPr="002716BB">
        <w:rPr>
          <w:rFonts w:ascii="Arial Narrow" w:hAnsi="Arial Narrow"/>
          <w:sz w:val="22"/>
          <w:szCs w:val="22"/>
        </w:rPr>
        <w:t xml:space="preserve">el algoritmo genera un abanico de múltiples soluciones válidas (conocido como el frente de Pareto), dejando </w:t>
      </w:r>
      <w:r w:rsidR="002716BB">
        <w:rPr>
          <w:rFonts w:ascii="Arial Narrow" w:hAnsi="Arial Narrow"/>
          <w:sz w:val="22"/>
          <w:szCs w:val="22"/>
        </w:rPr>
        <w:t>al juicio del modelador la interpretación y elección de la solución que mejor se aproxime al comportamiento observado del sistema hidrológico objeto de análisis</w:t>
      </w:r>
      <w:r w:rsidR="006F56F8" w:rsidRPr="006F56F8">
        <w:rPr>
          <w:rFonts w:ascii="Arial Narrow" w:hAnsi="Arial Narrow"/>
          <w:sz w:val="22"/>
          <w:szCs w:val="22"/>
        </w:rPr>
        <w:t xml:space="preserve">. </w:t>
      </w:r>
      <w:r w:rsidR="009A2312">
        <w:rPr>
          <w:rFonts w:ascii="Arial Narrow" w:hAnsi="Arial Narrow"/>
          <w:sz w:val="22"/>
          <w:szCs w:val="22"/>
        </w:rPr>
        <w:t xml:space="preserve">Lo cual se aproxima a contexto colombiano de implementación de modelos hidrológicos en entornos donde se presentan usos del agua simultáneos para </w:t>
      </w:r>
      <w:r w:rsidR="009A2312" w:rsidRPr="006F56F8">
        <w:rPr>
          <w:rFonts w:ascii="Arial Narrow" w:hAnsi="Arial Narrow"/>
          <w:sz w:val="22"/>
          <w:szCs w:val="22"/>
        </w:rPr>
        <w:t>agric</w:t>
      </w:r>
      <w:r w:rsidR="009A2312">
        <w:rPr>
          <w:rFonts w:ascii="Arial Narrow" w:hAnsi="Arial Narrow"/>
          <w:sz w:val="22"/>
          <w:szCs w:val="22"/>
        </w:rPr>
        <w:t>ultura</w:t>
      </w:r>
      <w:r w:rsidR="006F56F8" w:rsidRPr="006F56F8">
        <w:rPr>
          <w:rFonts w:ascii="Arial Narrow" w:hAnsi="Arial Narrow"/>
          <w:sz w:val="22"/>
          <w:szCs w:val="22"/>
        </w:rPr>
        <w:t xml:space="preserve">, </w:t>
      </w:r>
      <w:r w:rsidR="009A2312">
        <w:rPr>
          <w:rFonts w:ascii="Arial Narrow" w:hAnsi="Arial Narrow"/>
          <w:sz w:val="22"/>
          <w:szCs w:val="22"/>
        </w:rPr>
        <w:t xml:space="preserve">generación de energía </w:t>
      </w:r>
      <w:r w:rsidR="006F56F8" w:rsidRPr="006F56F8">
        <w:rPr>
          <w:rFonts w:ascii="Arial Narrow" w:hAnsi="Arial Narrow"/>
          <w:sz w:val="22"/>
          <w:szCs w:val="22"/>
        </w:rPr>
        <w:t xml:space="preserve">y abastecimiento </w:t>
      </w:r>
      <w:r w:rsidR="009A2312">
        <w:rPr>
          <w:rFonts w:ascii="Arial Narrow" w:hAnsi="Arial Narrow"/>
          <w:sz w:val="22"/>
          <w:szCs w:val="22"/>
        </w:rPr>
        <w:t>humano</w:t>
      </w:r>
      <w:r w:rsidR="006F56F8" w:rsidRPr="006F56F8">
        <w:rPr>
          <w:rFonts w:ascii="Arial Narrow" w:hAnsi="Arial Narrow"/>
          <w:sz w:val="22"/>
          <w:szCs w:val="22"/>
        </w:rPr>
        <w:t xml:space="preserve">, </w:t>
      </w:r>
      <w:r w:rsidR="009A2312">
        <w:rPr>
          <w:rFonts w:ascii="Arial Narrow" w:hAnsi="Arial Narrow"/>
          <w:sz w:val="22"/>
          <w:szCs w:val="22"/>
        </w:rPr>
        <w:t xml:space="preserve">y por tanto, implica procesos de toma </w:t>
      </w:r>
      <w:r w:rsidR="006F56F8" w:rsidRPr="006F56F8">
        <w:rPr>
          <w:rFonts w:ascii="Arial Narrow" w:hAnsi="Arial Narrow"/>
          <w:sz w:val="22"/>
          <w:szCs w:val="22"/>
        </w:rPr>
        <w:t>de decisiones integrada.</w:t>
      </w:r>
    </w:p>
    <w:p w14:paraId="7D1258B4" w14:textId="77777777" w:rsidR="006F18E0" w:rsidRDefault="00B31154" w:rsidP="00D608FA">
      <w:pPr>
        <w:jc w:val="both"/>
        <w:rPr>
          <w:rFonts w:ascii="Arial Narrow" w:hAnsi="Arial Narrow"/>
          <w:sz w:val="22"/>
          <w:szCs w:val="22"/>
        </w:rPr>
      </w:pPr>
      <w:r w:rsidRPr="00B31154">
        <w:rPr>
          <w:rFonts w:ascii="Arial Narrow" w:hAnsi="Arial Narrow"/>
          <w:sz w:val="22"/>
          <w:szCs w:val="22"/>
        </w:rPr>
        <w:t xml:space="preserve">Algoritmos como los bosques aleatorios y las redes neuronales son capaces de 'imitar' el comportamiento de los modelos físicos tradicionales, lo que reduce drásticamente el tiempo de cálculo durante la calibración. Sin embargo, Shortridge et al. (2016) señalan </w:t>
      </w:r>
      <w:r w:rsidR="006F18E0">
        <w:rPr>
          <w:rFonts w:ascii="Arial Narrow" w:hAnsi="Arial Narrow"/>
          <w:sz w:val="22"/>
          <w:szCs w:val="22"/>
        </w:rPr>
        <w:t xml:space="preserve">como </w:t>
      </w:r>
      <w:r w:rsidRPr="00B31154">
        <w:rPr>
          <w:rFonts w:ascii="Arial Narrow" w:hAnsi="Arial Narrow"/>
          <w:sz w:val="22"/>
          <w:szCs w:val="22"/>
        </w:rPr>
        <w:t>una debilidad importante</w:t>
      </w:r>
      <w:r w:rsidR="006F18E0">
        <w:rPr>
          <w:rFonts w:ascii="Arial Narrow" w:hAnsi="Arial Narrow"/>
          <w:sz w:val="22"/>
          <w:szCs w:val="22"/>
        </w:rPr>
        <w:t xml:space="preserve"> que </w:t>
      </w:r>
      <w:r w:rsidRPr="00B31154">
        <w:rPr>
          <w:rFonts w:ascii="Arial Narrow" w:hAnsi="Arial Narrow"/>
          <w:sz w:val="22"/>
          <w:szCs w:val="22"/>
        </w:rPr>
        <w:t>estos algoritmos tienen dificultades para predecir eventos extremos</w:t>
      </w:r>
      <w:r w:rsidR="006F18E0">
        <w:rPr>
          <w:rFonts w:ascii="Arial Narrow" w:hAnsi="Arial Narrow"/>
          <w:sz w:val="22"/>
          <w:szCs w:val="22"/>
        </w:rPr>
        <w:t xml:space="preserve">, si no se cuenta con datos de eventos similares </w:t>
      </w:r>
      <w:r w:rsidRPr="00B31154">
        <w:rPr>
          <w:rFonts w:ascii="Arial Narrow" w:hAnsi="Arial Narrow"/>
          <w:sz w:val="22"/>
          <w:szCs w:val="22"/>
        </w:rPr>
        <w:t xml:space="preserve">durante su entrenamiento. En países como Colombia, la escasez de datos históricos </w:t>
      </w:r>
      <w:r w:rsidR="006F18E0">
        <w:rPr>
          <w:rFonts w:ascii="Arial Narrow" w:hAnsi="Arial Narrow"/>
          <w:sz w:val="22"/>
          <w:szCs w:val="22"/>
        </w:rPr>
        <w:t xml:space="preserve">hace especialmente difícil este tipo de implementaciones, de modo que una solución alternativa corresponde a los </w:t>
      </w:r>
      <w:r w:rsidRPr="00B31154">
        <w:rPr>
          <w:rFonts w:ascii="Arial Narrow" w:hAnsi="Arial Narrow"/>
          <w:sz w:val="22"/>
          <w:szCs w:val="22"/>
        </w:rPr>
        <w:t>modelos híbridos, los cuales combinan la rapidez estadística de la Inteligencia Artificial con las leyes básicas de la física</w:t>
      </w:r>
      <w:r w:rsidR="006F18E0">
        <w:rPr>
          <w:rFonts w:ascii="Arial Narrow" w:hAnsi="Arial Narrow"/>
          <w:sz w:val="22"/>
          <w:szCs w:val="22"/>
        </w:rPr>
        <w:t>. Esto permite obtener estimaciones de caudales</w:t>
      </w:r>
      <w:r w:rsidRPr="00B31154">
        <w:rPr>
          <w:rFonts w:ascii="Arial Narrow" w:hAnsi="Arial Narrow"/>
          <w:sz w:val="22"/>
          <w:szCs w:val="22"/>
        </w:rPr>
        <w:t xml:space="preserve"> coherentes incluso cuando la información es limitada</w:t>
      </w:r>
      <w:r w:rsidR="006F18E0">
        <w:rPr>
          <w:rFonts w:ascii="Arial Narrow" w:hAnsi="Arial Narrow"/>
          <w:sz w:val="22"/>
          <w:szCs w:val="22"/>
        </w:rPr>
        <w:t>.</w:t>
      </w:r>
    </w:p>
    <w:p w14:paraId="20BE433E" w14:textId="00E9B2CC" w:rsidR="006F56F8" w:rsidRPr="006F56F8" w:rsidRDefault="006F18E0" w:rsidP="00D608FA">
      <w:pPr>
        <w:jc w:val="both"/>
        <w:rPr>
          <w:rFonts w:ascii="Arial Narrow" w:hAnsi="Arial Narrow"/>
          <w:sz w:val="22"/>
          <w:szCs w:val="22"/>
        </w:rPr>
      </w:pPr>
      <w:r>
        <w:rPr>
          <w:rFonts w:ascii="Arial Narrow" w:hAnsi="Arial Narrow"/>
          <w:sz w:val="22"/>
          <w:szCs w:val="22"/>
        </w:rPr>
        <w:t>En este contexto l</w:t>
      </w:r>
      <w:r w:rsidR="006F56F8" w:rsidRPr="006F56F8">
        <w:rPr>
          <w:rFonts w:ascii="Arial Narrow" w:hAnsi="Arial Narrow"/>
          <w:sz w:val="22"/>
          <w:szCs w:val="22"/>
        </w:rPr>
        <w:t xml:space="preserve">as brechas identificadas convergen en cuatro necesidades críticas para Colombia: </w:t>
      </w:r>
      <w:r>
        <w:rPr>
          <w:rFonts w:ascii="Arial Narrow" w:hAnsi="Arial Narrow"/>
          <w:sz w:val="22"/>
          <w:szCs w:val="22"/>
        </w:rPr>
        <w:t>1)</w:t>
      </w:r>
      <w:r w:rsidR="006F56F8" w:rsidRPr="006F56F8">
        <w:rPr>
          <w:rFonts w:ascii="Arial Narrow" w:hAnsi="Arial Narrow"/>
          <w:sz w:val="22"/>
          <w:szCs w:val="22"/>
        </w:rPr>
        <w:t xml:space="preserve"> métodos de regionalización de parámetros para cuencas tropicales no aforadas (Parajka et al., 2005; Hrachowitz et al., 2013); </w:t>
      </w:r>
      <w:r>
        <w:rPr>
          <w:rFonts w:ascii="Arial Narrow" w:hAnsi="Arial Narrow"/>
          <w:sz w:val="22"/>
          <w:szCs w:val="22"/>
        </w:rPr>
        <w:t>2</w:t>
      </w:r>
      <w:r w:rsidR="006F56F8" w:rsidRPr="006F56F8">
        <w:rPr>
          <w:rFonts w:ascii="Arial Narrow" w:hAnsi="Arial Narrow"/>
          <w:sz w:val="22"/>
          <w:szCs w:val="22"/>
        </w:rPr>
        <w:t xml:space="preserve">) técnicas de calibración con datos satelitales —MOD16, SMAP, GRACE-FO— para cuencas </w:t>
      </w:r>
      <w:r w:rsidR="0016787C">
        <w:rPr>
          <w:rFonts w:ascii="Arial Narrow" w:hAnsi="Arial Narrow"/>
          <w:sz w:val="22"/>
          <w:szCs w:val="22"/>
        </w:rPr>
        <w:t xml:space="preserve">no aforadas </w:t>
      </w:r>
      <w:r w:rsidR="006F56F8" w:rsidRPr="006F56F8">
        <w:rPr>
          <w:rFonts w:ascii="Arial Narrow" w:hAnsi="Arial Narrow"/>
          <w:sz w:val="22"/>
          <w:szCs w:val="22"/>
        </w:rPr>
        <w:t xml:space="preserve">(Sivapalan et al., 2003); </w:t>
      </w:r>
      <w:r w:rsidR="0016787C">
        <w:rPr>
          <w:rFonts w:ascii="Arial Narrow" w:hAnsi="Arial Narrow"/>
          <w:sz w:val="22"/>
          <w:szCs w:val="22"/>
        </w:rPr>
        <w:t>3</w:t>
      </w:r>
      <w:r w:rsidR="006F56F8" w:rsidRPr="006F56F8">
        <w:rPr>
          <w:rFonts w:ascii="Arial Narrow" w:hAnsi="Arial Narrow"/>
          <w:sz w:val="22"/>
          <w:szCs w:val="22"/>
        </w:rPr>
        <w:t xml:space="preserve">) enfoques que cuantifiquen la incertidumbre de forma comprensible para tomadores de decisiones (Nearing et al., 2016; Wagener &amp; Wheater, 2006); y </w:t>
      </w:r>
      <w:r w:rsidR="006573E1">
        <w:rPr>
          <w:rFonts w:ascii="Arial Narrow" w:hAnsi="Arial Narrow"/>
          <w:sz w:val="22"/>
          <w:szCs w:val="22"/>
        </w:rPr>
        <w:t>4</w:t>
      </w:r>
      <w:r w:rsidR="006F56F8" w:rsidRPr="006F56F8">
        <w:rPr>
          <w:rFonts w:ascii="Arial Narrow" w:hAnsi="Arial Narrow"/>
          <w:sz w:val="22"/>
          <w:szCs w:val="22"/>
        </w:rPr>
        <w:t xml:space="preserve">) métodos simples y parsimoniosos que, sin sacrificar calidad predictiva, sean fácilmente </w:t>
      </w:r>
      <w:r w:rsidR="006573E1">
        <w:rPr>
          <w:rFonts w:ascii="Arial Narrow" w:hAnsi="Arial Narrow"/>
          <w:sz w:val="22"/>
          <w:szCs w:val="22"/>
        </w:rPr>
        <w:t xml:space="preserve">implementados por </w:t>
      </w:r>
      <w:r w:rsidR="006F56F8" w:rsidRPr="006F56F8">
        <w:rPr>
          <w:rFonts w:ascii="Arial Narrow" w:hAnsi="Arial Narrow"/>
          <w:sz w:val="22"/>
          <w:szCs w:val="22"/>
        </w:rPr>
        <w:t xml:space="preserve">por profesionales con </w:t>
      </w:r>
      <w:r w:rsidR="006573E1">
        <w:rPr>
          <w:rFonts w:ascii="Arial Narrow" w:hAnsi="Arial Narrow"/>
          <w:sz w:val="22"/>
          <w:szCs w:val="22"/>
        </w:rPr>
        <w:t xml:space="preserve">distintos niveles de formación, lo cual contribuye a facilitar la apropiación de </w:t>
      </w:r>
      <w:r w:rsidR="006F56F8" w:rsidRPr="006F56F8">
        <w:rPr>
          <w:rFonts w:ascii="Arial Narrow" w:hAnsi="Arial Narrow"/>
          <w:sz w:val="22"/>
          <w:szCs w:val="22"/>
        </w:rPr>
        <w:t xml:space="preserve">las metodologías en la ingeniería y en instituciones </w:t>
      </w:r>
      <w:r w:rsidR="006573E1">
        <w:rPr>
          <w:rFonts w:ascii="Arial Narrow" w:hAnsi="Arial Narrow"/>
          <w:sz w:val="22"/>
          <w:szCs w:val="22"/>
        </w:rPr>
        <w:t xml:space="preserve">encargadas de la toma de </w:t>
      </w:r>
      <w:r w:rsidR="006F56F8" w:rsidRPr="006F56F8">
        <w:rPr>
          <w:rFonts w:ascii="Arial Narrow" w:hAnsi="Arial Narrow"/>
          <w:sz w:val="22"/>
          <w:szCs w:val="22"/>
        </w:rPr>
        <w:t>decisiones (Jakeman &amp; Hornberger, 1993; Perrin et al., 2003; Kirchner, 2006; Hrachowitz &amp; Clark, 2017). Estas necesidades se alinean con la Prioridad 1 del Marco de Sendai y con la meta 6.5 de los ODS sobre gestión integrada del recurso hídrico.</w:t>
      </w:r>
    </w:p>
    <w:p w14:paraId="3E265F1D" w14:textId="77777777" w:rsidR="006F56F8" w:rsidRPr="00462D55" w:rsidRDefault="006F56F8" w:rsidP="00D608FA">
      <w:pPr>
        <w:pStyle w:val="Ttulo1"/>
        <w:jc w:val="both"/>
        <w:rPr>
          <w:rFonts w:ascii="Arial Narrow" w:hAnsi="Arial Narrow"/>
          <w:b/>
          <w:bCs/>
          <w:color w:val="auto"/>
          <w:sz w:val="22"/>
          <w:szCs w:val="22"/>
        </w:rPr>
      </w:pPr>
      <w:r w:rsidRPr="00462D55">
        <w:rPr>
          <w:rFonts w:ascii="Arial Narrow" w:hAnsi="Arial Narrow"/>
          <w:b/>
          <w:bCs/>
          <w:color w:val="auto"/>
          <w:sz w:val="22"/>
          <w:szCs w:val="22"/>
        </w:rPr>
        <w:lastRenderedPageBreak/>
        <w:t>2. Objetivos</w:t>
      </w:r>
    </w:p>
    <w:p w14:paraId="611BC136" w14:textId="77777777" w:rsidR="006F56F8" w:rsidRPr="006F56F8" w:rsidRDefault="006F56F8" w:rsidP="00D608FA">
      <w:pPr>
        <w:jc w:val="both"/>
        <w:rPr>
          <w:rFonts w:ascii="Arial Narrow" w:hAnsi="Arial Narrow"/>
          <w:sz w:val="22"/>
          <w:szCs w:val="22"/>
        </w:rPr>
      </w:pPr>
      <w:r w:rsidRPr="006F56F8">
        <w:rPr>
          <w:rFonts w:ascii="Arial Narrow" w:hAnsi="Arial Narrow"/>
          <w:sz w:val="22"/>
          <w:szCs w:val="22"/>
        </w:rPr>
        <w:t>La presente propuesta define tres objetivos articulados con la investigación, la docencia y la extensión universitaria:</w:t>
      </w:r>
    </w:p>
    <w:p w14:paraId="00D0211E" w14:textId="14B17521" w:rsidR="006F56F8" w:rsidRPr="00744170" w:rsidRDefault="006F56F8" w:rsidP="00744170">
      <w:pPr>
        <w:pStyle w:val="Prrafodelista"/>
        <w:numPr>
          <w:ilvl w:val="0"/>
          <w:numId w:val="1"/>
        </w:numPr>
        <w:jc w:val="both"/>
        <w:rPr>
          <w:rFonts w:ascii="Arial Narrow" w:hAnsi="Arial Narrow"/>
          <w:sz w:val="22"/>
          <w:szCs w:val="22"/>
        </w:rPr>
      </w:pPr>
      <w:r w:rsidRPr="00744170">
        <w:rPr>
          <w:rFonts w:ascii="Arial Narrow" w:hAnsi="Arial Narrow"/>
          <w:sz w:val="22"/>
          <w:szCs w:val="22"/>
        </w:rPr>
        <w:t>Desarrollar investigación aplicada sobre técnicas de calibración de modelos hidrológicos adaptadas al contexto colombiano, con énfasis en cuencas con información escasa</w:t>
      </w:r>
      <w:r w:rsidR="00EA1BA0">
        <w:rPr>
          <w:rFonts w:ascii="Arial Narrow" w:hAnsi="Arial Narrow"/>
          <w:sz w:val="22"/>
          <w:szCs w:val="22"/>
        </w:rPr>
        <w:t xml:space="preserve"> </w:t>
      </w:r>
      <w:r w:rsidRPr="00744170">
        <w:rPr>
          <w:rFonts w:ascii="Arial Narrow" w:hAnsi="Arial Narrow"/>
          <w:sz w:val="22"/>
          <w:szCs w:val="22"/>
        </w:rPr>
        <w:t>y en entornos tropicales.</w:t>
      </w:r>
    </w:p>
    <w:p w14:paraId="4B932FF9" w14:textId="1A36352F" w:rsidR="006F56F8" w:rsidRPr="00744170" w:rsidRDefault="006F56F8" w:rsidP="00744170">
      <w:pPr>
        <w:pStyle w:val="Prrafodelista"/>
        <w:numPr>
          <w:ilvl w:val="0"/>
          <w:numId w:val="1"/>
        </w:numPr>
        <w:jc w:val="both"/>
        <w:rPr>
          <w:rFonts w:ascii="Arial Narrow" w:hAnsi="Arial Narrow"/>
          <w:sz w:val="22"/>
          <w:szCs w:val="22"/>
        </w:rPr>
      </w:pPr>
      <w:r w:rsidRPr="00744170">
        <w:rPr>
          <w:rFonts w:ascii="Arial Narrow" w:hAnsi="Arial Narrow"/>
          <w:sz w:val="22"/>
          <w:szCs w:val="22"/>
        </w:rPr>
        <w:t>Incorporar la calibración de modelos hidrológicos en los planes curriculares de pregrado y posgrado en ingeniería, desarrollando competencias técnicas y científicas pertinentes para la gestión sostenible del recurso hídrico y la reducción del riesgo de desastres en Colombia y América Latina.</w:t>
      </w:r>
    </w:p>
    <w:p w14:paraId="68A44683" w14:textId="482D862D" w:rsidR="006F56F8" w:rsidRPr="00744170" w:rsidRDefault="006F56F8" w:rsidP="00744170">
      <w:pPr>
        <w:pStyle w:val="Prrafodelista"/>
        <w:numPr>
          <w:ilvl w:val="0"/>
          <w:numId w:val="1"/>
        </w:numPr>
        <w:jc w:val="both"/>
        <w:rPr>
          <w:rFonts w:ascii="Arial Narrow" w:hAnsi="Arial Narrow"/>
          <w:sz w:val="22"/>
          <w:szCs w:val="22"/>
        </w:rPr>
      </w:pPr>
      <w:r w:rsidRPr="00744170">
        <w:rPr>
          <w:rFonts w:ascii="Arial Narrow" w:hAnsi="Arial Narrow"/>
          <w:sz w:val="22"/>
          <w:szCs w:val="22"/>
        </w:rPr>
        <w:t xml:space="preserve">Desarrollar proyectos </w:t>
      </w:r>
      <w:r w:rsidR="00855797">
        <w:rPr>
          <w:rFonts w:ascii="Arial Narrow" w:hAnsi="Arial Narrow"/>
          <w:sz w:val="22"/>
          <w:szCs w:val="22"/>
        </w:rPr>
        <w:t xml:space="preserve">de transferencia de </w:t>
      </w:r>
      <w:r w:rsidR="00855797" w:rsidRPr="00744170">
        <w:rPr>
          <w:rFonts w:ascii="Arial Narrow" w:hAnsi="Arial Narrow"/>
          <w:sz w:val="22"/>
          <w:szCs w:val="22"/>
        </w:rPr>
        <w:t xml:space="preserve">metodologías de calibración hidrológica </w:t>
      </w:r>
      <w:r w:rsidRPr="00744170">
        <w:rPr>
          <w:rFonts w:ascii="Arial Narrow" w:hAnsi="Arial Narrow"/>
          <w:sz w:val="22"/>
          <w:szCs w:val="22"/>
        </w:rPr>
        <w:t>vulnerables, instituciones del Estado y empresas del sector hídrico, bajo el modelo de cuádruple hélice Estado-Universidad-Empresa-Comunidad.</w:t>
      </w:r>
    </w:p>
    <w:p w14:paraId="0131F9D8" w14:textId="77777777" w:rsidR="006F56F8" w:rsidRPr="00462D55" w:rsidRDefault="006F56F8" w:rsidP="00D608FA">
      <w:pPr>
        <w:pStyle w:val="Ttulo1"/>
        <w:jc w:val="both"/>
        <w:rPr>
          <w:rFonts w:ascii="Arial Narrow" w:hAnsi="Arial Narrow"/>
          <w:b/>
          <w:bCs/>
          <w:color w:val="auto"/>
          <w:sz w:val="22"/>
          <w:szCs w:val="22"/>
        </w:rPr>
      </w:pPr>
      <w:r w:rsidRPr="00462D55">
        <w:rPr>
          <w:rFonts w:ascii="Arial Narrow" w:hAnsi="Arial Narrow"/>
          <w:b/>
          <w:bCs/>
          <w:color w:val="auto"/>
          <w:sz w:val="22"/>
          <w:szCs w:val="22"/>
        </w:rPr>
        <w:t>3. Propuesta de Docencia</w:t>
      </w:r>
    </w:p>
    <w:p w14:paraId="754A764F" w14:textId="0D005B0C" w:rsidR="006F56F8" w:rsidRPr="006F56F8" w:rsidRDefault="006F56F8" w:rsidP="00D608FA">
      <w:pPr>
        <w:jc w:val="both"/>
        <w:rPr>
          <w:rFonts w:ascii="Arial Narrow" w:hAnsi="Arial Narrow"/>
          <w:sz w:val="22"/>
          <w:szCs w:val="22"/>
        </w:rPr>
      </w:pPr>
      <w:r w:rsidRPr="006F56F8">
        <w:rPr>
          <w:rFonts w:ascii="Arial Narrow" w:hAnsi="Arial Narrow"/>
          <w:sz w:val="22"/>
          <w:szCs w:val="22"/>
        </w:rPr>
        <w:t xml:space="preserve">La calibración de modelos hidrológicos </w:t>
      </w:r>
      <w:r w:rsidR="001663D6">
        <w:rPr>
          <w:rFonts w:ascii="Arial Narrow" w:hAnsi="Arial Narrow"/>
          <w:sz w:val="22"/>
          <w:szCs w:val="22"/>
        </w:rPr>
        <w:t xml:space="preserve">se </w:t>
      </w:r>
      <w:r w:rsidRPr="006F56F8">
        <w:rPr>
          <w:rFonts w:ascii="Arial Narrow" w:hAnsi="Arial Narrow"/>
          <w:sz w:val="22"/>
          <w:szCs w:val="22"/>
        </w:rPr>
        <w:t xml:space="preserve">puede </w:t>
      </w:r>
      <w:r w:rsidR="001663D6">
        <w:rPr>
          <w:rFonts w:ascii="Arial Narrow" w:hAnsi="Arial Narrow"/>
          <w:sz w:val="22"/>
          <w:szCs w:val="22"/>
        </w:rPr>
        <w:t xml:space="preserve">ofrecer </w:t>
      </w:r>
      <w:r w:rsidRPr="006F56F8">
        <w:rPr>
          <w:rFonts w:ascii="Arial Narrow" w:hAnsi="Arial Narrow"/>
          <w:sz w:val="22"/>
          <w:szCs w:val="22"/>
        </w:rPr>
        <w:t xml:space="preserve">como </w:t>
      </w:r>
      <w:r w:rsidR="001663D6">
        <w:rPr>
          <w:rFonts w:ascii="Arial Narrow" w:hAnsi="Arial Narrow"/>
          <w:sz w:val="22"/>
          <w:szCs w:val="22"/>
        </w:rPr>
        <w:t xml:space="preserve">una </w:t>
      </w:r>
      <w:r w:rsidRPr="006F56F8">
        <w:rPr>
          <w:rFonts w:ascii="Arial Narrow" w:hAnsi="Arial Narrow"/>
          <w:sz w:val="22"/>
          <w:szCs w:val="22"/>
        </w:rPr>
        <w:t xml:space="preserve">asignatura electiva en programas de pregrado en Ingeniería </w:t>
      </w:r>
      <w:r w:rsidR="001663D6">
        <w:rPr>
          <w:rFonts w:ascii="Arial Narrow" w:hAnsi="Arial Narrow"/>
          <w:sz w:val="22"/>
          <w:szCs w:val="22"/>
        </w:rPr>
        <w:t xml:space="preserve">Agrícola, </w:t>
      </w:r>
      <w:r w:rsidRPr="006F56F8">
        <w:rPr>
          <w:rFonts w:ascii="Arial Narrow" w:hAnsi="Arial Narrow"/>
          <w:sz w:val="22"/>
          <w:szCs w:val="22"/>
        </w:rPr>
        <w:t xml:space="preserve">Civil o Ambiental, o </w:t>
      </w:r>
      <w:r w:rsidR="001663D6">
        <w:rPr>
          <w:rFonts w:ascii="Arial Narrow" w:hAnsi="Arial Narrow"/>
          <w:sz w:val="22"/>
          <w:szCs w:val="22"/>
        </w:rPr>
        <w:t xml:space="preserve">curso obligatorio en programas de maestría en área como los </w:t>
      </w:r>
      <w:r w:rsidRPr="006F56F8">
        <w:rPr>
          <w:rFonts w:ascii="Arial Narrow" w:hAnsi="Arial Narrow"/>
          <w:sz w:val="22"/>
          <w:szCs w:val="22"/>
        </w:rPr>
        <w:t xml:space="preserve">Recursos Hídricos, Ingeniería Ambiental o Ciencias de la Tierra. </w:t>
      </w:r>
      <w:r w:rsidR="001663D6">
        <w:rPr>
          <w:rFonts w:ascii="Arial Narrow" w:hAnsi="Arial Narrow"/>
          <w:sz w:val="22"/>
          <w:szCs w:val="22"/>
        </w:rPr>
        <w:t xml:space="preserve">De modo que, al articular fundamentos de la </w:t>
      </w:r>
      <w:r w:rsidRPr="006F56F8">
        <w:rPr>
          <w:rFonts w:ascii="Arial Narrow" w:hAnsi="Arial Narrow"/>
          <w:sz w:val="22"/>
          <w:szCs w:val="22"/>
        </w:rPr>
        <w:t>estadística aplicada, programación e hidrología</w:t>
      </w:r>
      <w:r w:rsidR="001663D6">
        <w:rPr>
          <w:rFonts w:ascii="Arial Narrow" w:hAnsi="Arial Narrow"/>
          <w:sz w:val="22"/>
          <w:szCs w:val="22"/>
        </w:rPr>
        <w:t xml:space="preserve">, </w:t>
      </w:r>
      <w:r w:rsidRPr="006F56F8">
        <w:rPr>
          <w:rFonts w:ascii="Arial Narrow" w:hAnsi="Arial Narrow"/>
          <w:sz w:val="22"/>
          <w:szCs w:val="22"/>
        </w:rPr>
        <w:t xml:space="preserve">lo hace especialmente pertinente en el nivel de posgrado, donde </w:t>
      </w:r>
      <w:r w:rsidR="001663D6">
        <w:rPr>
          <w:rFonts w:ascii="Arial Narrow" w:hAnsi="Arial Narrow"/>
          <w:sz w:val="22"/>
          <w:szCs w:val="22"/>
        </w:rPr>
        <w:t xml:space="preserve">los estudiantes requieren desarrollar </w:t>
      </w:r>
      <w:r w:rsidRPr="006F56F8">
        <w:rPr>
          <w:rFonts w:ascii="Arial Narrow" w:hAnsi="Arial Narrow"/>
          <w:sz w:val="22"/>
          <w:szCs w:val="22"/>
        </w:rPr>
        <w:t xml:space="preserve">competencias </w:t>
      </w:r>
      <w:r w:rsidR="001663D6">
        <w:rPr>
          <w:rFonts w:ascii="Arial Narrow" w:hAnsi="Arial Narrow"/>
          <w:sz w:val="22"/>
          <w:szCs w:val="22"/>
        </w:rPr>
        <w:t xml:space="preserve">para la investigación </w:t>
      </w:r>
      <w:r w:rsidRPr="006F56F8">
        <w:rPr>
          <w:rFonts w:ascii="Arial Narrow" w:hAnsi="Arial Narrow"/>
          <w:sz w:val="22"/>
          <w:szCs w:val="22"/>
        </w:rPr>
        <w:t>de alto valor para el sector hídrico nacional e internacional.</w:t>
      </w:r>
    </w:p>
    <w:p w14:paraId="44A9A04C" w14:textId="1261C429" w:rsidR="006F56F8" w:rsidRDefault="006F56F8" w:rsidP="00D608FA">
      <w:pPr>
        <w:jc w:val="both"/>
        <w:rPr>
          <w:rFonts w:ascii="Arial Narrow" w:hAnsi="Arial Narrow"/>
          <w:sz w:val="22"/>
          <w:szCs w:val="22"/>
        </w:rPr>
      </w:pPr>
      <w:r w:rsidRPr="006F56F8">
        <w:rPr>
          <w:rFonts w:ascii="Arial Narrow" w:hAnsi="Arial Narrow"/>
          <w:sz w:val="22"/>
          <w:szCs w:val="22"/>
        </w:rPr>
        <w:t>La estrategia pedagógica se estructura en tres niveles progresivos</w:t>
      </w:r>
      <w:r w:rsidR="00945819">
        <w:rPr>
          <w:rFonts w:ascii="Arial Narrow" w:hAnsi="Arial Narrow"/>
          <w:sz w:val="22"/>
          <w:szCs w:val="22"/>
        </w:rPr>
        <w:t xml:space="preserve">: 1) </w:t>
      </w:r>
      <w:r w:rsidRPr="006F56F8">
        <w:rPr>
          <w:rFonts w:ascii="Arial Narrow" w:hAnsi="Arial Narrow"/>
          <w:sz w:val="22"/>
          <w:szCs w:val="22"/>
        </w:rPr>
        <w:t xml:space="preserve">el conceptual </w:t>
      </w:r>
      <w:r w:rsidR="00945819">
        <w:rPr>
          <w:rFonts w:ascii="Arial Narrow" w:hAnsi="Arial Narrow"/>
          <w:sz w:val="22"/>
          <w:szCs w:val="22"/>
        </w:rPr>
        <w:t xml:space="preserve">donde </w:t>
      </w:r>
      <w:r w:rsidRPr="006F56F8">
        <w:rPr>
          <w:rFonts w:ascii="Arial Narrow" w:hAnsi="Arial Narrow"/>
          <w:sz w:val="22"/>
          <w:szCs w:val="22"/>
        </w:rPr>
        <w:t xml:space="preserve">se introducen los fundamentos de la optimización, la incertidumbre y los criterios de evaluación </w:t>
      </w:r>
      <w:r w:rsidR="00945819">
        <w:rPr>
          <w:rFonts w:ascii="Arial Narrow" w:hAnsi="Arial Narrow"/>
          <w:sz w:val="22"/>
          <w:szCs w:val="22"/>
        </w:rPr>
        <w:t>(</w:t>
      </w:r>
      <w:r w:rsidRPr="006F56F8">
        <w:rPr>
          <w:rFonts w:ascii="Arial Narrow" w:hAnsi="Arial Narrow"/>
          <w:sz w:val="22"/>
          <w:szCs w:val="22"/>
        </w:rPr>
        <w:t>NSE, KGE, PBIAS</w:t>
      </w:r>
      <w:r w:rsidR="00945819">
        <w:rPr>
          <w:rFonts w:ascii="Arial Narrow" w:hAnsi="Arial Narrow"/>
          <w:sz w:val="22"/>
          <w:szCs w:val="22"/>
        </w:rPr>
        <w:t>)</w:t>
      </w:r>
      <w:r w:rsidRPr="006F56F8">
        <w:rPr>
          <w:rFonts w:ascii="Arial Narrow" w:hAnsi="Arial Narrow"/>
          <w:sz w:val="22"/>
          <w:szCs w:val="22"/>
        </w:rPr>
        <w:t xml:space="preserve"> </w:t>
      </w:r>
      <w:r w:rsidR="00945819">
        <w:rPr>
          <w:rFonts w:ascii="Arial Narrow" w:hAnsi="Arial Narrow"/>
          <w:sz w:val="22"/>
          <w:szCs w:val="22"/>
        </w:rPr>
        <w:t xml:space="preserve">relacionados con procesos de </w:t>
      </w:r>
      <w:r w:rsidRPr="006F56F8">
        <w:rPr>
          <w:rFonts w:ascii="Arial Narrow" w:hAnsi="Arial Narrow"/>
          <w:sz w:val="22"/>
          <w:szCs w:val="22"/>
        </w:rPr>
        <w:t xml:space="preserve">toma de decisiones en ingeniería (Nash &amp; Sutcliffe, 1970; Gupta et al., 2009). </w:t>
      </w:r>
      <w:r w:rsidR="00945819">
        <w:rPr>
          <w:rFonts w:ascii="Arial Narrow" w:hAnsi="Arial Narrow"/>
          <w:sz w:val="22"/>
          <w:szCs w:val="22"/>
        </w:rPr>
        <w:t xml:space="preserve">2) </w:t>
      </w:r>
      <w:r w:rsidRPr="006F56F8">
        <w:rPr>
          <w:rFonts w:ascii="Arial Narrow" w:hAnsi="Arial Narrow"/>
          <w:sz w:val="22"/>
          <w:szCs w:val="22"/>
        </w:rPr>
        <w:t xml:space="preserve">a lectura guiada de artículos fundacionales </w:t>
      </w:r>
      <w:r w:rsidR="00945819">
        <w:rPr>
          <w:rFonts w:ascii="Arial Narrow" w:hAnsi="Arial Narrow"/>
          <w:sz w:val="22"/>
          <w:szCs w:val="22"/>
        </w:rPr>
        <w:t xml:space="preserve">(ej: </w:t>
      </w:r>
      <w:r w:rsidRPr="006F56F8">
        <w:rPr>
          <w:rFonts w:ascii="Arial Narrow" w:hAnsi="Arial Narrow"/>
          <w:sz w:val="22"/>
          <w:szCs w:val="22"/>
        </w:rPr>
        <w:t>Beven &amp; Binley (1992)</w:t>
      </w:r>
      <w:r w:rsidR="00945819">
        <w:rPr>
          <w:rFonts w:ascii="Arial Narrow" w:hAnsi="Arial Narrow"/>
          <w:sz w:val="22"/>
          <w:szCs w:val="22"/>
        </w:rPr>
        <w:t>;</w:t>
      </w:r>
      <w:r w:rsidRPr="006F56F8">
        <w:rPr>
          <w:rFonts w:ascii="Arial Narrow" w:hAnsi="Arial Narrow"/>
          <w:sz w:val="22"/>
          <w:szCs w:val="22"/>
        </w:rPr>
        <w:t xml:space="preserve"> Duan et al. (1992)</w:t>
      </w:r>
      <w:r w:rsidR="00945819">
        <w:rPr>
          <w:rFonts w:ascii="Arial Narrow" w:hAnsi="Arial Narrow"/>
          <w:sz w:val="22"/>
          <w:szCs w:val="22"/>
        </w:rPr>
        <w:t>;</w:t>
      </w:r>
      <w:r w:rsidRPr="006F56F8">
        <w:rPr>
          <w:rFonts w:ascii="Arial Narrow" w:hAnsi="Arial Narrow"/>
          <w:sz w:val="22"/>
          <w:szCs w:val="22"/>
        </w:rPr>
        <w:t xml:space="preserve"> Vrugt et al. (2009)</w:t>
      </w:r>
      <w:r w:rsidR="00945819">
        <w:rPr>
          <w:rFonts w:ascii="Arial Narrow" w:hAnsi="Arial Narrow"/>
          <w:sz w:val="22"/>
          <w:szCs w:val="22"/>
        </w:rPr>
        <w:t>)</w:t>
      </w:r>
      <w:r w:rsidRPr="006F56F8">
        <w:rPr>
          <w:rFonts w:ascii="Arial Narrow" w:hAnsi="Arial Narrow"/>
          <w:sz w:val="22"/>
          <w:szCs w:val="22"/>
        </w:rPr>
        <w:t xml:space="preserve"> </w:t>
      </w:r>
      <w:r w:rsidR="00945819">
        <w:rPr>
          <w:rFonts w:ascii="Arial Narrow" w:hAnsi="Arial Narrow"/>
          <w:sz w:val="22"/>
          <w:szCs w:val="22"/>
        </w:rPr>
        <w:t>que permiten conocer el proceso de evolución de las técnicas de calibración de modelos hidrológicos</w:t>
      </w:r>
      <w:r w:rsidRPr="006F56F8">
        <w:rPr>
          <w:rFonts w:ascii="Arial Narrow" w:hAnsi="Arial Narrow"/>
          <w:sz w:val="22"/>
          <w:szCs w:val="22"/>
        </w:rPr>
        <w:t xml:space="preserve">. </w:t>
      </w:r>
      <w:r w:rsidR="00945819">
        <w:rPr>
          <w:rFonts w:ascii="Arial Narrow" w:hAnsi="Arial Narrow"/>
          <w:sz w:val="22"/>
          <w:szCs w:val="22"/>
        </w:rPr>
        <w:t xml:space="preserve">3) para el desarrollo de competencias profesionales, se pueden realizar </w:t>
      </w:r>
      <w:r w:rsidRPr="006F56F8">
        <w:rPr>
          <w:rFonts w:ascii="Arial Narrow" w:hAnsi="Arial Narrow"/>
          <w:sz w:val="22"/>
          <w:szCs w:val="22"/>
        </w:rPr>
        <w:t xml:space="preserve">talleres prácticos </w:t>
      </w:r>
      <w:r w:rsidR="00945819">
        <w:rPr>
          <w:rFonts w:ascii="Arial Narrow" w:hAnsi="Arial Narrow"/>
          <w:sz w:val="22"/>
          <w:szCs w:val="22"/>
        </w:rPr>
        <w:t>que involucren ejercicios de modelación apoyada en herramientas de programación</w:t>
      </w:r>
      <w:r w:rsidRPr="006F56F8">
        <w:rPr>
          <w:rFonts w:ascii="Arial Narrow" w:hAnsi="Arial Narrow"/>
          <w:sz w:val="22"/>
          <w:szCs w:val="22"/>
        </w:rPr>
        <w:t xml:space="preserve"> con datos del IDEAM. </w:t>
      </w:r>
      <w:r w:rsidR="00945819">
        <w:rPr>
          <w:rFonts w:ascii="Arial Narrow" w:hAnsi="Arial Narrow"/>
          <w:sz w:val="22"/>
          <w:szCs w:val="22"/>
        </w:rPr>
        <w:t xml:space="preserve">4) </w:t>
      </w:r>
      <w:r w:rsidRPr="006F56F8">
        <w:rPr>
          <w:rFonts w:ascii="Arial Narrow" w:hAnsi="Arial Narrow"/>
          <w:sz w:val="22"/>
          <w:szCs w:val="22"/>
        </w:rPr>
        <w:t xml:space="preserve">El nivel aplicado </w:t>
      </w:r>
      <w:r w:rsidR="00945819">
        <w:rPr>
          <w:rFonts w:ascii="Arial Narrow" w:hAnsi="Arial Narrow"/>
          <w:sz w:val="22"/>
          <w:szCs w:val="22"/>
        </w:rPr>
        <w:t xml:space="preserve">puede desarrollarse en el marco del desarrollo de </w:t>
      </w:r>
      <w:r w:rsidRPr="006F56F8">
        <w:rPr>
          <w:rFonts w:ascii="Arial Narrow" w:hAnsi="Arial Narrow"/>
          <w:sz w:val="22"/>
          <w:szCs w:val="22"/>
        </w:rPr>
        <w:t xml:space="preserve">proyectos de investigación activos donde los estudiantes participan en </w:t>
      </w:r>
      <w:r w:rsidR="00945819">
        <w:rPr>
          <w:rFonts w:ascii="Arial Narrow" w:hAnsi="Arial Narrow"/>
          <w:sz w:val="22"/>
          <w:szCs w:val="22"/>
        </w:rPr>
        <w:t xml:space="preserve">el </w:t>
      </w:r>
      <w:r w:rsidRPr="006F56F8">
        <w:rPr>
          <w:rFonts w:ascii="Arial Narrow" w:hAnsi="Arial Narrow"/>
          <w:sz w:val="22"/>
          <w:szCs w:val="22"/>
        </w:rPr>
        <w:t xml:space="preserve">monitoreo y validación de modelos </w:t>
      </w:r>
      <w:r w:rsidR="00945819">
        <w:rPr>
          <w:rFonts w:ascii="Arial Narrow" w:hAnsi="Arial Narrow"/>
          <w:sz w:val="22"/>
          <w:szCs w:val="22"/>
        </w:rPr>
        <w:t xml:space="preserve">con información de </w:t>
      </w:r>
      <w:r w:rsidRPr="006F56F8">
        <w:rPr>
          <w:rFonts w:ascii="Arial Narrow" w:hAnsi="Arial Narrow"/>
          <w:sz w:val="22"/>
          <w:szCs w:val="22"/>
        </w:rPr>
        <w:t xml:space="preserve">campo, </w:t>
      </w:r>
      <w:r w:rsidR="00945819">
        <w:rPr>
          <w:rFonts w:ascii="Arial Narrow" w:hAnsi="Arial Narrow"/>
          <w:sz w:val="22"/>
          <w:szCs w:val="22"/>
        </w:rPr>
        <w:t xml:space="preserve">lo cual permite desarrollar habilidares para </w:t>
      </w:r>
      <w:r w:rsidRPr="006F56F8">
        <w:rPr>
          <w:rFonts w:ascii="Arial Narrow" w:hAnsi="Arial Narrow"/>
          <w:sz w:val="22"/>
          <w:szCs w:val="22"/>
        </w:rPr>
        <w:t xml:space="preserve">seleccionar y comunicar métodos simples y parsimoniosos, </w:t>
      </w:r>
      <w:r w:rsidR="00945819">
        <w:rPr>
          <w:rFonts w:ascii="Arial Narrow" w:hAnsi="Arial Narrow"/>
          <w:sz w:val="22"/>
          <w:szCs w:val="22"/>
        </w:rPr>
        <w:t xml:space="preserve">lo cual puede facilitar </w:t>
      </w:r>
      <w:r w:rsidRPr="006F56F8">
        <w:rPr>
          <w:rFonts w:ascii="Arial Narrow" w:hAnsi="Arial Narrow"/>
          <w:sz w:val="22"/>
          <w:szCs w:val="22"/>
        </w:rPr>
        <w:t>la apropiación real de las metodologías en la ingeniería (Kirchner, 2006; Hrachowitz &amp; Clark, 2017).</w:t>
      </w:r>
    </w:p>
    <w:p w14:paraId="3A7762B2" w14:textId="06BF50AF" w:rsidR="006F56F8" w:rsidRPr="00317FEC" w:rsidRDefault="00317FEC" w:rsidP="00317FEC">
      <w:pPr>
        <w:pStyle w:val="Ttulo2"/>
        <w:spacing w:line="276" w:lineRule="auto"/>
        <w:jc w:val="both"/>
        <w:rPr>
          <w:rFonts w:ascii="Arial Narrow" w:hAnsi="Arial Narrow"/>
          <w:b/>
          <w:bCs/>
          <w:color w:val="auto"/>
          <w:sz w:val="22"/>
          <w:szCs w:val="22"/>
        </w:rPr>
      </w:pPr>
      <w:r>
        <w:rPr>
          <w:rFonts w:ascii="Arial Narrow" w:hAnsi="Arial Narrow"/>
          <w:b/>
          <w:bCs/>
          <w:color w:val="auto"/>
          <w:sz w:val="22"/>
          <w:szCs w:val="22"/>
        </w:rPr>
        <w:t xml:space="preserve">3.1 </w:t>
      </w:r>
      <w:r w:rsidR="006F56F8" w:rsidRPr="00317FEC">
        <w:rPr>
          <w:rFonts w:ascii="Arial Narrow" w:hAnsi="Arial Narrow"/>
          <w:b/>
          <w:bCs/>
          <w:color w:val="auto"/>
          <w:sz w:val="22"/>
          <w:szCs w:val="22"/>
        </w:rPr>
        <w:t>Resultados de Aprendizaje Esperados (RAE)</w:t>
      </w:r>
    </w:p>
    <w:p w14:paraId="11120D66" w14:textId="3B5242A8" w:rsidR="006F56F8" w:rsidRPr="006F56F8" w:rsidRDefault="006F56F8" w:rsidP="00D608FA">
      <w:pPr>
        <w:jc w:val="both"/>
        <w:rPr>
          <w:rFonts w:ascii="Arial Narrow" w:hAnsi="Arial Narrow"/>
          <w:sz w:val="22"/>
          <w:szCs w:val="22"/>
        </w:rPr>
      </w:pPr>
      <w:r w:rsidRPr="0018692F">
        <w:rPr>
          <w:rFonts w:ascii="Arial Narrow" w:hAnsi="Arial Narrow"/>
          <w:i/>
          <w:iCs/>
          <w:sz w:val="22"/>
          <w:szCs w:val="22"/>
          <w:u w:val="single"/>
        </w:rPr>
        <w:t>RAE 1. Comprensión crítica de métodos</w:t>
      </w:r>
      <w:r w:rsidRPr="006F56F8">
        <w:rPr>
          <w:rFonts w:ascii="Arial Narrow" w:hAnsi="Arial Narrow"/>
          <w:sz w:val="22"/>
          <w:szCs w:val="22"/>
        </w:rPr>
        <w:t xml:space="preserve">. El estudiante evalúa los principales métodos de calibración </w:t>
      </w:r>
      <w:r w:rsidR="00D738F9">
        <w:rPr>
          <w:rFonts w:ascii="Arial Narrow" w:hAnsi="Arial Narrow"/>
          <w:sz w:val="22"/>
          <w:szCs w:val="22"/>
        </w:rPr>
        <w:t>(</w:t>
      </w:r>
      <w:r w:rsidRPr="006F56F8">
        <w:rPr>
          <w:rFonts w:ascii="Arial Narrow" w:hAnsi="Arial Narrow"/>
          <w:sz w:val="22"/>
          <w:szCs w:val="22"/>
        </w:rPr>
        <w:t>SCE-UA, GLUE, DREAM, multiobjetivo y aprendizaje automático</w:t>
      </w:r>
      <w:r w:rsidR="00D738F9">
        <w:rPr>
          <w:rFonts w:ascii="Arial Narrow" w:hAnsi="Arial Narrow"/>
          <w:sz w:val="22"/>
          <w:szCs w:val="22"/>
        </w:rPr>
        <w:t>)</w:t>
      </w:r>
      <w:r w:rsidRPr="006F56F8">
        <w:rPr>
          <w:rFonts w:ascii="Arial Narrow" w:hAnsi="Arial Narrow"/>
          <w:sz w:val="22"/>
          <w:szCs w:val="22"/>
        </w:rPr>
        <w:t>, identifica sus ventajas, limitaciones y potencial de adopción por profesionales con diversa formación, valorando el equilibrio entre simplicidad y calidad predictiva en contextos con información escasa (Jakeman &amp; Hornberger, 1993; Perrin et al., 2003; Beven &amp; Binley, 1992; Duan et al., 1992; Vrugt et al., 2009).</w:t>
      </w:r>
    </w:p>
    <w:p w14:paraId="7C98C783" w14:textId="25F649DD" w:rsidR="006F56F8" w:rsidRPr="006F56F8" w:rsidRDefault="006F56F8" w:rsidP="00D608FA">
      <w:pPr>
        <w:jc w:val="both"/>
        <w:rPr>
          <w:rFonts w:ascii="Arial Narrow" w:hAnsi="Arial Narrow"/>
          <w:sz w:val="22"/>
          <w:szCs w:val="22"/>
        </w:rPr>
      </w:pPr>
      <w:r w:rsidRPr="00D738F9">
        <w:rPr>
          <w:rFonts w:ascii="Arial Narrow" w:hAnsi="Arial Narrow"/>
          <w:i/>
          <w:iCs/>
          <w:sz w:val="22"/>
          <w:szCs w:val="22"/>
          <w:u w:val="single"/>
        </w:rPr>
        <w:t>RAE 2. Implementación técnica</w:t>
      </w:r>
      <w:r w:rsidRPr="006F56F8">
        <w:rPr>
          <w:rFonts w:ascii="Arial Narrow" w:hAnsi="Arial Narrow"/>
          <w:sz w:val="22"/>
          <w:szCs w:val="22"/>
        </w:rPr>
        <w:t xml:space="preserve">. El estudiante implementa al menos dos métodos de calibración en un modelo hidrológico aplicado a una cuenca colombiana, usando herramientas de libre acceso, e informa los resultados con métricas estándar </w:t>
      </w:r>
      <w:r w:rsidR="00FC1F64">
        <w:rPr>
          <w:rFonts w:ascii="Arial Narrow" w:hAnsi="Arial Narrow"/>
          <w:sz w:val="22"/>
          <w:szCs w:val="22"/>
        </w:rPr>
        <w:t>(</w:t>
      </w:r>
      <w:r w:rsidRPr="006F56F8">
        <w:rPr>
          <w:rFonts w:ascii="Arial Narrow" w:hAnsi="Arial Narrow"/>
          <w:sz w:val="22"/>
          <w:szCs w:val="22"/>
        </w:rPr>
        <w:t>NSE, KGE, PBIAS</w:t>
      </w:r>
      <w:r w:rsidR="00FC1F64">
        <w:rPr>
          <w:rFonts w:ascii="Arial Narrow" w:hAnsi="Arial Narrow"/>
          <w:sz w:val="22"/>
          <w:szCs w:val="22"/>
        </w:rPr>
        <w:t>)</w:t>
      </w:r>
      <w:r w:rsidRPr="006F56F8">
        <w:rPr>
          <w:rFonts w:ascii="Arial Narrow" w:hAnsi="Arial Narrow"/>
          <w:sz w:val="22"/>
          <w:szCs w:val="22"/>
        </w:rPr>
        <w:t xml:space="preserve"> y sus bandas de incertidumbre (Nash &amp; Sutcliffe, 1970; Gupta et al., 2009; Kling et al., 2012; Arsenault et al., 2014).</w:t>
      </w:r>
    </w:p>
    <w:p w14:paraId="0C2AD50B" w14:textId="77777777" w:rsidR="006F56F8" w:rsidRPr="006F56F8" w:rsidRDefault="006F56F8" w:rsidP="00D608FA">
      <w:pPr>
        <w:jc w:val="both"/>
        <w:rPr>
          <w:rFonts w:ascii="Arial Narrow" w:hAnsi="Arial Narrow"/>
          <w:sz w:val="22"/>
          <w:szCs w:val="22"/>
        </w:rPr>
      </w:pPr>
      <w:r w:rsidRPr="00FC1F64">
        <w:rPr>
          <w:rFonts w:ascii="Arial Narrow" w:hAnsi="Arial Narrow"/>
          <w:i/>
          <w:iCs/>
          <w:sz w:val="22"/>
          <w:szCs w:val="22"/>
          <w:u w:val="single"/>
        </w:rPr>
        <w:lastRenderedPageBreak/>
        <w:t>RAE 3. Análisis de incertidumbre</w:t>
      </w:r>
      <w:r w:rsidRPr="006F56F8">
        <w:rPr>
          <w:rFonts w:ascii="Arial Narrow" w:hAnsi="Arial Narrow"/>
          <w:sz w:val="22"/>
          <w:szCs w:val="22"/>
        </w:rPr>
        <w:t>. El estudiante cuantifica la incertidumbre de las predicciones del modelo calibrado, diferencia entre incertidumbre paramétrica, estructural y en los datos, y propone estrategias de reducción adaptadas a contextos con datos escasos (Beven, 2006; Reichert &amp; Mieleitner, 2009; Nearing et al., 2016; Wagener &amp; Wheater, 2006).</w:t>
      </w:r>
    </w:p>
    <w:p w14:paraId="623BC290" w14:textId="77777777" w:rsidR="006F56F8" w:rsidRPr="00462D55" w:rsidRDefault="006F56F8" w:rsidP="00D608FA">
      <w:pPr>
        <w:pStyle w:val="Ttulo1"/>
        <w:jc w:val="both"/>
        <w:rPr>
          <w:rFonts w:ascii="Arial Narrow" w:hAnsi="Arial Narrow"/>
          <w:b/>
          <w:bCs/>
          <w:color w:val="auto"/>
          <w:sz w:val="22"/>
          <w:szCs w:val="22"/>
        </w:rPr>
      </w:pPr>
      <w:r w:rsidRPr="00462D55">
        <w:rPr>
          <w:rFonts w:ascii="Arial Narrow" w:hAnsi="Arial Narrow"/>
          <w:b/>
          <w:bCs/>
          <w:color w:val="auto"/>
          <w:sz w:val="22"/>
          <w:szCs w:val="22"/>
        </w:rPr>
        <w:t>4. Propuesta de Investigación</w:t>
      </w:r>
    </w:p>
    <w:p w14:paraId="29A3F7AA" w14:textId="6E42E602" w:rsidR="006F56F8" w:rsidRPr="006F56F8" w:rsidRDefault="006F56F8" w:rsidP="00D608FA">
      <w:pPr>
        <w:jc w:val="both"/>
        <w:rPr>
          <w:rFonts w:ascii="Arial Narrow" w:hAnsi="Arial Narrow"/>
          <w:sz w:val="22"/>
          <w:szCs w:val="22"/>
        </w:rPr>
      </w:pPr>
      <w:r w:rsidRPr="006F56F8">
        <w:rPr>
          <w:rFonts w:ascii="Arial Narrow" w:hAnsi="Arial Narrow"/>
          <w:sz w:val="22"/>
          <w:szCs w:val="22"/>
        </w:rPr>
        <w:t xml:space="preserve">Con base en las brechas identificadas, se proponen tres líneas de investigación prioritarias para </w:t>
      </w:r>
      <w:r w:rsidR="00EA035C">
        <w:rPr>
          <w:rFonts w:ascii="Arial Narrow" w:hAnsi="Arial Narrow"/>
          <w:sz w:val="22"/>
          <w:szCs w:val="22"/>
        </w:rPr>
        <w:t xml:space="preserve">el contexto de Colombia, </w:t>
      </w:r>
      <w:r w:rsidRPr="006F56F8">
        <w:rPr>
          <w:rFonts w:ascii="Arial Narrow" w:hAnsi="Arial Narrow"/>
          <w:sz w:val="22"/>
          <w:szCs w:val="22"/>
        </w:rPr>
        <w:t>articuladas con la agenda científica internacional y las necesidades institucionales del país.</w:t>
      </w:r>
    </w:p>
    <w:p w14:paraId="2CF33DDD" w14:textId="2675059D" w:rsidR="006F56F8" w:rsidRPr="00EA035C" w:rsidRDefault="006F56F8" w:rsidP="00EA035C">
      <w:pPr>
        <w:pStyle w:val="Prrafodelista"/>
        <w:numPr>
          <w:ilvl w:val="0"/>
          <w:numId w:val="2"/>
        </w:numPr>
        <w:jc w:val="both"/>
        <w:rPr>
          <w:rFonts w:ascii="Arial Narrow" w:hAnsi="Arial Narrow"/>
          <w:sz w:val="22"/>
          <w:szCs w:val="22"/>
        </w:rPr>
      </w:pPr>
      <w:r w:rsidRPr="009207B0">
        <w:rPr>
          <w:rFonts w:ascii="Arial Narrow" w:hAnsi="Arial Narrow"/>
          <w:i/>
          <w:iCs/>
          <w:sz w:val="22"/>
          <w:szCs w:val="22"/>
        </w:rPr>
        <w:t>Calibración con datos satelitales en cuencas no aforadas</w:t>
      </w:r>
      <w:r w:rsidR="00EA035C" w:rsidRPr="00EA035C">
        <w:rPr>
          <w:rFonts w:ascii="Arial Narrow" w:hAnsi="Arial Narrow"/>
          <w:sz w:val="22"/>
          <w:szCs w:val="22"/>
        </w:rPr>
        <w:t xml:space="preserve">: </w:t>
      </w:r>
      <w:r w:rsidRPr="00EA035C">
        <w:rPr>
          <w:rFonts w:ascii="Arial Narrow" w:hAnsi="Arial Narrow"/>
          <w:sz w:val="22"/>
          <w:szCs w:val="22"/>
        </w:rPr>
        <w:t xml:space="preserve">Esta línea desarrolla metodologías de calibración que integren productos de observación remota </w:t>
      </w:r>
      <w:r w:rsidR="009207B0">
        <w:rPr>
          <w:rFonts w:ascii="Arial Narrow" w:hAnsi="Arial Narrow"/>
          <w:sz w:val="22"/>
          <w:szCs w:val="22"/>
        </w:rPr>
        <w:t>(</w:t>
      </w:r>
      <w:r w:rsidRPr="00EA035C">
        <w:rPr>
          <w:rFonts w:ascii="Arial Narrow" w:hAnsi="Arial Narrow"/>
          <w:sz w:val="22"/>
          <w:szCs w:val="22"/>
        </w:rPr>
        <w:t>evapotranspiración real (MOD16/MODIS), humedad del suelo (SMAP, Sentinel-1) y variaciones del almacenamiento hídrico (GRACE-FO)</w:t>
      </w:r>
      <w:r w:rsidR="009207B0">
        <w:rPr>
          <w:rFonts w:ascii="Arial Narrow" w:hAnsi="Arial Narrow"/>
          <w:sz w:val="22"/>
          <w:szCs w:val="22"/>
        </w:rPr>
        <w:t>)</w:t>
      </w:r>
      <w:r w:rsidRPr="00EA035C">
        <w:rPr>
          <w:rFonts w:ascii="Arial Narrow" w:hAnsi="Arial Narrow"/>
          <w:sz w:val="22"/>
          <w:szCs w:val="22"/>
        </w:rPr>
        <w:t xml:space="preserve"> como variables de restricción en modelos para cuencas sin registros de caudal. Yilmaz et al. (2008) propusieron un enfoque diagnóstico basado en procesos que integra datos de teledetección como restricciones de calibración, directamente aplicable a cuencas colombianas no instrumentadas. La línea responde a la brecha señalada por Hrachowitz et al. (2013) y al imperativo del Marco de Sendai de mejorar el conocimiento del riesgo en territorios sin instrumentación, contribuyendo al ODS 13 sobre acción climática.</w:t>
      </w:r>
    </w:p>
    <w:p w14:paraId="2DFAACEC" w14:textId="2807DD18" w:rsidR="006F56F8" w:rsidRPr="00EA035C" w:rsidRDefault="006F56F8" w:rsidP="00EA035C">
      <w:pPr>
        <w:pStyle w:val="Prrafodelista"/>
        <w:numPr>
          <w:ilvl w:val="0"/>
          <w:numId w:val="2"/>
        </w:numPr>
        <w:jc w:val="both"/>
        <w:rPr>
          <w:rFonts w:ascii="Arial Narrow" w:hAnsi="Arial Narrow"/>
          <w:sz w:val="22"/>
          <w:szCs w:val="22"/>
        </w:rPr>
      </w:pPr>
      <w:r w:rsidRPr="009207B0">
        <w:rPr>
          <w:rFonts w:ascii="Arial Narrow" w:hAnsi="Arial Narrow"/>
          <w:i/>
          <w:iCs/>
          <w:sz w:val="22"/>
          <w:szCs w:val="22"/>
        </w:rPr>
        <w:t xml:space="preserve">Modelos híbridos físico-estadísticos </w:t>
      </w:r>
      <w:r w:rsidR="009207B0">
        <w:rPr>
          <w:rFonts w:ascii="Arial Narrow" w:hAnsi="Arial Narrow"/>
          <w:i/>
          <w:iCs/>
          <w:sz w:val="22"/>
          <w:szCs w:val="22"/>
        </w:rPr>
        <w:t>con</w:t>
      </w:r>
      <w:r w:rsidRPr="009207B0">
        <w:rPr>
          <w:rFonts w:ascii="Arial Narrow" w:hAnsi="Arial Narrow"/>
          <w:i/>
          <w:iCs/>
          <w:sz w:val="22"/>
          <w:szCs w:val="22"/>
        </w:rPr>
        <w:t xml:space="preserve"> datos escasos</w:t>
      </w:r>
      <w:r w:rsidR="00EA035C" w:rsidRPr="00EA035C">
        <w:rPr>
          <w:rFonts w:ascii="Arial Narrow" w:hAnsi="Arial Narrow"/>
          <w:sz w:val="22"/>
          <w:szCs w:val="22"/>
        </w:rPr>
        <w:t xml:space="preserve">: </w:t>
      </w:r>
      <w:r w:rsidRPr="00EA035C">
        <w:rPr>
          <w:rFonts w:ascii="Arial Narrow" w:hAnsi="Arial Narrow"/>
          <w:sz w:val="22"/>
          <w:szCs w:val="22"/>
        </w:rPr>
        <w:t xml:space="preserve">Esta línea desarrolla modelos que combinan la estructura física de modelos conceptuales </w:t>
      </w:r>
      <w:r w:rsidR="009207B0">
        <w:rPr>
          <w:rFonts w:ascii="Arial Narrow" w:hAnsi="Arial Narrow"/>
          <w:sz w:val="22"/>
          <w:szCs w:val="22"/>
        </w:rPr>
        <w:t>(TETIS</w:t>
      </w:r>
      <w:r w:rsidRPr="00EA035C">
        <w:rPr>
          <w:rFonts w:ascii="Arial Narrow" w:hAnsi="Arial Narrow"/>
          <w:sz w:val="22"/>
          <w:szCs w:val="22"/>
        </w:rPr>
        <w:t>, SWAT</w:t>
      </w:r>
      <w:r w:rsidR="009207B0">
        <w:rPr>
          <w:rFonts w:ascii="Arial Narrow" w:hAnsi="Arial Narrow"/>
          <w:sz w:val="22"/>
          <w:szCs w:val="22"/>
        </w:rPr>
        <w:t>)</w:t>
      </w:r>
      <w:r w:rsidRPr="00EA035C">
        <w:rPr>
          <w:rFonts w:ascii="Arial Narrow" w:hAnsi="Arial Narrow"/>
          <w:sz w:val="22"/>
          <w:szCs w:val="22"/>
        </w:rPr>
        <w:t xml:space="preserve"> con redes neuronales, mejorando la capacidad predictiva ante escenarios no observados (Kratzert et al., 2018; Shen, 2018). El principio orientador es la parsimonia: Jakeman y Hornberger (1993) demostraron que modelos con pocos parámetros bien identificables superan con frecuencia a modelos complejos en cuencas con información limitada, y Perrin et al. (2003) confirmaron que estructuras parsimoniosas generan predicciones confiables con menor información disponible. En Colombia, esta línea priorizará herramientas simples, operables por equipos técnicos de diversa formación, articuladas con el IDEAM y las CAR en cuencas estratégicas para el abastecimiento y la energía.</w:t>
      </w:r>
    </w:p>
    <w:p w14:paraId="1F7EC407" w14:textId="505FFAE4" w:rsidR="006F56F8" w:rsidRPr="00EA035C" w:rsidRDefault="006F56F8" w:rsidP="00EA035C">
      <w:pPr>
        <w:pStyle w:val="Prrafodelista"/>
        <w:numPr>
          <w:ilvl w:val="0"/>
          <w:numId w:val="2"/>
        </w:numPr>
        <w:jc w:val="both"/>
        <w:rPr>
          <w:rFonts w:ascii="Arial Narrow" w:hAnsi="Arial Narrow"/>
          <w:sz w:val="22"/>
          <w:szCs w:val="22"/>
        </w:rPr>
      </w:pPr>
      <w:r w:rsidRPr="007C0740">
        <w:rPr>
          <w:rFonts w:ascii="Arial Narrow" w:hAnsi="Arial Narrow"/>
          <w:i/>
          <w:iCs/>
          <w:sz w:val="22"/>
          <w:szCs w:val="22"/>
        </w:rPr>
        <w:t>Calibración orientada a la alerta temprana comunitaria</w:t>
      </w:r>
      <w:r w:rsidR="00EA035C" w:rsidRPr="00EA035C">
        <w:rPr>
          <w:rFonts w:ascii="Arial Narrow" w:hAnsi="Arial Narrow"/>
          <w:sz w:val="22"/>
          <w:szCs w:val="22"/>
        </w:rPr>
        <w:t xml:space="preserve">: </w:t>
      </w:r>
      <w:r w:rsidR="007C0740">
        <w:rPr>
          <w:rFonts w:ascii="Arial Narrow" w:hAnsi="Arial Narrow"/>
          <w:sz w:val="22"/>
          <w:szCs w:val="22"/>
        </w:rPr>
        <w:t xml:space="preserve">En esta línea se </w:t>
      </w:r>
      <w:r w:rsidR="007C0740" w:rsidRPr="007C0740">
        <w:rPr>
          <w:rFonts w:ascii="Arial Narrow" w:hAnsi="Arial Narrow"/>
          <w:sz w:val="22"/>
          <w:szCs w:val="22"/>
        </w:rPr>
        <w:t>busca crear métodos de calibración que sean sencillos de implementar pero muy confiables, diseñados para sistemas de alerta de inundaciones</w:t>
      </w:r>
      <w:r w:rsidR="007C0740">
        <w:rPr>
          <w:rFonts w:ascii="Arial Narrow" w:hAnsi="Arial Narrow"/>
          <w:sz w:val="22"/>
          <w:szCs w:val="22"/>
        </w:rPr>
        <w:t>/</w:t>
      </w:r>
      <w:r w:rsidR="007C0740" w:rsidRPr="007C0740">
        <w:rPr>
          <w:rFonts w:ascii="Arial Narrow" w:hAnsi="Arial Narrow"/>
          <w:sz w:val="22"/>
          <w:szCs w:val="22"/>
        </w:rPr>
        <w:t xml:space="preserve">sequías en municipios </w:t>
      </w:r>
      <w:r w:rsidR="007C0740">
        <w:rPr>
          <w:rFonts w:ascii="Arial Narrow" w:hAnsi="Arial Narrow"/>
          <w:sz w:val="22"/>
          <w:szCs w:val="22"/>
        </w:rPr>
        <w:t>o instituciones con limitaciones para vincular personal especializado</w:t>
      </w:r>
      <w:r w:rsidR="007C0740" w:rsidRPr="007C0740">
        <w:rPr>
          <w:rFonts w:ascii="Arial Narrow" w:hAnsi="Arial Narrow"/>
          <w:sz w:val="22"/>
          <w:szCs w:val="22"/>
        </w:rPr>
        <w:t>. Siguiendo los principios de Nearing et al. (2016), el objetivo es separar los errores del modelo</w:t>
      </w:r>
      <w:r w:rsidR="007C0740">
        <w:rPr>
          <w:rFonts w:ascii="Arial Narrow" w:hAnsi="Arial Narrow"/>
          <w:sz w:val="22"/>
          <w:szCs w:val="22"/>
        </w:rPr>
        <w:t xml:space="preserve"> a los que se podría incurrir </w:t>
      </w:r>
      <w:r w:rsidR="007C0740" w:rsidRPr="007C0740">
        <w:rPr>
          <w:rFonts w:ascii="Arial Narrow" w:hAnsi="Arial Narrow"/>
          <w:sz w:val="22"/>
          <w:szCs w:val="22"/>
        </w:rPr>
        <w:t>por falta de datos o conocimiento</w:t>
      </w:r>
      <w:r w:rsidR="007C0740">
        <w:rPr>
          <w:rFonts w:ascii="Arial Narrow" w:hAnsi="Arial Narrow"/>
          <w:sz w:val="22"/>
          <w:szCs w:val="22"/>
        </w:rPr>
        <w:t>,</w:t>
      </w:r>
      <w:r w:rsidR="007C0740" w:rsidRPr="007C0740">
        <w:rPr>
          <w:rFonts w:ascii="Arial Narrow" w:hAnsi="Arial Narrow"/>
          <w:sz w:val="22"/>
          <w:szCs w:val="22"/>
        </w:rPr>
        <w:t xml:space="preserve"> de aquellos que se deben a la naturaleza impredecible </w:t>
      </w:r>
      <w:r w:rsidR="007C0740">
        <w:rPr>
          <w:rFonts w:ascii="Arial Narrow" w:hAnsi="Arial Narrow"/>
          <w:sz w:val="22"/>
          <w:szCs w:val="22"/>
        </w:rPr>
        <w:t>de las condiciones que gobiernan el sistema hidrológico, principalmente las condiciones climáticas</w:t>
      </w:r>
      <w:r w:rsidR="007C0740" w:rsidRPr="007C0740">
        <w:rPr>
          <w:rFonts w:ascii="Arial Narrow" w:hAnsi="Arial Narrow"/>
          <w:sz w:val="22"/>
          <w:szCs w:val="22"/>
        </w:rPr>
        <w:t xml:space="preserve">. </w:t>
      </w:r>
      <w:r w:rsidR="000F2CB9">
        <w:rPr>
          <w:rFonts w:ascii="Arial Narrow" w:hAnsi="Arial Narrow"/>
          <w:sz w:val="22"/>
          <w:szCs w:val="22"/>
        </w:rPr>
        <w:t>De modo que</w:t>
      </w:r>
      <w:r w:rsidR="007C0740" w:rsidRPr="007C0740">
        <w:rPr>
          <w:rFonts w:ascii="Arial Narrow" w:hAnsi="Arial Narrow"/>
          <w:sz w:val="22"/>
          <w:szCs w:val="22"/>
        </w:rPr>
        <w:t xml:space="preserve">, </w:t>
      </w:r>
      <w:r w:rsidR="000F2CB9">
        <w:rPr>
          <w:rFonts w:ascii="Arial Narrow" w:hAnsi="Arial Narrow"/>
          <w:sz w:val="22"/>
          <w:szCs w:val="22"/>
        </w:rPr>
        <w:t xml:space="preserve">tal como </w:t>
      </w:r>
      <w:r w:rsidR="007C0740" w:rsidRPr="007C0740">
        <w:rPr>
          <w:rFonts w:ascii="Arial Narrow" w:hAnsi="Arial Narrow"/>
          <w:sz w:val="22"/>
          <w:szCs w:val="22"/>
        </w:rPr>
        <w:t>demostraron Bárdossy y Singh (2008), un modelo ajustado de manera robusta es clave para predecir correctamente los eventos climáticos extremos. E</w:t>
      </w:r>
      <w:r w:rsidR="000F2CB9">
        <w:rPr>
          <w:rFonts w:ascii="Arial Narrow" w:hAnsi="Arial Narrow"/>
          <w:sz w:val="22"/>
          <w:szCs w:val="22"/>
        </w:rPr>
        <w:t xml:space="preserve">ste </w:t>
      </w:r>
      <w:r w:rsidR="007C0740" w:rsidRPr="007C0740">
        <w:rPr>
          <w:rFonts w:ascii="Arial Narrow" w:hAnsi="Arial Narrow"/>
          <w:sz w:val="22"/>
          <w:szCs w:val="22"/>
        </w:rPr>
        <w:t>enfoque aporta directamente al ODS 11 (Ciudades Sostenibles) y a la Prioridad 4 del Marco de Sendai para la prevención y respuesta ante desastres</w:t>
      </w:r>
      <w:r w:rsidRPr="00EA035C">
        <w:rPr>
          <w:rFonts w:ascii="Arial Narrow" w:hAnsi="Arial Narrow"/>
          <w:sz w:val="22"/>
          <w:szCs w:val="22"/>
        </w:rPr>
        <w:t>.</w:t>
      </w:r>
    </w:p>
    <w:p w14:paraId="5D3314B0" w14:textId="77777777" w:rsidR="006F56F8" w:rsidRPr="00462D55" w:rsidRDefault="006F56F8" w:rsidP="00D608FA">
      <w:pPr>
        <w:pStyle w:val="Ttulo1"/>
        <w:jc w:val="both"/>
        <w:rPr>
          <w:rFonts w:ascii="Arial Narrow" w:hAnsi="Arial Narrow"/>
          <w:b/>
          <w:bCs/>
          <w:color w:val="auto"/>
          <w:sz w:val="22"/>
          <w:szCs w:val="22"/>
        </w:rPr>
      </w:pPr>
      <w:r w:rsidRPr="00462D55">
        <w:rPr>
          <w:rFonts w:ascii="Arial Narrow" w:hAnsi="Arial Narrow"/>
          <w:b/>
          <w:bCs/>
          <w:color w:val="auto"/>
          <w:sz w:val="22"/>
          <w:szCs w:val="22"/>
        </w:rPr>
        <w:t>5. Propuesta de Extensión</w:t>
      </w:r>
    </w:p>
    <w:p w14:paraId="0BAD7D1B" w14:textId="77777777" w:rsidR="006F56F8" w:rsidRPr="006F56F8" w:rsidRDefault="006F56F8" w:rsidP="00D608FA">
      <w:pPr>
        <w:jc w:val="both"/>
        <w:rPr>
          <w:rFonts w:ascii="Arial Narrow" w:hAnsi="Arial Narrow"/>
          <w:sz w:val="22"/>
          <w:szCs w:val="22"/>
        </w:rPr>
      </w:pPr>
      <w:r w:rsidRPr="006F56F8">
        <w:rPr>
          <w:rFonts w:ascii="Arial Narrow" w:hAnsi="Arial Narrow"/>
          <w:sz w:val="22"/>
          <w:szCs w:val="22"/>
        </w:rPr>
        <w:t xml:space="preserve">La propuesta de extensión se articula bajo el modelo de cuádruple hélice Estado-Universidad-Empresa-Comunidad, mediante el cual la Universidad genera y transfiere conocimiento en un proceso continuo de co-producción con actores del territorio. Este modelo permite desarrollar proyectos aplicados donde la investigación en calibración hidrológica genera beneficios directos para comunidades vulnerables ante eventos hidrológicos extremos. En Colombia, los actores clave incluyen el IDEAM, las Corporaciones Autónomas </w:t>
      </w:r>
      <w:r w:rsidRPr="006F56F8">
        <w:rPr>
          <w:rFonts w:ascii="Arial Narrow" w:hAnsi="Arial Narrow"/>
          <w:sz w:val="22"/>
          <w:szCs w:val="22"/>
        </w:rPr>
        <w:lastRenderedPageBreak/>
        <w:t>Regionales (CAR), la UNGRD, empresas del sector energético y de agua potable, y organizaciones comunitarias en cuencas priorizadas por su importancia hídrica o su nivel de exposición al riesgo.</w:t>
      </w:r>
    </w:p>
    <w:p w14:paraId="70E7801A" w14:textId="510B9D03" w:rsidR="006F56F8" w:rsidRPr="006F56F8" w:rsidRDefault="00482C11" w:rsidP="00482C11">
      <w:pPr>
        <w:jc w:val="both"/>
        <w:rPr>
          <w:rFonts w:ascii="Arial Narrow" w:hAnsi="Arial Narrow"/>
          <w:sz w:val="22"/>
          <w:szCs w:val="22"/>
        </w:rPr>
      </w:pPr>
      <w:r>
        <w:rPr>
          <w:rFonts w:ascii="Arial Narrow" w:hAnsi="Arial Narrow"/>
          <w:sz w:val="22"/>
          <w:szCs w:val="22"/>
        </w:rPr>
        <w:t xml:space="preserve">Para la </w:t>
      </w:r>
      <w:r w:rsidRPr="00482C11">
        <w:rPr>
          <w:rFonts w:ascii="Arial Narrow" w:hAnsi="Arial Narrow"/>
          <w:i/>
          <w:iCs/>
          <w:sz w:val="22"/>
          <w:szCs w:val="22"/>
        </w:rPr>
        <w:t>c</w:t>
      </w:r>
      <w:r w:rsidR="006F56F8" w:rsidRPr="00482C11">
        <w:rPr>
          <w:rFonts w:ascii="Arial Narrow" w:hAnsi="Arial Narrow"/>
          <w:i/>
          <w:iCs/>
          <w:sz w:val="22"/>
          <w:szCs w:val="22"/>
        </w:rPr>
        <w:t>o-producción del conocimiento</w:t>
      </w:r>
      <w:r>
        <w:rPr>
          <w:rFonts w:ascii="Arial Narrow" w:hAnsi="Arial Narrow"/>
          <w:sz w:val="22"/>
          <w:szCs w:val="22"/>
        </w:rPr>
        <w:t xml:space="preserve">, la Universidad </w:t>
      </w:r>
      <w:r w:rsidR="006F56F8" w:rsidRPr="006F56F8">
        <w:rPr>
          <w:rFonts w:ascii="Arial Narrow" w:hAnsi="Arial Narrow"/>
          <w:sz w:val="22"/>
          <w:szCs w:val="22"/>
        </w:rPr>
        <w:t>lidera el desarrollo metodológico con énfasis en métodos simples y parsimoniosos directamente operables por funcionarios con formación técnica diversa, garantizando la apropiación institucional real de los resultados (Kirchner, 2006; Hrachowitz &amp; Clark, 2017). Las empresas del sector energético aportan series históricas de caudal y precipitación generalmente más completas que las redes oficiales (Beven, 2001; Wagener &amp; Wheater, 2006), mientras las CAR y el IDEAM facilitan datos institucionales y validación en campo. Este intercambio genera herramientas técnicas accesibles, adoptables por instituciones tomadoras de decisiones, aplicables en la gestión del recurso hídrico y en sistemas de alerta temprana a escala de cuenca.</w:t>
      </w:r>
    </w:p>
    <w:p w14:paraId="7F4B7CEA" w14:textId="0DE45FF4" w:rsidR="006F56F8" w:rsidRPr="006F56F8" w:rsidRDefault="006F56F8" w:rsidP="00D608FA">
      <w:pPr>
        <w:jc w:val="both"/>
        <w:rPr>
          <w:rFonts w:ascii="Arial Narrow" w:hAnsi="Arial Narrow"/>
          <w:sz w:val="22"/>
          <w:szCs w:val="22"/>
        </w:rPr>
      </w:pPr>
      <w:r w:rsidRPr="00482C11">
        <w:rPr>
          <w:rFonts w:ascii="Arial Narrow" w:hAnsi="Arial Narrow"/>
          <w:i/>
          <w:iCs/>
          <w:sz w:val="22"/>
          <w:szCs w:val="22"/>
        </w:rPr>
        <w:t>Transferencia tecnológica hacia comunidades en riesgo</w:t>
      </w:r>
      <w:r w:rsidR="00482C11">
        <w:rPr>
          <w:rFonts w:ascii="Arial Narrow" w:hAnsi="Arial Narrow"/>
          <w:sz w:val="22"/>
          <w:szCs w:val="22"/>
        </w:rPr>
        <w:t xml:space="preserve">: </w:t>
      </w:r>
      <w:r w:rsidRPr="006F56F8">
        <w:rPr>
          <w:rFonts w:ascii="Arial Narrow" w:hAnsi="Arial Narrow"/>
          <w:sz w:val="22"/>
          <w:szCs w:val="22"/>
        </w:rPr>
        <w:t>Los modelos calibrados se integran en sistemas de alerta temprana de bajo costo, implementados con hardware abierto (Arduino, Raspberry Pi) y conectividad LoRa en zonas sin acceso a internet. Las comunidades participan en la instalación y mantenimiento de estaciones de monitoreo, generando datos que retroalimentan la calibración y fortaleciendo su capacidad adaptativa ante eventos extremos. Este enfoque es consistente con las Prioridades 1 y 4 del Marco de Sendai (UNDRR, 2015), con el ODS 6 de agua limpia y saneamiento, y con la filosofía de ciencia ciudadana aplicada a la resiliencia comunitaria (Sivapalan et al., 2003; Hrachowitz et al., 2013).</w:t>
      </w:r>
    </w:p>
    <w:p w14:paraId="4CE78920" w14:textId="4523C671" w:rsidR="006F56F8" w:rsidRPr="006F56F8" w:rsidRDefault="006F56F8" w:rsidP="00D608FA">
      <w:pPr>
        <w:jc w:val="both"/>
        <w:rPr>
          <w:rFonts w:ascii="Arial Narrow" w:hAnsi="Arial Narrow"/>
          <w:sz w:val="22"/>
          <w:szCs w:val="22"/>
        </w:rPr>
      </w:pPr>
      <w:r w:rsidRPr="00482C11">
        <w:rPr>
          <w:rFonts w:ascii="Arial Narrow" w:hAnsi="Arial Narrow"/>
          <w:i/>
          <w:iCs/>
          <w:sz w:val="22"/>
          <w:szCs w:val="22"/>
        </w:rPr>
        <w:t>Incidencia en política pública</w:t>
      </w:r>
      <w:r w:rsidR="00482C11">
        <w:rPr>
          <w:rFonts w:ascii="Arial Narrow" w:hAnsi="Arial Narrow"/>
          <w:sz w:val="22"/>
          <w:szCs w:val="22"/>
        </w:rPr>
        <w:t xml:space="preserve">: </w:t>
      </w:r>
      <w:r w:rsidRPr="006F56F8">
        <w:rPr>
          <w:rFonts w:ascii="Arial Narrow" w:hAnsi="Arial Narrow"/>
          <w:sz w:val="22"/>
          <w:szCs w:val="22"/>
        </w:rPr>
        <w:t xml:space="preserve">Los resultados de la cooperación se traducen en recomendaciones técnicas para el Plan Nacional de Gestión del Riesgo, el Plan Hídrico Nacional y los POMCA. La validación de metodologías en cuencas piloto colombianas genera evidencia científica replicable en América Latina, </w:t>
      </w:r>
      <w:r w:rsidR="00482C11">
        <w:rPr>
          <w:rFonts w:ascii="Arial Narrow" w:hAnsi="Arial Narrow"/>
          <w:sz w:val="22"/>
          <w:szCs w:val="22"/>
        </w:rPr>
        <w:t xml:space="preserve">que puede contribuir a fortalecer </w:t>
      </w:r>
      <w:r w:rsidRPr="006F56F8">
        <w:rPr>
          <w:rFonts w:ascii="Arial Narrow" w:hAnsi="Arial Narrow"/>
          <w:sz w:val="22"/>
          <w:szCs w:val="22"/>
        </w:rPr>
        <w:t>la cooperación regional en una temática crítica para el desarrollo sostenible y la reducción del riesgo de desastres hidrológicos (Sivapalan et al., 2003; Hrachowitz et al., 2013).</w:t>
      </w:r>
    </w:p>
    <w:p w14:paraId="69846D62" w14:textId="77777777" w:rsidR="006F56F8" w:rsidRPr="00462D55" w:rsidRDefault="006F56F8" w:rsidP="00462D55">
      <w:pPr>
        <w:pStyle w:val="Ttulo1"/>
        <w:rPr>
          <w:rFonts w:ascii="Arial Narrow" w:hAnsi="Arial Narrow"/>
          <w:b/>
          <w:bCs/>
          <w:color w:val="auto"/>
          <w:sz w:val="22"/>
          <w:szCs w:val="22"/>
        </w:rPr>
      </w:pPr>
      <w:r w:rsidRPr="00462D55">
        <w:rPr>
          <w:rFonts w:ascii="Arial Narrow" w:hAnsi="Arial Narrow"/>
          <w:b/>
          <w:bCs/>
          <w:color w:val="auto"/>
          <w:sz w:val="22"/>
          <w:szCs w:val="22"/>
        </w:rPr>
        <w:t>6. Bibliografía</w:t>
      </w:r>
    </w:p>
    <w:p w14:paraId="186543DD"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Arsenault, R., Poulin, A., Côté, P., &amp; Brissette, F. (2014). Comparison of stochastic optimization algorithms in hydrological model calibration. Journal of Hydrologic Engineering, 19(7), 1374–1384. https://doi.org/10.1061/(ASCE)HE.1943-5584.0000938</w:t>
      </w:r>
    </w:p>
    <w:p w14:paraId="7FE9210A"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Bárdossy, A., &amp; Singh, S. K. (2008). Robust estimation of hydrological model parameters. Hydrology and Earth System Sciences, 12(6), 1273–1283. https://doi.org/10.5194/hess-12-1273-2008</w:t>
      </w:r>
    </w:p>
    <w:p w14:paraId="2DA57FD5"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Beven, K. (2001). How far can we go in distributed hydrological modelling? Hydrology and Earth System Sciences, 5(1), 1–12. https://doi.org/10.5194/hess-5-1-2001</w:t>
      </w:r>
    </w:p>
    <w:p w14:paraId="4125EA51"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Beven, K. (2006). A manifesto for the equifinality thesis. Journal of Hydrology, 320(1–2), 18–36. https://doi.org/10.1016/j.jhydrol.2005.07.007</w:t>
      </w:r>
    </w:p>
    <w:p w14:paraId="669AFA64"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Beven, K. J. (2012). Rainfall-runoff modelling: The primer (2.ª ed.). Wiley-Blackwell.</w:t>
      </w:r>
    </w:p>
    <w:p w14:paraId="6284CDC8"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Beven, K., &amp; Binley, A. (1992). The future of distributed models: Model calibration and uncertainty prediction. Hydrological Processes, 6(3), 279–298. https://doi.org/10.1002/hyp.3360060305</w:t>
      </w:r>
    </w:p>
    <w:p w14:paraId="1BD74A60"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Duan, Q., Sorooshian, S., &amp; Gupta, V. (1992). Effective and efficient global optimization for conceptual rainfall-runoff models. Water Resources Research, 28(4), 1015–1031. https://doi.org/10.1029/91WR02985</w:t>
      </w:r>
    </w:p>
    <w:p w14:paraId="2D4CFAC0"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lastRenderedPageBreak/>
        <w:t>Fenicia, F., Savenije, H. H. G., Matgen, P., &amp; Pfister, L. (2008). Understanding catchment behavior through stepwise model concept improvement. Water Resources Research, 44(1), W01402. https://doi.org/10.1029/2006WR005563</w:t>
      </w:r>
    </w:p>
    <w:p w14:paraId="7D3C623A"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rPr>
        <w:t xml:space="preserve">Gharari, S., Hrachowitz, M., Fenicia, F., &amp; Savenije, H. H. G. (2013). </w:t>
      </w:r>
      <w:r w:rsidRPr="006F56F8">
        <w:rPr>
          <w:rFonts w:ascii="Arial Narrow" w:hAnsi="Arial Narrow"/>
          <w:sz w:val="22"/>
          <w:szCs w:val="22"/>
          <w:lang w:val="en-US"/>
        </w:rPr>
        <w:t>An approach to identify time consistent model parameters: sub-period calibration. Hydrology and Earth System Sciences, 17(1), 149–161. https://doi.org/10.5194/hess-17-149-2013</w:t>
      </w:r>
    </w:p>
    <w:p w14:paraId="10913A0B"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Gupta, H. V., Sorooshian, S., &amp; Yapo, P. O. (1998). Toward improved calibration of hydrologic models: Multiple and noncommensurable measures of information. Water Resources Research, 34(4), 751–763. https://doi.org/10.1029/97WR03495</w:t>
      </w:r>
    </w:p>
    <w:p w14:paraId="2E6C6BEC"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Gupta, H. V., Wagener, T., &amp; Liu, Y. (2008). Reconciling theory with observations: Elements of a diagnostic approach to model evaluation. Hydrological Processes, 22(18), 3802–3813. https://doi.org/10.1002/hyp.6989</w:t>
      </w:r>
    </w:p>
    <w:p w14:paraId="107511DB"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Gupta, H. V., Kling, H., Yilmaz, K. K., &amp; Martinez, G. F. (2009). Decomposition of the mean squared error and NSE performance criteria: Implications for improving hydrological modelling. Journal of Hydrology, 377(1–2), 80–91. https://doi.org/10.1016/j.jhydrol.2009.08.003</w:t>
      </w:r>
    </w:p>
    <w:p w14:paraId="763ABF38"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Hrachowitz, M., Savenije, H. H. G., Blöschl, G., McDonnell, J. J., Sivapalan, M., Pomeroy, J. W., Arheimer, B., Blume, T., Clark, M. P., Ehret, U., Fenicia, F., Freer, J. E., Gelfan, A., Gupta, H. V., Hughes, D. A., Hut, R. W., Montanari, A., Pande, S., Tetzlaff, D., … Cudennec, C. (2013). A decade of Predictions in Ungauged Basins (PUB) — a review. Hydrological Sciences Journal, 58(6), 1198–1255. https://doi.org/10.1080/02626667.2013.803183</w:t>
      </w:r>
    </w:p>
    <w:p w14:paraId="46C6BE2E"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Hrachowitz, M., &amp; Clark, M. P. (2017). HESS Opinions: The complementary merits of top-down and bottom-up modelling philosophies in hydrology. Hydrology and Earth System Sciences, 21(8), 3953–3973. https://doi.org/10.5194/hess-21-3953-2017</w:t>
      </w:r>
    </w:p>
    <w:p w14:paraId="517AC7D9" w14:textId="77777777" w:rsidR="006F56F8" w:rsidRPr="006F56F8" w:rsidRDefault="006F56F8" w:rsidP="006F56F8">
      <w:pPr>
        <w:rPr>
          <w:rFonts w:ascii="Arial Narrow" w:hAnsi="Arial Narrow"/>
          <w:sz w:val="22"/>
          <w:szCs w:val="22"/>
        </w:rPr>
      </w:pPr>
      <w:r w:rsidRPr="006F56F8">
        <w:rPr>
          <w:rFonts w:ascii="Arial Narrow" w:hAnsi="Arial Narrow"/>
          <w:sz w:val="22"/>
          <w:szCs w:val="22"/>
          <w:lang w:val="en-US"/>
        </w:rPr>
        <w:t xml:space="preserve">IDEAM. </w:t>
      </w:r>
      <w:r w:rsidRPr="006F56F8">
        <w:rPr>
          <w:rFonts w:ascii="Arial Narrow" w:hAnsi="Arial Narrow"/>
          <w:sz w:val="22"/>
          <w:szCs w:val="22"/>
        </w:rPr>
        <w:t>(2015). Estudio Nacional del Agua 2014. Instituto de Hidrología, Meteorología y Estudios Ambientales. http://www.ideam.gov.co/documents/14691/537732/Estudio+Nacional+del+Agua+2014.pdf</w:t>
      </w:r>
    </w:p>
    <w:p w14:paraId="6E51A134"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de-CH"/>
        </w:rPr>
        <w:t xml:space="preserve">Jakeman, A. J., &amp; Hornberger, G. M. (1993). </w:t>
      </w:r>
      <w:r w:rsidRPr="006F56F8">
        <w:rPr>
          <w:rFonts w:ascii="Arial Narrow" w:hAnsi="Arial Narrow"/>
          <w:sz w:val="22"/>
          <w:szCs w:val="22"/>
          <w:lang w:val="en-US"/>
        </w:rPr>
        <w:t>How much complexity is warranted in a rainfall-runoff model? Water Resources Research, 29(8), 2637–2649. https://doi.org/10.1029/93WR00877</w:t>
      </w:r>
    </w:p>
    <w:p w14:paraId="4CA22BC5"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Kavetski, D., Franks, S. W., &amp; Kuczera, G. (2002). Confronting input uncertainty in environmental modelling. En Q. Duan, H. V. Gupta, S. Sorooshian, A. N. Rousseau &amp; R. Turcotte (Eds.), Calibration of watershed models (pp. 49–68). American Geophysical Union.</w:t>
      </w:r>
    </w:p>
    <w:p w14:paraId="0476035B"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Klemeš, V. (1986). Operational testing of hydrological simulation models. Hydrological Sciences Journal, 31(1), 13–24. https://doi.org/10.1080/02626668609491024</w:t>
      </w:r>
    </w:p>
    <w:p w14:paraId="3E6B64EB"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Kirchner, J. W. (2006). Getting the right answers for the right reasons: Linking measurements, analyses, and models to advance the science of hydrology. Water Resources Research, 42(3), W03S04. https://doi.org/10.1029/2005WR004362</w:t>
      </w:r>
    </w:p>
    <w:p w14:paraId="390B6151"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Kling, H., Fuchs, M., &amp; Paulin, M. (2012). Runoff conditions in the upper Danube basin under an ensemble of climate change scenarios. Journal of Hydrology, 424–425, 264–277. https://doi.org/10.1016/j.jhydrol.2012.01.011</w:t>
      </w:r>
    </w:p>
    <w:p w14:paraId="04A12105"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lastRenderedPageBreak/>
        <w:t>Kratzert, F., Klotz, D., Brenner, C., Schulz, K., &amp; Herrnegger, M. (2018). Rainfall–runoff modelling using Long Short-Term Memory (LSTM) networks. Hydrology and Earth System Sciences, 22(11), 6005–6022. https://doi.org/10.5194/hess-22-6005-2018</w:t>
      </w:r>
    </w:p>
    <w:p w14:paraId="347C5FF5"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Madsen, H. (2000). Automatic calibration of a conceptual rainfall–runoff model using multiple objectives. Journal of Hydrology, 235(3–4), 276–288. https://doi.org/10.1016/S0022-1694(00)00279-1</w:t>
      </w:r>
    </w:p>
    <w:p w14:paraId="227A1B1D"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Montanari, A. (2005). Large sample behaviors of the generalized likelihood uncertainty estimation (GLUE) in assessing the uncertainty of rainfall-runoff simulations. Water Resources Research, 41(8), W08406. https://doi.org/10.1029/2004WR003826</w:t>
      </w:r>
    </w:p>
    <w:p w14:paraId="416EEA99"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Naeini, M. R., Yang, T., Sadegh, M., AghaKouchak, A., Hsu, K. L., Sorooshian, S., Duan, Q., &amp; Liang, X. (2019). Shuffled complex-self adaptive hybrid evolution (SCHE) in optimization of a hydrological model. Journal of Hydrology, 571, 177–189. https://doi.org/10.1016/j.jhydrol.2019.01.025</w:t>
      </w:r>
    </w:p>
    <w:p w14:paraId="572AB8DC"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Nash, J. E., &amp; Sutcliffe, J. V. (1970). River flow forecasting through conceptual models part I — A discussion of principles. Journal of Hydrology, 10(3), 282–290. https://doi.org/10.1016/0022-1694(70)90255-6</w:t>
      </w:r>
    </w:p>
    <w:p w14:paraId="1D02C27D"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Nearing, G. S., Tian, Y., Gupta, H. V., Clark, M. P., Harrison, K. W., &amp; Weijs, S. V. (2016). A philosophical basis for hydrological uncertainty. Hydrological Sciences Journal, 61(9), 1666–1678. https://doi.org/10.1080/02626667.2016.1183009</w:t>
      </w:r>
    </w:p>
    <w:p w14:paraId="0DEC04D6"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de-CH"/>
        </w:rPr>
        <w:t xml:space="preserve">Parajka, J., Merz, R., &amp; Blöschl, G. (2005). </w:t>
      </w:r>
      <w:r w:rsidRPr="006F56F8">
        <w:rPr>
          <w:rFonts w:ascii="Arial Narrow" w:hAnsi="Arial Narrow"/>
          <w:sz w:val="22"/>
          <w:szCs w:val="22"/>
          <w:lang w:val="en-US"/>
        </w:rPr>
        <w:t>A comparison of regionalisation methods for catchment model parameters. Hydrology and Earth System Sciences, 9(3), 157–171. https://doi.org/10.5194/hess-9-157-2005</w:t>
      </w:r>
    </w:p>
    <w:p w14:paraId="32824DE6"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Perrin, C., Michel, C., &amp; Andréassian, V. (2003). Improvement of a parsimonious model for streamflow simulation. Journal of Hydrology, 279(1–4), 275–289. https://doi.org/10.1016/S0022-1694(03)00225-7</w:t>
      </w:r>
    </w:p>
    <w:p w14:paraId="4BF34752"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Reichert, P., &amp; Mieleitner, J. (2009). Analyzing input and structural uncertainty of nonlinear dynamic models with stochastic, time-dependent parameters. Water Resources Research, 45(10), W10402. https://doi.org/10.1029/2009WR007814</w:t>
      </w:r>
    </w:p>
    <w:p w14:paraId="4F03FBAA"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Sadegh, M., &amp; Vrugt, J. A. (2013). Bridging the gap between GLUE and formal statistical approaches: approximate Bayesian computation. Hydrology and Earth System Sciences, 17(12), 4831–4850. https://doi.org/10.5194/hess-17-4831-2013</w:t>
      </w:r>
    </w:p>
    <w:p w14:paraId="66DA91A8"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Shen, C. (2018). A transdisciplinary review of deep learning research and its relevance for water resources scientists. Water Resources Research, 54(11), 8558–8593. https://doi.org/10.1029/2018WR022643</w:t>
      </w:r>
    </w:p>
    <w:p w14:paraId="6A12BF42"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Shortridge, J. E., Guikema, S. D., &amp; Zaitchik, B. F. (2016). Machine learning methods for empirical streamflow simulation: A comparison of model accuracy, interpretability, and uncertainty in seasonal watersheds. Hydrology and Earth System Sciences, 20(7), 2611–2628. https://doi.org/10.5194/hess-20-2611-2016</w:t>
      </w:r>
    </w:p>
    <w:p w14:paraId="6C403006"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Sivapalan, M., Takeuchi, K., Franks, S. W., Gupta, V. K., Karambiri, H., Lakshmi, V., Liang, X., McDonnell, J. J., Mendiondo, E. M., O'Connell, P. E., Oki, T., Pomeroy, J. W., Schertzer, D., Uhlenbrook, S., &amp; Zehe, E. (2003). IAHS Decade on Predictions in Ungauged Basins (PUB), 2003–2012: Shaping an exciting future for the hydrological sciences. Hydrological Sciences Journal, 48(6), 857–880. https://doi.org/10.1623/hysj.48.6.857.51421</w:t>
      </w:r>
    </w:p>
    <w:p w14:paraId="757F4957" w14:textId="77777777" w:rsidR="006F56F8" w:rsidRPr="006F56F8" w:rsidRDefault="006F56F8" w:rsidP="006F56F8">
      <w:pPr>
        <w:rPr>
          <w:rFonts w:ascii="Arial Narrow" w:hAnsi="Arial Narrow"/>
          <w:sz w:val="22"/>
          <w:szCs w:val="22"/>
        </w:rPr>
      </w:pPr>
      <w:r w:rsidRPr="006F56F8">
        <w:rPr>
          <w:rFonts w:ascii="Arial Narrow" w:hAnsi="Arial Narrow"/>
          <w:sz w:val="22"/>
          <w:szCs w:val="22"/>
          <w:lang w:val="en-US"/>
        </w:rPr>
        <w:lastRenderedPageBreak/>
        <w:t xml:space="preserve">UN. (2015). Transforming our world: The 2030 Agenda for Sustainable Development [Agenda 2030]. </w:t>
      </w:r>
      <w:r w:rsidRPr="006F56F8">
        <w:rPr>
          <w:rFonts w:ascii="Arial Narrow" w:hAnsi="Arial Narrow"/>
          <w:sz w:val="22"/>
          <w:szCs w:val="22"/>
        </w:rPr>
        <w:t>United Nations. https://sdgs.un.org/2030agenda</w:t>
      </w:r>
    </w:p>
    <w:p w14:paraId="2F2D95DA" w14:textId="77777777" w:rsidR="006F56F8" w:rsidRPr="006F56F8" w:rsidRDefault="006F56F8" w:rsidP="006F56F8">
      <w:pPr>
        <w:rPr>
          <w:rFonts w:ascii="Arial Narrow" w:hAnsi="Arial Narrow"/>
          <w:sz w:val="22"/>
          <w:szCs w:val="22"/>
        </w:rPr>
      </w:pPr>
      <w:r w:rsidRPr="006F56F8">
        <w:rPr>
          <w:rFonts w:ascii="Arial Narrow" w:hAnsi="Arial Narrow"/>
          <w:sz w:val="22"/>
          <w:szCs w:val="22"/>
        </w:rPr>
        <w:t>UNDRR. (2015). Marco de Sendai para la Reducción del Riesgo de Desastres 2015–2030. Oficina de las Naciones Unidas para la Reducción del Riesgo de Desastres. https://www.undrr.org/publication/sendai-framework-disaster-risk-reduction-2015-2030</w:t>
      </w:r>
    </w:p>
    <w:p w14:paraId="02DAA0CB"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Vrugt, J. A., Gupta, H. V., Bastidas, L. A., Bouten, W., &amp; Sorooshian, S. (2003). Effective and efficient algorithm for multiobjective optimization of hydrologic models. Water Resources Research, 39(8), 1214. https://doi.org/10.1029/2002WR001746</w:t>
      </w:r>
    </w:p>
    <w:p w14:paraId="185741FF"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Vrugt, J. A., ter Braak, C. J. F., Diks, C. G. H., Robinson, B. A., Hyman, J. M., &amp; Higdon, D. (2009). Accelerating Markov chain Monte Carlo simulation by differential evolution with self-adaptive randomized subspace sampling. International Journal of Nonlinear Sciences and Numerical Simulation, 10(3), 273–290. https://doi.org/10.1515/IJNSNS.2009.10.3.273</w:t>
      </w:r>
    </w:p>
    <w:p w14:paraId="668B9A98"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Wagener, T., &amp; Wheater, H. S. (2006). Parameter estimation and regionalization for continuous rainfall-runoff models including uncertainty. Journal of Hydrology, 320(1–2), 132–154. https://doi.org/10.1016/j.jhydrol.2005.07.015</w:t>
      </w:r>
    </w:p>
    <w:p w14:paraId="14B6AA97"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Wöhling, T., &amp; Vrugt, J. A. (2011). Multiresponse multilayer vadose zone model calibration using Markov chain Monte Carlo simulation and field water retention data. Water Resources Research, 47(4), W04510. https://doi.org/10.1029/2010WR009265</w:t>
      </w:r>
    </w:p>
    <w:p w14:paraId="3EBB0F83" w14:textId="77777777" w:rsidR="006F56F8" w:rsidRPr="006F56F8" w:rsidRDefault="006F56F8" w:rsidP="006F56F8">
      <w:pPr>
        <w:rPr>
          <w:rFonts w:ascii="Arial Narrow" w:hAnsi="Arial Narrow"/>
          <w:sz w:val="22"/>
          <w:szCs w:val="22"/>
          <w:lang w:val="en-US"/>
        </w:rPr>
      </w:pPr>
      <w:r w:rsidRPr="006F56F8">
        <w:rPr>
          <w:rFonts w:ascii="Arial Narrow" w:hAnsi="Arial Narrow"/>
          <w:sz w:val="22"/>
          <w:szCs w:val="22"/>
          <w:lang w:val="en-US"/>
        </w:rPr>
        <w:t>Yapo, P. O., Gupta, H. V., &amp; Sorooshian, S. (1998). Multi-objective global optimization for hydrologic models. Journal of Hydrology, 204(1–4), 83–97. https://doi.org/10.1016/S0022-1694(97)00107-8</w:t>
      </w:r>
    </w:p>
    <w:p w14:paraId="294EF852" w14:textId="77777777" w:rsidR="006F56F8" w:rsidRPr="006F56F8" w:rsidRDefault="006F56F8" w:rsidP="006F56F8">
      <w:pPr>
        <w:rPr>
          <w:rFonts w:ascii="Arial Narrow" w:hAnsi="Arial Narrow"/>
          <w:sz w:val="22"/>
          <w:szCs w:val="22"/>
        </w:rPr>
      </w:pPr>
      <w:r w:rsidRPr="006F56F8">
        <w:rPr>
          <w:rFonts w:ascii="Arial Narrow" w:hAnsi="Arial Narrow"/>
          <w:sz w:val="22"/>
          <w:szCs w:val="22"/>
          <w:lang w:val="en-US"/>
        </w:rPr>
        <w:t xml:space="preserve">Yilmaz, K. K., Gupta, H. V., &amp; Wagener, T. (2008). A process-based diagnostic approach to model evaluation: Application to the NWS distributed hydrologic model. </w:t>
      </w:r>
      <w:r w:rsidRPr="006F56F8">
        <w:rPr>
          <w:rFonts w:ascii="Arial Narrow" w:hAnsi="Arial Narrow"/>
          <w:sz w:val="22"/>
          <w:szCs w:val="22"/>
        </w:rPr>
        <w:t>Water Resources Research, 44(9), W09417. https://doi.org/10.1029/2007WR006716</w:t>
      </w:r>
    </w:p>
    <w:p w14:paraId="155F34B1" w14:textId="55993290" w:rsidR="00103DAF" w:rsidRPr="006F56F8" w:rsidRDefault="006F56F8" w:rsidP="006F56F8">
      <w:r w:rsidRPr="006F56F8">
        <w:rPr>
          <w:rFonts w:ascii="Arial Narrow" w:hAnsi="Arial Narrow"/>
          <w:sz w:val="22"/>
          <w:szCs w:val="22"/>
          <w:lang w:val="en-US"/>
        </w:rPr>
        <w:t xml:space="preserve">Zhang, Y., Shao, Q., Zhang, S., Zhai, X., &amp; She, D. (2016). Multi-metric calibration of hydrological model to capture overall flow regimes. </w:t>
      </w:r>
      <w:r w:rsidRPr="006F56F8">
        <w:rPr>
          <w:rFonts w:ascii="Arial Narrow" w:hAnsi="Arial Narrow"/>
          <w:sz w:val="22"/>
          <w:szCs w:val="22"/>
        </w:rPr>
        <w:t>Journal of Hydrology, 539, 525–538. https://doi.org/10.1016/j.jhydrol.2016.05.054</w:t>
      </w:r>
    </w:p>
    <w:sectPr w:rsidR="00103DAF" w:rsidRPr="006F56F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62094"/>
    <w:multiLevelType w:val="hybridMultilevel"/>
    <w:tmpl w:val="0F8A9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B751058"/>
    <w:multiLevelType w:val="hybridMultilevel"/>
    <w:tmpl w:val="4A6434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4523492">
    <w:abstractNumId w:val="0"/>
  </w:num>
  <w:num w:numId="2" w16cid:durableId="1840538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2F"/>
    <w:rsid w:val="0005541A"/>
    <w:rsid w:val="00065693"/>
    <w:rsid w:val="000D5CB9"/>
    <w:rsid w:val="000F2CB9"/>
    <w:rsid w:val="00103DAF"/>
    <w:rsid w:val="00103FD4"/>
    <w:rsid w:val="001663D6"/>
    <w:rsid w:val="0016787C"/>
    <w:rsid w:val="0018692F"/>
    <w:rsid w:val="002525E3"/>
    <w:rsid w:val="002716BB"/>
    <w:rsid w:val="00293A7C"/>
    <w:rsid w:val="00317FEC"/>
    <w:rsid w:val="00335145"/>
    <w:rsid w:val="00462D55"/>
    <w:rsid w:val="00482C11"/>
    <w:rsid w:val="005A6073"/>
    <w:rsid w:val="006573E1"/>
    <w:rsid w:val="006D139B"/>
    <w:rsid w:val="006F18E0"/>
    <w:rsid w:val="006F56F8"/>
    <w:rsid w:val="00744170"/>
    <w:rsid w:val="007C0740"/>
    <w:rsid w:val="007F14BA"/>
    <w:rsid w:val="00855797"/>
    <w:rsid w:val="008A6D79"/>
    <w:rsid w:val="008C48E5"/>
    <w:rsid w:val="009207B0"/>
    <w:rsid w:val="00945819"/>
    <w:rsid w:val="009A2312"/>
    <w:rsid w:val="00AC216E"/>
    <w:rsid w:val="00B31154"/>
    <w:rsid w:val="00B8652F"/>
    <w:rsid w:val="00BC60D9"/>
    <w:rsid w:val="00C977DE"/>
    <w:rsid w:val="00CE43F5"/>
    <w:rsid w:val="00D608FA"/>
    <w:rsid w:val="00D738F9"/>
    <w:rsid w:val="00E416CF"/>
    <w:rsid w:val="00E64156"/>
    <w:rsid w:val="00EA035C"/>
    <w:rsid w:val="00EA1BA0"/>
    <w:rsid w:val="00F7290E"/>
    <w:rsid w:val="00FC1F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4E8F"/>
  <w15:chartTrackingRefBased/>
  <w15:docId w15:val="{D5E7BEFC-7C67-458E-9008-5332B507A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865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865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8652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8652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8652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8652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8652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8652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8652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652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B8652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8652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8652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8652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8652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8652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8652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8652F"/>
    <w:rPr>
      <w:rFonts w:eastAsiaTheme="majorEastAsia" w:cstheme="majorBidi"/>
      <w:color w:val="272727" w:themeColor="text1" w:themeTint="D8"/>
    </w:rPr>
  </w:style>
  <w:style w:type="paragraph" w:styleId="Ttulo">
    <w:name w:val="Title"/>
    <w:basedOn w:val="Normal"/>
    <w:next w:val="Normal"/>
    <w:link w:val="TtuloCar"/>
    <w:uiPriority w:val="10"/>
    <w:qFormat/>
    <w:rsid w:val="00B86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8652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8652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8652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8652F"/>
    <w:pPr>
      <w:spacing w:before="160"/>
      <w:jc w:val="center"/>
    </w:pPr>
    <w:rPr>
      <w:i/>
      <w:iCs/>
      <w:color w:val="404040" w:themeColor="text1" w:themeTint="BF"/>
    </w:rPr>
  </w:style>
  <w:style w:type="character" w:customStyle="1" w:styleId="CitaCar">
    <w:name w:val="Cita Car"/>
    <w:basedOn w:val="Fuentedeprrafopredeter"/>
    <w:link w:val="Cita"/>
    <w:uiPriority w:val="29"/>
    <w:rsid w:val="00B8652F"/>
    <w:rPr>
      <w:i/>
      <w:iCs/>
      <w:color w:val="404040" w:themeColor="text1" w:themeTint="BF"/>
    </w:rPr>
  </w:style>
  <w:style w:type="paragraph" w:styleId="Prrafodelista">
    <w:name w:val="List Paragraph"/>
    <w:basedOn w:val="Normal"/>
    <w:uiPriority w:val="34"/>
    <w:qFormat/>
    <w:rsid w:val="00B8652F"/>
    <w:pPr>
      <w:ind w:left="720"/>
      <w:contextualSpacing/>
    </w:pPr>
  </w:style>
  <w:style w:type="character" w:styleId="nfasisintenso">
    <w:name w:val="Intense Emphasis"/>
    <w:basedOn w:val="Fuentedeprrafopredeter"/>
    <w:uiPriority w:val="21"/>
    <w:qFormat/>
    <w:rsid w:val="00B8652F"/>
    <w:rPr>
      <w:i/>
      <w:iCs/>
      <w:color w:val="0F4761" w:themeColor="accent1" w:themeShade="BF"/>
    </w:rPr>
  </w:style>
  <w:style w:type="paragraph" w:styleId="Citadestacada">
    <w:name w:val="Intense Quote"/>
    <w:basedOn w:val="Normal"/>
    <w:next w:val="Normal"/>
    <w:link w:val="CitadestacadaCar"/>
    <w:uiPriority w:val="30"/>
    <w:qFormat/>
    <w:rsid w:val="00B865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8652F"/>
    <w:rPr>
      <w:i/>
      <w:iCs/>
      <w:color w:val="0F4761" w:themeColor="accent1" w:themeShade="BF"/>
    </w:rPr>
  </w:style>
  <w:style w:type="character" w:styleId="Referenciaintensa">
    <w:name w:val="Intense Reference"/>
    <w:basedOn w:val="Fuentedeprrafopredeter"/>
    <w:uiPriority w:val="32"/>
    <w:qFormat/>
    <w:rsid w:val="00B865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8</Pages>
  <Words>4138</Words>
  <Characters>22761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Unibague Office 2024</Company>
  <LinksUpToDate>false</LinksUpToDate>
  <CharactersWithSpaces>26846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Eduardo Peña Rojas</dc:creator>
  <cp:keywords/>
  <dc:description/>
  <cp:lastModifiedBy>Luis Eduardo Peña Rojas</cp:lastModifiedBy>
  <cp:revision>37</cp:revision>
  <dcterms:created xsi:type="dcterms:W3CDTF">2026-03-25T15:40:00Z</dcterms:created>
  <dcterms:modified xsi:type="dcterms:W3CDTF">2026-03-25T17:05:00Z</dcterms:modified>
</cp:coreProperties>
</file>