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1A746" w14:textId="34B237ED" w:rsidR="001E6850" w:rsidRDefault="001E6850" w:rsidP="006D729D">
      <w:pPr>
        <w:spacing w:after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6850">
        <w:rPr>
          <w:rFonts w:ascii="Arial Narrow" w:hAnsi="Arial Narrow"/>
          <w:b/>
          <w:bCs/>
          <w:sz w:val="22"/>
          <w:szCs w:val="22"/>
        </w:rPr>
        <w:t>Acueductos rurales sostenibles para la gestión comunitaria del agua</w:t>
      </w:r>
    </w:p>
    <w:p w14:paraId="5C4F15DF" w14:textId="77777777" w:rsidR="00751561" w:rsidRPr="00751561" w:rsidRDefault="00751561" w:rsidP="006D729D">
      <w:pPr>
        <w:spacing w:after="0" w:line="276" w:lineRule="auto"/>
        <w:jc w:val="center"/>
        <w:rPr>
          <w:rFonts w:ascii="Arial Narrow" w:hAnsi="Arial Narrow"/>
          <w:sz w:val="22"/>
          <w:szCs w:val="22"/>
        </w:rPr>
      </w:pPr>
    </w:p>
    <w:p w14:paraId="1529170A" w14:textId="5C5DB4BB" w:rsid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b/>
          <w:bCs/>
          <w:sz w:val="22"/>
          <w:szCs w:val="22"/>
        </w:rPr>
        <w:t>Aspirante:</w:t>
      </w:r>
      <w:r>
        <w:rPr>
          <w:rFonts w:ascii="Arial Narrow" w:hAnsi="Arial Narrow"/>
          <w:sz w:val="22"/>
          <w:szCs w:val="22"/>
        </w:rPr>
        <w:t xml:space="preserve"> Luis Eduardo Peña Rojas</w:t>
      </w:r>
    </w:p>
    <w:p w14:paraId="2CF1E9F6" w14:textId="4FC8D3DD" w:rsid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b/>
          <w:bCs/>
          <w:sz w:val="22"/>
          <w:szCs w:val="22"/>
        </w:rPr>
        <w:t xml:space="preserve">Perfil </w:t>
      </w:r>
      <w:r w:rsidR="00E379A2">
        <w:rPr>
          <w:rFonts w:ascii="Arial Narrow" w:hAnsi="Arial Narrow"/>
          <w:b/>
          <w:bCs/>
          <w:sz w:val="22"/>
          <w:szCs w:val="22"/>
        </w:rPr>
        <w:t>E2</w:t>
      </w:r>
      <w:r>
        <w:rPr>
          <w:rFonts w:ascii="Arial Narrow" w:hAnsi="Arial Narrow"/>
          <w:sz w:val="22"/>
          <w:szCs w:val="22"/>
        </w:rPr>
        <w:t xml:space="preserve"> Concurso profesoral 2026</w:t>
      </w:r>
    </w:p>
    <w:p w14:paraId="33B8CB07" w14:textId="7A92730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b/>
          <w:bCs/>
          <w:sz w:val="22"/>
          <w:szCs w:val="22"/>
        </w:rPr>
        <w:t>Tema:</w:t>
      </w:r>
      <w:r>
        <w:rPr>
          <w:rFonts w:ascii="Arial Narrow" w:hAnsi="Arial Narrow"/>
          <w:sz w:val="22"/>
          <w:szCs w:val="22"/>
        </w:rPr>
        <w:t xml:space="preserve"> </w:t>
      </w:r>
      <w:r w:rsidR="00E379A2" w:rsidRPr="00E379A2">
        <w:rPr>
          <w:rFonts w:ascii="Arial Narrow" w:hAnsi="Arial Narrow"/>
          <w:sz w:val="22"/>
          <w:szCs w:val="22"/>
        </w:rPr>
        <w:t>Estrategias de calibración de modelos hidrológicos o hidráulicos o de calidad del agua</w:t>
      </w:r>
      <w:r w:rsidR="00E379A2">
        <w:rPr>
          <w:rFonts w:ascii="Arial Narrow" w:hAnsi="Arial Narrow"/>
          <w:sz w:val="22"/>
          <w:szCs w:val="22"/>
        </w:rPr>
        <w:t>.</w:t>
      </w:r>
    </w:p>
    <w:p w14:paraId="03CC8BAA" w14:textId="77777777" w:rsidR="001E6850" w:rsidRPr="001E6850" w:rsidRDefault="001E6850" w:rsidP="006D729D">
      <w:pPr>
        <w:pStyle w:val="Ttulo1"/>
        <w:spacing w:after="0"/>
        <w:rPr>
          <w:rFonts w:ascii="Arial Narrow" w:hAnsi="Arial Narrow"/>
          <w:b/>
          <w:bCs/>
          <w:color w:val="auto"/>
          <w:sz w:val="22"/>
          <w:szCs w:val="22"/>
        </w:rPr>
      </w:pPr>
      <w:r w:rsidRPr="001E6850">
        <w:rPr>
          <w:rFonts w:ascii="Arial Narrow" w:hAnsi="Arial Narrow"/>
          <w:b/>
          <w:bCs/>
          <w:color w:val="auto"/>
          <w:sz w:val="22"/>
          <w:szCs w:val="22"/>
        </w:rPr>
        <w:t>1. Justificación</w:t>
      </w:r>
    </w:p>
    <w:p w14:paraId="00F0DF93" w14:textId="7BFF9156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</w:rPr>
        <w:t xml:space="preserve">El acceso al agua potable </w:t>
      </w:r>
      <w:r>
        <w:rPr>
          <w:rFonts w:ascii="Arial Narrow" w:hAnsi="Arial Narrow"/>
          <w:sz w:val="22"/>
          <w:szCs w:val="22"/>
        </w:rPr>
        <w:t xml:space="preserve">ha sido reconocido como </w:t>
      </w:r>
      <w:r w:rsidRPr="001E6850">
        <w:rPr>
          <w:rFonts w:ascii="Arial Narrow" w:hAnsi="Arial Narrow"/>
          <w:sz w:val="22"/>
          <w:szCs w:val="22"/>
        </w:rPr>
        <w:t xml:space="preserve">derecho humano fundamental y </w:t>
      </w:r>
      <w:r>
        <w:rPr>
          <w:rFonts w:ascii="Arial Narrow" w:hAnsi="Arial Narrow"/>
          <w:sz w:val="22"/>
          <w:szCs w:val="22"/>
        </w:rPr>
        <w:t>es uno de los ejes centrales de los Objetivos de D</w:t>
      </w:r>
      <w:r w:rsidRPr="001E6850">
        <w:rPr>
          <w:rFonts w:ascii="Arial Narrow" w:hAnsi="Arial Narrow"/>
          <w:sz w:val="22"/>
          <w:szCs w:val="22"/>
        </w:rPr>
        <w:t xml:space="preserve">esarrollo </w:t>
      </w:r>
      <w:r>
        <w:rPr>
          <w:rFonts w:ascii="Arial Narrow" w:hAnsi="Arial Narrow"/>
          <w:sz w:val="22"/>
          <w:szCs w:val="22"/>
        </w:rPr>
        <w:t>S</w:t>
      </w:r>
      <w:r w:rsidRPr="001E6850">
        <w:rPr>
          <w:rFonts w:ascii="Arial Narrow" w:hAnsi="Arial Narrow"/>
          <w:sz w:val="22"/>
          <w:szCs w:val="22"/>
        </w:rPr>
        <w:t xml:space="preserve">ostenible (ODS 6) (UN, 2015). </w:t>
      </w:r>
      <w:r>
        <w:rPr>
          <w:rFonts w:ascii="Arial Narrow" w:hAnsi="Arial Narrow"/>
          <w:sz w:val="22"/>
          <w:szCs w:val="22"/>
        </w:rPr>
        <w:t>En este sentido, se ha repor</w:t>
      </w:r>
      <w:r w:rsidR="00E17E95">
        <w:rPr>
          <w:rFonts w:ascii="Arial Narrow" w:hAnsi="Arial Narrow"/>
          <w:sz w:val="22"/>
          <w:szCs w:val="22"/>
        </w:rPr>
        <w:t xml:space="preserve">tado que en 2022 aproximadamente </w:t>
      </w:r>
      <w:r w:rsidRPr="001E6850">
        <w:rPr>
          <w:rFonts w:ascii="Arial Narrow" w:hAnsi="Arial Narrow"/>
          <w:sz w:val="22"/>
          <w:szCs w:val="22"/>
        </w:rPr>
        <w:t xml:space="preserve">2.2 millones de personas carecían de agua potable gestionada de forma segura (WHO &amp; UNICEF, 2023), </w:t>
      </w:r>
      <w:r w:rsidR="00E17E95">
        <w:rPr>
          <w:rFonts w:ascii="Arial Narrow" w:hAnsi="Arial Narrow"/>
          <w:sz w:val="22"/>
          <w:szCs w:val="22"/>
        </w:rPr>
        <w:t xml:space="preserve">de modo que afectó más a los habitantes de </w:t>
      </w:r>
      <w:r w:rsidRPr="001E6850">
        <w:rPr>
          <w:rFonts w:ascii="Arial Narrow" w:hAnsi="Arial Narrow"/>
          <w:sz w:val="22"/>
          <w:szCs w:val="22"/>
        </w:rPr>
        <w:t xml:space="preserve">zonas rurales de países </w:t>
      </w:r>
      <w:r w:rsidR="00E17E95">
        <w:rPr>
          <w:rFonts w:ascii="Arial Narrow" w:hAnsi="Arial Narrow"/>
          <w:sz w:val="22"/>
          <w:szCs w:val="22"/>
        </w:rPr>
        <w:t>en desarrollo</w:t>
      </w:r>
      <w:r w:rsidRPr="001E6850">
        <w:rPr>
          <w:rFonts w:ascii="Arial Narrow" w:hAnsi="Arial Narrow"/>
          <w:sz w:val="22"/>
          <w:szCs w:val="22"/>
        </w:rPr>
        <w:t xml:space="preserve"> (Bain et al., 2014). Esta situación </w:t>
      </w:r>
      <w:r w:rsidR="00E17E95">
        <w:rPr>
          <w:rFonts w:ascii="Arial Narrow" w:hAnsi="Arial Narrow"/>
          <w:sz w:val="22"/>
          <w:szCs w:val="22"/>
        </w:rPr>
        <w:t xml:space="preserve">contribuye a que se produzca morbilidad en la población, principalmente </w:t>
      </w:r>
      <w:r w:rsidRPr="001E6850">
        <w:rPr>
          <w:rFonts w:ascii="Arial Narrow" w:hAnsi="Arial Narrow"/>
          <w:sz w:val="22"/>
          <w:szCs w:val="22"/>
        </w:rPr>
        <w:t xml:space="preserve">asociada al consumo de agua no tratada (Fewtrell et al., 2005; Prüss-Üstün et al., 2014). En Colombia, la cobertura de agua potable en zonas rurales dispersas no supera el 45 %, </w:t>
      </w:r>
      <w:r w:rsidR="00E17E95">
        <w:rPr>
          <w:rFonts w:ascii="Arial Narrow" w:hAnsi="Arial Narrow"/>
          <w:sz w:val="22"/>
          <w:szCs w:val="22"/>
        </w:rPr>
        <w:t xml:space="preserve">lo cual </w:t>
      </w:r>
      <w:r w:rsidRPr="001E6850">
        <w:rPr>
          <w:rFonts w:ascii="Arial Narrow" w:hAnsi="Arial Narrow"/>
          <w:sz w:val="22"/>
          <w:szCs w:val="22"/>
        </w:rPr>
        <w:t xml:space="preserve">evidencia una brecha estructural que </w:t>
      </w:r>
      <w:r w:rsidR="00E17E95">
        <w:rPr>
          <w:rFonts w:ascii="Arial Narrow" w:hAnsi="Arial Narrow"/>
          <w:sz w:val="22"/>
          <w:szCs w:val="22"/>
        </w:rPr>
        <w:t xml:space="preserve">requiere el desarrollo de tecnologías apropiadas al contexto social, económico </w:t>
      </w:r>
      <w:r w:rsidRPr="001E6850">
        <w:rPr>
          <w:rFonts w:ascii="Arial Narrow" w:hAnsi="Arial Narrow"/>
          <w:sz w:val="22"/>
          <w:szCs w:val="22"/>
        </w:rPr>
        <w:t xml:space="preserve">e institucional integrales </w:t>
      </w:r>
      <w:r w:rsidR="00E17E95">
        <w:rPr>
          <w:rFonts w:ascii="Arial Narrow" w:hAnsi="Arial Narrow"/>
          <w:sz w:val="22"/>
          <w:szCs w:val="22"/>
        </w:rPr>
        <w:t xml:space="preserve">de estas comunidades </w:t>
      </w:r>
      <w:r w:rsidRPr="001E6850">
        <w:rPr>
          <w:rFonts w:ascii="Arial Narrow" w:hAnsi="Arial Narrow"/>
          <w:sz w:val="22"/>
          <w:szCs w:val="22"/>
        </w:rPr>
        <w:t xml:space="preserve">(DNP, 2022). El Reglamento </w:t>
      </w:r>
      <w:r w:rsidR="00E17E95">
        <w:rPr>
          <w:rFonts w:ascii="Arial Narrow" w:hAnsi="Arial Narrow"/>
          <w:sz w:val="22"/>
          <w:szCs w:val="22"/>
        </w:rPr>
        <w:t>técnico del sector agua potable y saneamiento básico (</w:t>
      </w:r>
      <w:r w:rsidRPr="001E6850">
        <w:rPr>
          <w:rFonts w:ascii="Arial Narrow" w:hAnsi="Arial Narrow"/>
          <w:sz w:val="22"/>
          <w:szCs w:val="22"/>
        </w:rPr>
        <w:t>RAS Rural</w:t>
      </w:r>
      <w:r w:rsidR="00E17E95">
        <w:rPr>
          <w:rFonts w:ascii="Arial Narrow" w:hAnsi="Arial Narrow"/>
          <w:sz w:val="22"/>
          <w:szCs w:val="22"/>
        </w:rPr>
        <w:t>)</w:t>
      </w:r>
      <w:r w:rsidRPr="001E6850">
        <w:rPr>
          <w:rFonts w:ascii="Arial Narrow" w:hAnsi="Arial Narrow"/>
          <w:sz w:val="22"/>
          <w:szCs w:val="22"/>
        </w:rPr>
        <w:t xml:space="preserve"> —Resolución 0330 de 2017 del MVCT (2017)— define para el diseño, construcción y operación de acueductos rurales en Colombia, </w:t>
      </w:r>
      <w:r w:rsidR="00E17E95">
        <w:rPr>
          <w:rFonts w:ascii="Arial Narrow" w:hAnsi="Arial Narrow"/>
          <w:sz w:val="22"/>
          <w:szCs w:val="22"/>
        </w:rPr>
        <w:t xml:space="preserve">el cual se articula con </w:t>
      </w:r>
      <w:r w:rsidRPr="001E6850">
        <w:rPr>
          <w:rFonts w:ascii="Arial Narrow" w:hAnsi="Arial Narrow"/>
          <w:sz w:val="22"/>
          <w:szCs w:val="22"/>
        </w:rPr>
        <w:t xml:space="preserve">los enfoques internacionales </w:t>
      </w:r>
      <w:r w:rsidR="00E17E95">
        <w:rPr>
          <w:rFonts w:ascii="Arial Narrow" w:hAnsi="Arial Narrow"/>
          <w:sz w:val="22"/>
          <w:szCs w:val="22"/>
        </w:rPr>
        <w:t xml:space="preserve">del acceso al agua y </w:t>
      </w:r>
      <w:r w:rsidRPr="001E6850">
        <w:rPr>
          <w:rFonts w:ascii="Arial Narrow" w:hAnsi="Arial Narrow"/>
          <w:sz w:val="22"/>
          <w:szCs w:val="22"/>
        </w:rPr>
        <w:t xml:space="preserve">es indispensable para </w:t>
      </w:r>
      <w:r w:rsidR="00E17E95">
        <w:rPr>
          <w:rFonts w:ascii="Arial Narrow" w:hAnsi="Arial Narrow"/>
          <w:sz w:val="22"/>
          <w:szCs w:val="22"/>
        </w:rPr>
        <w:t xml:space="preserve">disponer de </w:t>
      </w:r>
      <w:r w:rsidRPr="001E6850">
        <w:rPr>
          <w:rFonts w:ascii="Arial Narrow" w:hAnsi="Arial Narrow"/>
          <w:sz w:val="22"/>
          <w:szCs w:val="22"/>
        </w:rPr>
        <w:t xml:space="preserve">sistemas </w:t>
      </w:r>
      <w:r w:rsidR="00E17E95">
        <w:rPr>
          <w:rFonts w:ascii="Arial Narrow" w:hAnsi="Arial Narrow"/>
          <w:sz w:val="22"/>
          <w:szCs w:val="22"/>
        </w:rPr>
        <w:t xml:space="preserve">de abastecimiento de agua </w:t>
      </w:r>
      <w:r w:rsidRPr="001E6850">
        <w:rPr>
          <w:rFonts w:ascii="Arial Narrow" w:hAnsi="Arial Narrow"/>
          <w:sz w:val="22"/>
          <w:szCs w:val="22"/>
        </w:rPr>
        <w:t>resilientes y equitativos.</w:t>
      </w:r>
      <w:r w:rsidR="006D729D">
        <w:rPr>
          <w:rFonts w:ascii="Arial Narrow" w:hAnsi="Arial Narrow"/>
          <w:sz w:val="22"/>
          <w:szCs w:val="22"/>
        </w:rPr>
        <w:t xml:space="preserve"> E</w:t>
      </w:r>
      <w:r w:rsidR="00E17E95">
        <w:rPr>
          <w:rFonts w:ascii="Arial Narrow" w:hAnsi="Arial Narrow"/>
          <w:sz w:val="22"/>
          <w:szCs w:val="22"/>
        </w:rPr>
        <w:t xml:space="preserve">n este contexto, la </w:t>
      </w:r>
      <w:r w:rsidRPr="001E6850">
        <w:rPr>
          <w:rFonts w:ascii="Arial Narrow" w:hAnsi="Arial Narrow"/>
          <w:sz w:val="22"/>
          <w:szCs w:val="22"/>
        </w:rPr>
        <w:t xml:space="preserve">literatura </w:t>
      </w:r>
      <w:r w:rsidR="00E17E95">
        <w:rPr>
          <w:rFonts w:ascii="Arial Narrow" w:hAnsi="Arial Narrow"/>
          <w:sz w:val="22"/>
          <w:szCs w:val="22"/>
        </w:rPr>
        <w:t xml:space="preserve">académica reporta </w:t>
      </w:r>
      <w:r w:rsidRPr="001E6850">
        <w:rPr>
          <w:rFonts w:ascii="Arial Narrow" w:hAnsi="Arial Narrow"/>
          <w:sz w:val="22"/>
          <w:szCs w:val="22"/>
        </w:rPr>
        <w:t xml:space="preserve">cinco enfoques dominantes para el suministro de agua </w:t>
      </w:r>
      <w:r w:rsidR="00E17E95">
        <w:rPr>
          <w:rFonts w:ascii="Arial Narrow" w:hAnsi="Arial Narrow"/>
          <w:sz w:val="22"/>
          <w:szCs w:val="22"/>
        </w:rPr>
        <w:t xml:space="preserve">en entornos rurales: </w:t>
      </w:r>
      <w:r w:rsidR="00E17E95" w:rsidRPr="001E6850">
        <w:rPr>
          <w:rFonts w:ascii="Arial Narrow" w:hAnsi="Arial Narrow"/>
          <w:sz w:val="22"/>
          <w:szCs w:val="22"/>
        </w:rPr>
        <w:t xml:space="preserve">Respuesta a la </w:t>
      </w:r>
      <w:r w:rsidR="00E17E95">
        <w:rPr>
          <w:rFonts w:ascii="Arial Narrow" w:hAnsi="Arial Narrow"/>
          <w:sz w:val="22"/>
          <w:szCs w:val="22"/>
        </w:rPr>
        <w:t>d</w:t>
      </w:r>
      <w:r w:rsidR="00E17E95" w:rsidRPr="001E6850">
        <w:rPr>
          <w:rFonts w:ascii="Arial Narrow" w:hAnsi="Arial Narrow"/>
          <w:sz w:val="22"/>
          <w:szCs w:val="22"/>
        </w:rPr>
        <w:t>emanda (DR)</w:t>
      </w:r>
      <w:r w:rsidR="00E17E95">
        <w:rPr>
          <w:rFonts w:ascii="Arial Narrow" w:hAnsi="Arial Narrow"/>
          <w:sz w:val="22"/>
          <w:szCs w:val="22"/>
        </w:rPr>
        <w:t xml:space="preserve">, </w:t>
      </w:r>
      <w:r w:rsidR="00E17E95" w:rsidRPr="001E6850">
        <w:rPr>
          <w:rFonts w:ascii="Arial Narrow" w:hAnsi="Arial Narrow"/>
          <w:sz w:val="22"/>
          <w:szCs w:val="22"/>
        </w:rPr>
        <w:t xml:space="preserve">Gestión </w:t>
      </w:r>
      <w:r w:rsidR="00E17E95">
        <w:rPr>
          <w:rFonts w:ascii="Arial Narrow" w:hAnsi="Arial Narrow"/>
          <w:sz w:val="22"/>
          <w:szCs w:val="22"/>
        </w:rPr>
        <w:t>b</w:t>
      </w:r>
      <w:r w:rsidR="00E17E95" w:rsidRPr="001E6850">
        <w:rPr>
          <w:rFonts w:ascii="Arial Narrow" w:hAnsi="Arial Narrow"/>
          <w:sz w:val="22"/>
          <w:szCs w:val="22"/>
        </w:rPr>
        <w:t xml:space="preserve">asada en la </w:t>
      </w:r>
      <w:r w:rsidR="00E17E95">
        <w:rPr>
          <w:rFonts w:ascii="Arial Narrow" w:hAnsi="Arial Narrow"/>
          <w:sz w:val="22"/>
          <w:szCs w:val="22"/>
        </w:rPr>
        <w:t>c</w:t>
      </w:r>
      <w:r w:rsidR="00E17E95" w:rsidRPr="001E6850">
        <w:rPr>
          <w:rFonts w:ascii="Arial Narrow" w:hAnsi="Arial Narrow"/>
          <w:sz w:val="22"/>
          <w:szCs w:val="22"/>
        </w:rPr>
        <w:t xml:space="preserve">omunidad </w:t>
      </w:r>
      <w:r w:rsidR="00E17E95">
        <w:rPr>
          <w:rFonts w:ascii="Arial Narrow" w:hAnsi="Arial Narrow"/>
          <w:sz w:val="22"/>
          <w:szCs w:val="22"/>
        </w:rPr>
        <w:t>(</w:t>
      </w:r>
      <w:r w:rsidR="00E17E95" w:rsidRPr="001E6850">
        <w:rPr>
          <w:rFonts w:ascii="Arial Narrow" w:hAnsi="Arial Narrow"/>
          <w:sz w:val="22"/>
          <w:szCs w:val="22"/>
        </w:rPr>
        <w:t>CBM</w:t>
      </w:r>
      <w:r w:rsidR="00E17E95">
        <w:rPr>
          <w:rFonts w:ascii="Arial Narrow" w:hAnsi="Arial Narrow"/>
          <w:sz w:val="22"/>
          <w:szCs w:val="22"/>
        </w:rPr>
        <w:t xml:space="preserve">), </w:t>
      </w:r>
      <w:r w:rsidR="003F4768" w:rsidRPr="001E6850">
        <w:rPr>
          <w:rFonts w:ascii="Arial Narrow" w:hAnsi="Arial Narrow"/>
          <w:sz w:val="22"/>
          <w:szCs w:val="22"/>
        </w:rPr>
        <w:t xml:space="preserve">Prestación de </w:t>
      </w:r>
      <w:r w:rsidR="003F4768">
        <w:rPr>
          <w:rFonts w:ascii="Arial Narrow" w:hAnsi="Arial Narrow"/>
          <w:sz w:val="22"/>
          <w:szCs w:val="22"/>
        </w:rPr>
        <w:t>s</w:t>
      </w:r>
      <w:r w:rsidR="003F4768" w:rsidRPr="001E6850">
        <w:rPr>
          <w:rFonts w:ascii="Arial Narrow" w:hAnsi="Arial Narrow"/>
          <w:sz w:val="22"/>
          <w:szCs w:val="22"/>
        </w:rPr>
        <w:t xml:space="preserve">ervicios </w:t>
      </w:r>
      <w:r w:rsidR="003F4768">
        <w:rPr>
          <w:rFonts w:ascii="Arial Narrow" w:hAnsi="Arial Narrow"/>
          <w:sz w:val="22"/>
          <w:szCs w:val="22"/>
        </w:rPr>
        <w:t>(</w:t>
      </w:r>
      <w:r w:rsidR="00E17E95" w:rsidRPr="001E6850">
        <w:rPr>
          <w:rFonts w:ascii="Arial Narrow" w:hAnsi="Arial Narrow"/>
          <w:sz w:val="22"/>
          <w:szCs w:val="22"/>
        </w:rPr>
        <w:t>SD</w:t>
      </w:r>
      <w:r w:rsidR="003F4768">
        <w:rPr>
          <w:rFonts w:ascii="Arial Narrow" w:hAnsi="Arial Narrow"/>
          <w:sz w:val="22"/>
          <w:szCs w:val="22"/>
        </w:rPr>
        <w:t>)</w:t>
      </w:r>
      <w:r w:rsidR="00E17E95">
        <w:rPr>
          <w:rFonts w:ascii="Arial Narrow" w:hAnsi="Arial Narrow"/>
          <w:sz w:val="22"/>
          <w:szCs w:val="22"/>
        </w:rPr>
        <w:t xml:space="preserve">, </w:t>
      </w:r>
      <w:r w:rsidR="003F4768" w:rsidRPr="001E6850">
        <w:rPr>
          <w:rFonts w:ascii="Arial Narrow" w:hAnsi="Arial Narrow"/>
          <w:sz w:val="22"/>
          <w:szCs w:val="22"/>
        </w:rPr>
        <w:t>Gestión Integrada de Recursos Hídricos (GIRH)</w:t>
      </w:r>
      <w:r w:rsidR="00E17E95">
        <w:rPr>
          <w:rFonts w:ascii="Arial Narrow" w:hAnsi="Arial Narrow"/>
          <w:sz w:val="22"/>
          <w:szCs w:val="22"/>
        </w:rPr>
        <w:t xml:space="preserve">, </w:t>
      </w:r>
      <w:r w:rsidR="003F4768" w:rsidRPr="001E6850">
        <w:rPr>
          <w:rFonts w:ascii="Arial Narrow" w:hAnsi="Arial Narrow"/>
          <w:sz w:val="22"/>
          <w:szCs w:val="22"/>
        </w:rPr>
        <w:t>Tecnologías Apropiadas (AT)</w:t>
      </w:r>
      <w:r w:rsidR="003F4768">
        <w:rPr>
          <w:rFonts w:ascii="Arial Narrow" w:hAnsi="Arial Narrow"/>
          <w:sz w:val="22"/>
          <w:szCs w:val="22"/>
        </w:rPr>
        <w:t>.</w:t>
      </w:r>
    </w:p>
    <w:p w14:paraId="658675FF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0F6F8655" w14:textId="4361DFC9" w:rsidR="001E6850" w:rsidRDefault="003F4768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En enfoque </w:t>
      </w:r>
      <w:r w:rsidR="001E6850" w:rsidRPr="001E6850">
        <w:rPr>
          <w:rFonts w:ascii="Arial Narrow" w:hAnsi="Arial Narrow"/>
          <w:sz w:val="22"/>
          <w:szCs w:val="22"/>
        </w:rPr>
        <w:t>DRA</w:t>
      </w:r>
      <w:r>
        <w:rPr>
          <w:rFonts w:ascii="Arial Narrow" w:hAnsi="Arial Narrow"/>
          <w:sz w:val="22"/>
          <w:szCs w:val="22"/>
        </w:rPr>
        <w:t xml:space="preserve"> fue d</w:t>
      </w:r>
      <w:r w:rsidR="001E6850" w:rsidRPr="001E6850">
        <w:rPr>
          <w:rFonts w:ascii="Arial Narrow" w:hAnsi="Arial Narrow"/>
          <w:sz w:val="22"/>
          <w:szCs w:val="22"/>
        </w:rPr>
        <w:t xml:space="preserve">esarrollado </w:t>
      </w:r>
      <w:r>
        <w:rPr>
          <w:rFonts w:ascii="Arial Narrow" w:hAnsi="Arial Narrow"/>
          <w:sz w:val="22"/>
          <w:szCs w:val="22"/>
        </w:rPr>
        <w:t xml:space="preserve">por el </w:t>
      </w:r>
      <w:r w:rsidR="001E6850" w:rsidRPr="001E6850">
        <w:rPr>
          <w:rFonts w:ascii="Arial Narrow" w:hAnsi="Arial Narrow"/>
          <w:sz w:val="22"/>
          <w:szCs w:val="22"/>
        </w:rPr>
        <w:t>Banco Mundial</w:t>
      </w:r>
      <w:r>
        <w:rPr>
          <w:rFonts w:ascii="Arial Narrow" w:hAnsi="Arial Narrow"/>
          <w:sz w:val="22"/>
          <w:szCs w:val="22"/>
        </w:rPr>
        <w:t xml:space="preserve"> y </w:t>
      </w:r>
      <w:r w:rsidR="001E6850" w:rsidRPr="001E6850">
        <w:rPr>
          <w:rFonts w:ascii="Arial Narrow" w:hAnsi="Arial Narrow"/>
          <w:sz w:val="22"/>
          <w:szCs w:val="22"/>
        </w:rPr>
        <w:t xml:space="preserve">promueve la participación activa de comunidades en </w:t>
      </w:r>
      <w:r>
        <w:rPr>
          <w:rFonts w:ascii="Arial Narrow" w:hAnsi="Arial Narrow"/>
          <w:sz w:val="22"/>
          <w:szCs w:val="22"/>
        </w:rPr>
        <w:t xml:space="preserve">procesos de </w:t>
      </w:r>
      <w:r w:rsidR="001E6850" w:rsidRPr="001E6850">
        <w:rPr>
          <w:rFonts w:ascii="Arial Narrow" w:hAnsi="Arial Narrow"/>
          <w:sz w:val="22"/>
          <w:szCs w:val="22"/>
        </w:rPr>
        <w:t>la toma de decisiones y financiamiento de sistema</w:t>
      </w:r>
      <w:r>
        <w:rPr>
          <w:rFonts w:ascii="Arial Narrow" w:hAnsi="Arial Narrow"/>
          <w:sz w:val="22"/>
          <w:szCs w:val="22"/>
        </w:rPr>
        <w:t>s de acueducto</w:t>
      </w:r>
      <w:r w:rsidR="001E6850" w:rsidRPr="001E6850">
        <w:rPr>
          <w:rFonts w:ascii="Arial Narrow" w:hAnsi="Arial Narrow"/>
          <w:sz w:val="22"/>
          <w:szCs w:val="22"/>
        </w:rPr>
        <w:t xml:space="preserve"> (Sara &amp; Katz, 1998). Su principal ventaja </w:t>
      </w:r>
      <w:r>
        <w:rPr>
          <w:rFonts w:ascii="Arial Narrow" w:hAnsi="Arial Narrow"/>
          <w:sz w:val="22"/>
          <w:szCs w:val="22"/>
        </w:rPr>
        <w:t xml:space="preserve">contribuye a generar </w:t>
      </w:r>
      <w:r w:rsidR="001E6850" w:rsidRPr="001E6850">
        <w:rPr>
          <w:rFonts w:ascii="Arial Narrow" w:hAnsi="Arial Narrow"/>
          <w:sz w:val="22"/>
          <w:szCs w:val="22"/>
        </w:rPr>
        <w:t xml:space="preserve">pertenencia </w:t>
      </w:r>
      <w:r>
        <w:rPr>
          <w:rFonts w:ascii="Arial Narrow" w:hAnsi="Arial Narrow"/>
          <w:sz w:val="22"/>
          <w:szCs w:val="22"/>
        </w:rPr>
        <w:t xml:space="preserve">en los usuarios </w:t>
      </w:r>
      <w:r w:rsidR="001E6850" w:rsidRPr="001E6850">
        <w:rPr>
          <w:rFonts w:ascii="Arial Narrow" w:hAnsi="Arial Narrow"/>
          <w:sz w:val="22"/>
          <w:szCs w:val="22"/>
        </w:rPr>
        <w:t xml:space="preserve">y </w:t>
      </w:r>
      <w:r>
        <w:rPr>
          <w:rFonts w:ascii="Arial Narrow" w:hAnsi="Arial Narrow"/>
          <w:sz w:val="22"/>
          <w:szCs w:val="22"/>
        </w:rPr>
        <w:t xml:space="preserve">mejora su </w:t>
      </w:r>
      <w:r w:rsidR="001E6850" w:rsidRPr="001E6850">
        <w:rPr>
          <w:rFonts w:ascii="Arial Narrow" w:hAnsi="Arial Narrow"/>
          <w:sz w:val="22"/>
          <w:szCs w:val="22"/>
        </w:rPr>
        <w:t xml:space="preserve">disposición a pagar </w:t>
      </w:r>
      <w:r>
        <w:rPr>
          <w:rFonts w:ascii="Arial Narrow" w:hAnsi="Arial Narrow"/>
          <w:sz w:val="22"/>
          <w:szCs w:val="22"/>
        </w:rPr>
        <w:t xml:space="preserve">por el servicio </w:t>
      </w:r>
      <w:r w:rsidR="001E6850" w:rsidRPr="001E6850">
        <w:rPr>
          <w:rFonts w:ascii="Arial Narrow" w:hAnsi="Arial Narrow"/>
          <w:sz w:val="22"/>
          <w:szCs w:val="22"/>
        </w:rPr>
        <w:t>(Marks &amp; Davis, 2012). S</w:t>
      </w:r>
      <w:r>
        <w:rPr>
          <w:rFonts w:ascii="Arial Narrow" w:hAnsi="Arial Narrow"/>
          <w:sz w:val="22"/>
          <w:szCs w:val="22"/>
        </w:rPr>
        <w:t xml:space="preserve">in embargo, su implementación </w:t>
      </w:r>
      <w:r w:rsidR="001E6850" w:rsidRPr="001E6850">
        <w:rPr>
          <w:rFonts w:ascii="Arial Narrow" w:hAnsi="Arial Narrow"/>
          <w:sz w:val="22"/>
          <w:szCs w:val="22"/>
        </w:rPr>
        <w:t xml:space="preserve">que puede excluir grupos vulnerables </w:t>
      </w:r>
      <w:r>
        <w:rPr>
          <w:rFonts w:ascii="Arial Narrow" w:hAnsi="Arial Narrow"/>
          <w:sz w:val="22"/>
          <w:szCs w:val="22"/>
        </w:rPr>
        <w:t xml:space="preserve">cuando se requieren </w:t>
      </w:r>
      <w:r w:rsidR="001E6850" w:rsidRPr="001E6850">
        <w:rPr>
          <w:rFonts w:ascii="Arial Narrow" w:hAnsi="Arial Narrow"/>
          <w:sz w:val="22"/>
          <w:szCs w:val="22"/>
        </w:rPr>
        <w:t>aportes económicos previos, y muestra resultados inconsistentes en comunidades con baja capacidad organizativa (Mwangi et al., 2020).</w:t>
      </w:r>
      <w:r>
        <w:rPr>
          <w:rFonts w:ascii="Arial Narrow" w:hAnsi="Arial Narrow"/>
          <w:sz w:val="22"/>
          <w:szCs w:val="22"/>
        </w:rPr>
        <w:t xml:space="preserve"> En este sentido, </w:t>
      </w:r>
      <w:r w:rsidR="001E6850" w:rsidRPr="001E6850">
        <w:rPr>
          <w:rFonts w:ascii="Arial Narrow" w:hAnsi="Arial Narrow"/>
          <w:sz w:val="22"/>
          <w:szCs w:val="22"/>
        </w:rPr>
        <w:t>CBM</w:t>
      </w:r>
      <w:r>
        <w:rPr>
          <w:rFonts w:ascii="Arial Narrow" w:hAnsi="Arial Narrow"/>
          <w:sz w:val="22"/>
          <w:szCs w:val="22"/>
        </w:rPr>
        <w:t xml:space="preserve"> corresponde a un </w:t>
      </w:r>
      <w:r w:rsidR="001E6850" w:rsidRPr="001E6850">
        <w:rPr>
          <w:rFonts w:ascii="Arial Narrow" w:hAnsi="Arial Narrow"/>
          <w:sz w:val="22"/>
          <w:szCs w:val="22"/>
        </w:rPr>
        <w:t xml:space="preserve">modelo más extendido en países </w:t>
      </w:r>
      <w:r>
        <w:rPr>
          <w:rFonts w:ascii="Arial Narrow" w:hAnsi="Arial Narrow"/>
          <w:sz w:val="22"/>
          <w:szCs w:val="22"/>
        </w:rPr>
        <w:t xml:space="preserve">en desarrollo y consiste en transferir </w:t>
      </w:r>
      <w:r w:rsidR="001E6850" w:rsidRPr="001E6850">
        <w:rPr>
          <w:rFonts w:ascii="Arial Narrow" w:hAnsi="Arial Narrow"/>
          <w:sz w:val="22"/>
          <w:szCs w:val="22"/>
        </w:rPr>
        <w:t>la responsabilidad operativa y financiera a comités o juntas comunitarias de agua (Harvey &amp; Reed, 2007)</w:t>
      </w:r>
      <w:r>
        <w:rPr>
          <w:rFonts w:ascii="Arial Narrow" w:hAnsi="Arial Narrow"/>
          <w:sz w:val="22"/>
          <w:szCs w:val="22"/>
        </w:rPr>
        <w:t xml:space="preserve">, lo cual contribuye a reducir </w:t>
      </w:r>
      <w:r w:rsidR="001E6850" w:rsidRPr="001E6850">
        <w:rPr>
          <w:rFonts w:ascii="Arial Narrow" w:hAnsi="Arial Narrow"/>
          <w:sz w:val="22"/>
          <w:szCs w:val="22"/>
        </w:rPr>
        <w:t xml:space="preserve">costos administrativos y </w:t>
      </w:r>
      <w:r>
        <w:rPr>
          <w:rFonts w:ascii="Arial Narrow" w:hAnsi="Arial Narrow"/>
          <w:sz w:val="22"/>
          <w:szCs w:val="22"/>
        </w:rPr>
        <w:t xml:space="preserve">presenta alta adaptabilidad </w:t>
      </w:r>
      <w:r w:rsidR="001E6850" w:rsidRPr="001E6850">
        <w:rPr>
          <w:rFonts w:ascii="Arial Narrow" w:hAnsi="Arial Narrow"/>
          <w:sz w:val="22"/>
          <w:szCs w:val="22"/>
        </w:rPr>
        <w:t xml:space="preserve">a las dinámicas </w:t>
      </w:r>
      <w:r>
        <w:rPr>
          <w:rFonts w:ascii="Arial Narrow" w:hAnsi="Arial Narrow"/>
          <w:sz w:val="22"/>
          <w:szCs w:val="22"/>
        </w:rPr>
        <w:t xml:space="preserve">sociales </w:t>
      </w:r>
      <w:r w:rsidR="001E6850" w:rsidRPr="001E6850">
        <w:rPr>
          <w:rFonts w:ascii="Arial Narrow" w:hAnsi="Arial Narrow"/>
          <w:sz w:val="22"/>
          <w:szCs w:val="22"/>
        </w:rPr>
        <w:t xml:space="preserve">locales. </w:t>
      </w:r>
      <w:r>
        <w:rPr>
          <w:rFonts w:ascii="Arial Narrow" w:hAnsi="Arial Narrow"/>
          <w:sz w:val="22"/>
          <w:szCs w:val="22"/>
        </w:rPr>
        <w:t>No obstante</w:t>
      </w:r>
      <w:r w:rsidR="001E6850" w:rsidRPr="001E6850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se ha reportado </w:t>
      </w:r>
      <w:r w:rsidR="001E6850" w:rsidRPr="001E6850">
        <w:rPr>
          <w:rFonts w:ascii="Arial Narrow" w:hAnsi="Arial Narrow"/>
          <w:sz w:val="22"/>
          <w:szCs w:val="22"/>
        </w:rPr>
        <w:t xml:space="preserve">en África y América Latina </w:t>
      </w:r>
      <w:r>
        <w:rPr>
          <w:rFonts w:ascii="Arial Narrow" w:hAnsi="Arial Narrow"/>
          <w:sz w:val="22"/>
          <w:szCs w:val="22"/>
        </w:rPr>
        <w:t xml:space="preserve">experiencias no exitosas debido a problemas en una apropiada </w:t>
      </w:r>
      <w:r w:rsidR="001E6850" w:rsidRPr="001E6850">
        <w:rPr>
          <w:rFonts w:ascii="Arial Narrow" w:hAnsi="Arial Narrow"/>
          <w:sz w:val="22"/>
          <w:szCs w:val="22"/>
        </w:rPr>
        <w:t xml:space="preserve">capacitación técnica, conflictos internos y limitaciones financieras para </w:t>
      </w:r>
      <w:r>
        <w:rPr>
          <w:rFonts w:ascii="Arial Narrow" w:hAnsi="Arial Narrow"/>
          <w:sz w:val="22"/>
          <w:szCs w:val="22"/>
        </w:rPr>
        <w:t xml:space="preserve">asumir </w:t>
      </w:r>
      <w:r w:rsidR="001E6850" w:rsidRPr="001E6850">
        <w:rPr>
          <w:rFonts w:ascii="Arial Narrow" w:hAnsi="Arial Narrow"/>
          <w:sz w:val="22"/>
          <w:szCs w:val="22"/>
        </w:rPr>
        <w:t xml:space="preserve">el mantenimiento </w:t>
      </w:r>
      <w:r>
        <w:rPr>
          <w:rFonts w:ascii="Arial Narrow" w:hAnsi="Arial Narrow"/>
          <w:sz w:val="22"/>
          <w:szCs w:val="22"/>
        </w:rPr>
        <w:t xml:space="preserve">del sistema de abasto </w:t>
      </w:r>
      <w:r w:rsidR="001E6850" w:rsidRPr="001E6850">
        <w:rPr>
          <w:rFonts w:ascii="Arial Narrow" w:hAnsi="Arial Narrow"/>
          <w:sz w:val="22"/>
          <w:szCs w:val="22"/>
        </w:rPr>
        <w:t xml:space="preserve">(Cronk &amp; Bartram, 2017; Foster &amp; Hope, 2016). </w:t>
      </w:r>
      <w:r>
        <w:rPr>
          <w:rFonts w:ascii="Arial Narrow" w:hAnsi="Arial Narrow"/>
          <w:sz w:val="22"/>
          <w:szCs w:val="22"/>
        </w:rPr>
        <w:t xml:space="preserve">De modo que, se ha identificado que la sostenibilidad del sistema </w:t>
      </w:r>
      <w:r w:rsidR="001E6850" w:rsidRPr="001E6850">
        <w:rPr>
          <w:rFonts w:ascii="Arial Narrow" w:hAnsi="Arial Narrow"/>
          <w:sz w:val="22"/>
          <w:szCs w:val="22"/>
        </w:rPr>
        <w:t xml:space="preserve">mejora cuando se </w:t>
      </w:r>
      <w:r>
        <w:rPr>
          <w:rFonts w:ascii="Arial Narrow" w:hAnsi="Arial Narrow"/>
          <w:sz w:val="22"/>
          <w:szCs w:val="22"/>
        </w:rPr>
        <w:t>cuenta</w:t>
      </w:r>
      <w:r w:rsidR="001E6850" w:rsidRPr="001E6850">
        <w:rPr>
          <w:rFonts w:ascii="Arial Narrow" w:hAnsi="Arial Narrow"/>
          <w:sz w:val="22"/>
          <w:szCs w:val="22"/>
        </w:rPr>
        <w:t xml:space="preserve"> con apoyo técnico externo </w:t>
      </w:r>
      <w:r>
        <w:rPr>
          <w:rFonts w:ascii="Arial Narrow" w:hAnsi="Arial Narrow"/>
          <w:sz w:val="22"/>
          <w:szCs w:val="22"/>
        </w:rPr>
        <w:t xml:space="preserve">permanente </w:t>
      </w:r>
      <w:r w:rsidR="001E6850" w:rsidRPr="001E6850">
        <w:rPr>
          <w:rFonts w:ascii="Arial Narrow" w:hAnsi="Arial Narrow"/>
          <w:sz w:val="22"/>
          <w:szCs w:val="22"/>
        </w:rPr>
        <w:t>(Schweitzer &amp; Mihelcic, 2012).</w:t>
      </w:r>
    </w:p>
    <w:p w14:paraId="5A576074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1CB8C9BF" w14:textId="535B633E" w:rsidR="001E6850" w:rsidRDefault="008007B6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Por otra parte, </w:t>
      </w:r>
      <w:r w:rsidR="001E6850" w:rsidRPr="001E6850">
        <w:rPr>
          <w:rFonts w:ascii="Arial Narrow" w:hAnsi="Arial Narrow"/>
          <w:sz w:val="22"/>
          <w:szCs w:val="22"/>
        </w:rPr>
        <w:t>SDA</w:t>
      </w:r>
      <w:r>
        <w:rPr>
          <w:rFonts w:ascii="Arial Narrow" w:hAnsi="Arial Narrow"/>
          <w:sz w:val="22"/>
          <w:szCs w:val="22"/>
        </w:rPr>
        <w:t xml:space="preserve">, </w:t>
      </w:r>
      <w:r w:rsidR="00CC50E2">
        <w:rPr>
          <w:rFonts w:ascii="Arial Narrow" w:hAnsi="Arial Narrow"/>
          <w:sz w:val="22"/>
          <w:szCs w:val="22"/>
        </w:rPr>
        <w:t>s</w:t>
      </w:r>
      <w:r w:rsidR="001E6850" w:rsidRPr="001E6850">
        <w:rPr>
          <w:rFonts w:ascii="Arial Narrow" w:hAnsi="Arial Narrow"/>
          <w:sz w:val="22"/>
          <w:szCs w:val="22"/>
        </w:rPr>
        <w:t>urge como respuesta a las debilidades del CBM</w:t>
      </w:r>
      <w:r>
        <w:rPr>
          <w:rFonts w:ascii="Arial Narrow" w:hAnsi="Arial Narrow"/>
          <w:sz w:val="22"/>
          <w:szCs w:val="22"/>
        </w:rPr>
        <w:t xml:space="preserve">. De modo que se propone la </w:t>
      </w:r>
      <w:r w:rsidR="001E6850" w:rsidRPr="001E6850">
        <w:rPr>
          <w:rFonts w:ascii="Arial Narrow" w:hAnsi="Arial Narrow"/>
          <w:sz w:val="22"/>
          <w:szCs w:val="22"/>
        </w:rPr>
        <w:t xml:space="preserve">profesionalización del servicio dentro de </w:t>
      </w:r>
      <w:r>
        <w:rPr>
          <w:rFonts w:ascii="Arial Narrow" w:hAnsi="Arial Narrow"/>
          <w:sz w:val="22"/>
          <w:szCs w:val="22"/>
        </w:rPr>
        <w:t xml:space="preserve">un </w:t>
      </w:r>
      <w:r w:rsidR="001E6850" w:rsidRPr="001E6850">
        <w:rPr>
          <w:rFonts w:ascii="Arial Narrow" w:hAnsi="Arial Narrow"/>
          <w:sz w:val="22"/>
          <w:szCs w:val="22"/>
        </w:rPr>
        <w:t>marco regulatorio</w:t>
      </w:r>
      <w:r>
        <w:rPr>
          <w:rFonts w:ascii="Arial Narrow" w:hAnsi="Arial Narrow"/>
          <w:sz w:val="22"/>
          <w:szCs w:val="22"/>
        </w:rPr>
        <w:t xml:space="preserve"> y la posibilidad de disponer de </w:t>
      </w:r>
      <w:r w:rsidR="001E6850" w:rsidRPr="001E6850">
        <w:rPr>
          <w:rFonts w:ascii="Arial Narrow" w:hAnsi="Arial Narrow"/>
          <w:sz w:val="22"/>
          <w:szCs w:val="22"/>
        </w:rPr>
        <w:t xml:space="preserve">soporte </w:t>
      </w:r>
      <w:r>
        <w:rPr>
          <w:rFonts w:ascii="Arial Narrow" w:hAnsi="Arial Narrow"/>
          <w:sz w:val="22"/>
          <w:szCs w:val="22"/>
        </w:rPr>
        <w:t xml:space="preserve">técnico </w:t>
      </w:r>
      <w:r w:rsidR="001E6850" w:rsidRPr="001E6850">
        <w:rPr>
          <w:rFonts w:ascii="Arial Narrow" w:hAnsi="Arial Narrow"/>
          <w:sz w:val="22"/>
          <w:szCs w:val="22"/>
        </w:rPr>
        <w:t xml:space="preserve">externo </w:t>
      </w:r>
      <w:r>
        <w:rPr>
          <w:rFonts w:ascii="Arial Narrow" w:hAnsi="Arial Narrow"/>
          <w:sz w:val="22"/>
          <w:szCs w:val="22"/>
        </w:rPr>
        <w:t>permanente</w:t>
      </w:r>
      <w:r w:rsidR="001E6850" w:rsidRPr="001E6850">
        <w:rPr>
          <w:rFonts w:ascii="Arial Narrow" w:hAnsi="Arial Narrow"/>
          <w:sz w:val="22"/>
          <w:szCs w:val="22"/>
        </w:rPr>
        <w:t xml:space="preserve"> (Lockwood &amp; Smits, 2011)</w:t>
      </w:r>
      <w:r w:rsidR="007B3574">
        <w:rPr>
          <w:rFonts w:ascii="Arial Narrow" w:hAnsi="Arial Narrow"/>
          <w:sz w:val="22"/>
          <w:szCs w:val="22"/>
        </w:rPr>
        <w:t xml:space="preserve">, lo cual </w:t>
      </w:r>
      <w:r w:rsidR="001E6850" w:rsidRPr="001E6850">
        <w:rPr>
          <w:rFonts w:ascii="Arial Narrow" w:hAnsi="Arial Narrow"/>
          <w:sz w:val="22"/>
          <w:szCs w:val="22"/>
        </w:rPr>
        <w:t xml:space="preserve">mejora la calidad del servicio y la </w:t>
      </w:r>
      <w:r w:rsidR="003D5E28">
        <w:rPr>
          <w:rFonts w:ascii="Arial Narrow" w:hAnsi="Arial Narrow"/>
          <w:sz w:val="22"/>
          <w:szCs w:val="22"/>
        </w:rPr>
        <w:t xml:space="preserve">estabilidad económica del sistema de abasto. Sin embargo, esto implica que se incrementan los costos </w:t>
      </w:r>
      <w:r w:rsidR="001E6850" w:rsidRPr="001E6850">
        <w:rPr>
          <w:rFonts w:ascii="Arial Narrow" w:hAnsi="Arial Narrow"/>
          <w:sz w:val="22"/>
          <w:szCs w:val="22"/>
        </w:rPr>
        <w:t>institucional</w:t>
      </w:r>
      <w:r w:rsidR="003D5E28">
        <w:rPr>
          <w:rFonts w:ascii="Arial Narrow" w:hAnsi="Arial Narrow"/>
          <w:sz w:val="22"/>
          <w:szCs w:val="22"/>
        </w:rPr>
        <w:t>es, así como</w:t>
      </w:r>
      <w:r w:rsidR="001E6850" w:rsidRPr="001E6850">
        <w:rPr>
          <w:rFonts w:ascii="Arial Narrow" w:hAnsi="Arial Narrow"/>
          <w:sz w:val="22"/>
          <w:szCs w:val="22"/>
        </w:rPr>
        <w:t xml:space="preserve"> la dependencia de capacidades estatales</w:t>
      </w:r>
      <w:r w:rsidR="003D5E28">
        <w:rPr>
          <w:rFonts w:ascii="Arial Narrow" w:hAnsi="Arial Narrow"/>
          <w:sz w:val="22"/>
          <w:szCs w:val="22"/>
        </w:rPr>
        <w:t xml:space="preserve">, las cuales pueden ser incipientes en municipios menores y entornos </w:t>
      </w:r>
      <w:r w:rsidR="001E6850" w:rsidRPr="001E6850">
        <w:rPr>
          <w:rFonts w:ascii="Arial Narrow" w:hAnsi="Arial Narrow"/>
          <w:sz w:val="22"/>
          <w:szCs w:val="22"/>
        </w:rPr>
        <w:t>rurales (Starkl et al., 2013; Kayser et al., 2015).</w:t>
      </w:r>
      <w:r w:rsidR="00AC25FC">
        <w:rPr>
          <w:rFonts w:ascii="Arial Narrow" w:hAnsi="Arial Narrow"/>
          <w:sz w:val="22"/>
          <w:szCs w:val="22"/>
        </w:rPr>
        <w:t xml:space="preserve"> En este sentido, la </w:t>
      </w:r>
      <w:r w:rsidR="001E6850" w:rsidRPr="001E6850">
        <w:rPr>
          <w:rFonts w:ascii="Arial Narrow" w:hAnsi="Arial Narrow"/>
          <w:sz w:val="22"/>
          <w:szCs w:val="22"/>
        </w:rPr>
        <w:t>GIRH</w:t>
      </w:r>
      <w:r w:rsidR="00AC25FC">
        <w:rPr>
          <w:rFonts w:ascii="Arial Narrow" w:hAnsi="Arial Narrow"/>
          <w:sz w:val="22"/>
          <w:szCs w:val="22"/>
        </w:rPr>
        <w:t xml:space="preserve"> ha proporcionado </w:t>
      </w:r>
      <w:r w:rsidR="001E6850" w:rsidRPr="001E6850">
        <w:rPr>
          <w:rFonts w:ascii="Arial Narrow" w:hAnsi="Arial Narrow"/>
          <w:sz w:val="22"/>
          <w:szCs w:val="22"/>
        </w:rPr>
        <w:t xml:space="preserve">un marco sistémico a nivel de cuenca </w:t>
      </w:r>
      <w:r w:rsidR="00AC25FC">
        <w:rPr>
          <w:rFonts w:ascii="Arial Narrow" w:hAnsi="Arial Narrow"/>
          <w:sz w:val="22"/>
          <w:szCs w:val="22"/>
        </w:rPr>
        <w:t xml:space="preserve">hidrográfica </w:t>
      </w:r>
      <w:r w:rsidR="001E6850" w:rsidRPr="001E6850">
        <w:rPr>
          <w:rFonts w:ascii="Arial Narrow" w:hAnsi="Arial Narrow"/>
          <w:sz w:val="22"/>
          <w:szCs w:val="22"/>
        </w:rPr>
        <w:t xml:space="preserve">que integra simultáneamente factores ambientales, económicos y sociales (GWP, </w:t>
      </w:r>
      <w:r w:rsidR="001E6850" w:rsidRPr="001E6850">
        <w:rPr>
          <w:rFonts w:ascii="Arial Narrow" w:hAnsi="Arial Narrow"/>
          <w:sz w:val="22"/>
          <w:szCs w:val="22"/>
        </w:rPr>
        <w:lastRenderedPageBreak/>
        <w:t xml:space="preserve">2000), </w:t>
      </w:r>
      <w:r w:rsidR="00AC25FC">
        <w:rPr>
          <w:rFonts w:ascii="Arial Narrow" w:hAnsi="Arial Narrow"/>
          <w:sz w:val="22"/>
          <w:szCs w:val="22"/>
        </w:rPr>
        <w:t xml:space="preserve">y es consistente </w:t>
      </w:r>
      <w:r w:rsidR="001E6850" w:rsidRPr="001E6850">
        <w:rPr>
          <w:rFonts w:ascii="Arial Narrow" w:hAnsi="Arial Narrow"/>
          <w:sz w:val="22"/>
          <w:szCs w:val="22"/>
        </w:rPr>
        <w:t xml:space="preserve">el ODS 6.5. </w:t>
      </w:r>
      <w:r w:rsidR="00AC25FC">
        <w:rPr>
          <w:rFonts w:ascii="Arial Narrow" w:hAnsi="Arial Narrow"/>
          <w:sz w:val="22"/>
          <w:szCs w:val="22"/>
        </w:rPr>
        <w:t xml:space="preserve">Sin embargo, su implementación requiere </w:t>
      </w:r>
      <w:r w:rsidR="001E6850" w:rsidRPr="001E6850">
        <w:rPr>
          <w:rFonts w:ascii="Arial Narrow" w:hAnsi="Arial Narrow"/>
          <w:sz w:val="22"/>
          <w:szCs w:val="22"/>
        </w:rPr>
        <w:t xml:space="preserve">de información hidrometeorológica detallada </w:t>
      </w:r>
      <w:r w:rsidR="00AC25FC">
        <w:rPr>
          <w:rFonts w:ascii="Arial Narrow" w:hAnsi="Arial Narrow"/>
          <w:sz w:val="22"/>
          <w:szCs w:val="22"/>
        </w:rPr>
        <w:t xml:space="preserve">que en muchos casos podría ser escasa en </w:t>
      </w:r>
      <w:r w:rsidR="001E6850" w:rsidRPr="001E6850">
        <w:rPr>
          <w:rFonts w:ascii="Arial Narrow" w:hAnsi="Arial Narrow"/>
          <w:sz w:val="22"/>
          <w:szCs w:val="22"/>
        </w:rPr>
        <w:t>la mayoría de comunidades rurales (Jiménez &amp; Pérez-Foguet, 2010).</w:t>
      </w:r>
      <w:r w:rsidR="00AC25FC">
        <w:rPr>
          <w:rFonts w:ascii="Arial Narrow" w:hAnsi="Arial Narrow"/>
          <w:sz w:val="22"/>
          <w:szCs w:val="22"/>
        </w:rPr>
        <w:t xml:space="preserve"> Por lo tanto, el enfoque </w:t>
      </w:r>
      <w:r w:rsidR="001E6850" w:rsidRPr="001E6850">
        <w:rPr>
          <w:rFonts w:ascii="Arial Narrow" w:hAnsi="Arial Narrow"/>
          <w:sz w:val="22"/>
          <w:szCs w:val="22"/>
        </w:rPr>
        <w:t>AT</w:t>
      </w:r>
      <w:r w:rsidR="00AC25FC">
        <w:rPr>
          <w:rFonts w:ascii="Arial Narrow" w:hAnsi="Arial Narrow"/>
          <w:sz w:val="22"/>
          <w:szCs w:val="22"/>
        </w:rPr>
        <w:t xml:space="preserve"> propone la implementación de </w:t>
      </w:r>
      <w:r w:rsidR="001E6850" w:rsidRPr="001E6850">
        <w:rPr>
          <w:rFonts w:ascii="Arial Narrow" w:hAnsi="Arial Narrow"/>
          <w:sz w:val="22"/>
          <w:szCs w:val="22"/>
        </w:rPr>
        <w:t>soluciones de bajo costo —filtros lentos de arena, cloración solar, sistemas por gravedad, captación de lluvia—</w:t>
      </w:r>
      <w:r w:rsidR="00AC25FC">
        <w:rPr>
          <w:rFonts w:ascii="Arial Narrow" w:hAnsi="Arial Narrow"/>
          <w:sz w:val="22"/>
          <w:szCs w:val="22"/>
        </w:rPr>
        <w:t>, los cuales se incorporan en el RAS Rural como tecnologías alternativas, las cuales pueden ser</w:t>
      </w:r>
      <w:r w:rsidR="001E6850" w:rsidRPr="001E6850">
        <w:rPr>
          <w:rFonts w:ascii="Arial Narrow" w:hAnsi="Arial Narrow"/>
          <w:sz w:val="22"/>
          <w:szCs w:val="22"/>
        </w:rPr>
        <w:t xml:space="preserve"> adaptadas al contexto cultural y económico de las comunidades </w:t>
      </w:r>
      <w:r w:rsidR="00AC25FC">
        <w:rPr>
          <w:rFonts w:ascii="Arial Narrow" w:hAnsi="Arial Narrow"/>
          <w:sz w:val="22"/>
          <w:szCs w:val="22"/>
        </w:rPr>
        <w:t xml:space="preserve">rurales </w:t>
      </w:r>
      <w:r w:rsidR="001E6850" w:rsidRPr="001E6850">
        <w:rPr>
          <w:rFonts w:ascii="Arial Narrow" w:hAnsi="Arial Narrow"/>
          <w:sz w:val="22"/>
          <w:szCs w:val="22"/>
        </w:rPr>
        <w:t xml:space="preserve">(Mihelcic et al., 2009). </w:t>
      </w:r>
      <w:r w:rsidR="00AC25FC">
        <w:rPr>
          <w:rFonts w:ascii="Arial Narrow" w:hAnsi="Arial Narrow"/>
          <w:sz w:val="22"/>
          <w:szCs w:val="22"/>
        </w:rPr>
        <w:t xml:space="preserve">En este sentido, este enfoque ha contribuido a </w:t>
      </w:r>
      <w:r w:rsidR="001E6850" w:rsidRPr="001E6850">
        <w:rPr>
          <w:rFonts w:ascii="Arial Narrow" w:hAnsi="Arial Narrow"/>
          <w:sz w:val="22"/>
          <w:szCs w:val="22"/>
        </w:rPr>
        <w:t>reducir enfermedades diarreicas</w:t>
      </w:r>
      <w:r w:rsidR="00AC25FC">
        <w:rPr>
          <w:rFonts w:ascii="Arial Narrow" w:hAnsi="Arial Narrow"/>
          <w:sz w:val="22"/>
          <w:szCs w:val="22"/>
        </w:rPr>
        <w:t xml:space="preserve">, lo cual </w:t>
      </w:r>
      <w:r w:rsidR="001E6850" w:rsidRPr="001E6850">
        <w:rPr>
          <w:rFonts w:ascii="Arial Narrow" w:hAnsi="Arial Narrow"/>
          <w:sz w:val="22"/>
          <w:szCs w:val="22"/>
        </w:rPr>
        <w:t>está ampliamente documentad (</w:t>
      </w:r>
      <w:r w:rsidR="00AC25FC">
        <w:rPr>
          <w:rFonts w:ascii="Arial Narrow" w:hAnsi="Arial Narrow"/>
          <w:sz w:val="22"/>
          <w:szCs w:val="22"/>
        </w:rPr>
        <w:t xml:space="preserve">ej: </w:t>
      </w:r>
      <w:r w:rsidR="001E6850" w:rsidRPr="001E6850">
        <w:rPr>
          <w:rFonts w:ascii="Arial Narrow" w:hAnsi="Arial Narrow"/>
          <w:sz w:val="22"/>
          <w:szCs w:val="22"/>
        </w:rPr>
        <w:t>Boisson et al., 2013; Cairncross et al., 2010)</w:t>
      </w:r>
      <w:r w:rsidR="004E1658">
        <w:rPr>
          <w:rFonts w:ascii="Arial Narrow" w:hAnsi="Arial Narrow"/>
          <w:sz w:val="22"/>
          <w:szCs w:val="22"/>
        </w:rPr>
        <w:t xml:space="preserve">. Sin embargo, aunque </w:t>
      </w:r>
      <w:r w:rsidR="001E6850" w:rsidRPr="001E6850">
        <w:rPr>
          <w:rFonts w:ascii="Arial Narrow" w:hAnsi="Arial Narrow"/>
          <w:sz w:val="22"/>
          <w:szCs w:val="22"/>
        </w:rPr>
        <w:t xml:space="preserve">sistemas de membrana </w:t>
      </w:r>
      <w:r w:rsidR="004E1658">
        <w:rPr>
          <w:rFonts w:ascii="Arial Narrow" w:hAnsi="Arial Narrow"/>
          <w:sz w:val="22"/>
          <w:szCs w:val="22"/>
        </w:rPr>
        <w:t xml:space="preserve">pueden ser una opción </w:t>
      </w:r>
      <w:r w:rsidR="001E6850" w:rsidRPr="001E6850">
        <w:rPr>
          <w:rFonts w:ascii="Arial Narrow" w:hAnsi="Arial Narrow"/>
          <w:sz w:val="22"/>
          <w:szCs w:val="22"/>
        </w:rPr>
        <w:t>para comunidades sin electricidad (Peter-Varbanets et al., 2009)</w:t>
      </w:r>
      <w:r w:rsidR="004E1658">
        <w:rPr>
          <w:rFonts w:ascii="Arial Narrow" w:hAnsi="Arial Narrow"/>
          <w:sz w:val="22"/>
          <w:szCs w:val="22"/>
        </w:rPr>
        <w:t xml:space="preserve">, los costos de mantenimiento y operación, así como factores como la </w:t>
      </w:r>
      <w:r w:rsidR="001E6850" w:rsidRPr="001E6850">
        <w:rPr>
          <w:rFonts w:ascii="Arial Narrow" w:hAnsi="Arial Narrow"/>
          <w:sz w:val="22"/>
          <w:szCs w:val="22"/>
        </w:rPr>
        <w:t xml:space="preserve">distancia al punto de </w:t>
      </w:r>
      <w:r w:rsidR="004E1658">
        <w:rPr>
          <w:rFonts w:ascii="Arial Narrow" w:hAnsi="Arial Narrow"/>
          <w:sz w:val="22"/>
          <w:szCs w:val="22"/>
        </w:rPr>
        <w:t>consumo, influye en la sostenibilidad del sistema en un entorno comunitario</w:t>
      </w:r>
      <w:r w:rsidR="001E6850" w:rsidRPr="001E6850">
        <w:rPr>
          <w:rFonts w:ascii="Arial Narrow" w:hAnsi="Arial Narrow"/>
          <w:sz w:val="22"/>
          <w:szCs w:val="22"/>
        </w:rPr>
        <w:t xml:space="preserve"> (Pickering &amp; Davis, 2012)</w:t>
      </w:r>
      <w:r w:rsidR="004E1658">
        <w:rPr>
          <w:rFonts w:ascii="Arial Narrow" w:hAnsi="Arial Narrow"/>
          <w:sz w:val="22"/>
          <w:szCs w:val="22"/>
        </w:rPr>
        <w:t xml:space="preserve">, de modo que si el diseño no se adapta a la condiciones particulares de cada comunidad es difícil alcanzar la sostenibilidad y </w:t>
      </w:r>
      <w:r w:rsidR="001E6850" w:rsidRPr="001E6850">
        <w:rPr>
          <w:rFonts w:ascii="Arial Narrow" w:hAnsi="Arial Narrow"/>
          <w:sz w:val="22"/>
          <w:szCs w:val="22"/>
        </w:rPr>
        <w:t xml:space="preserve">los estándares </w:t>
      </w:r>
      <w:r w:rsidR="004E1658">
        <w:rPr>
          <w:rFonts w:ascii="Arial Narrow" w:hAnsi="Arial Narrow"/>
          <w:sz w:val="22"/>
          <w:szCs w:val="22"/>
        </w:rPr>
        <w:t xml:space="preserve">definidos por </w:t>
      </w:r>
      <w:r w:rsidR="001E6850" w:rsidRPr="001E6850">
        <w:rPr>
          <w:rFonts w:ascii="Arial Narrow" w:hAnsi="Arial Narrow"/>
          <w:sz w:val="22"/>
          <w:szCs w:val="22"/>
        </w:rPr>
        <w:t>el RAS Rural</w:t>
      </w:r>
      <w:r w:rsidR="004E1658">
        <w:rPr>
          <w:rFonts w:ascii="Arial Narrow" w:hAnsi="Arial Narrow"/>
          <w:sz w:val="22"/>
          <w:szCs w:val="22"/>
        </w:rPr>
        <w:t xml:space="preserve"> en Colombia.</w:t>
      </w:r>
    </w:p>
    <w:p w14:paraId="0247BF69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771F075C" w14:textId="227A6A53" w:rsidR="00CC50E2" w:rsidRDefault="00955CB5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Un </w:t>
      </w:r>
      <w:r w:rsidR="001E6850" w:rsidRPr="001E6850">
        <w:rPr>
          <w:rFonts w:ascii="Arial Narrow" w:hAnsi="Arial Narrow"/>
          <w:sz w:val="22"/>
          <w:szCs w:val="22"/>
        </w:rPr>
        <w:t xml:space="preserve">análisis comparativo de </w:t>
      </w:r>
      <w:r>
        <w:rPr>
          <w:rFonts w:ascii="Arial Narrow" w:hAnsi="Arial Narrow"/>
          <w:sz w:val="22"/>
          <w:szCs w:val="22"/>
        </w:rPr>
        <w:t xml:space="preserve">estos </w:t>
      </w:r>
      <w:r w:rsidR="001E6850" w:rsidRPr="001E6850">
        <w:rPr>
          <w:rFonts w:ascii="Arial Narrow" w:hAnsi="Arial Narrow"/>
          <w:sz w:val="22"/>
          <w:szCs w:val="22"/>
        </w:rPr>
        <w:t xml:space="preserve">cinco enfoques revela cuatro brechas </w:t>
      </w:r>
      <w:r>
        <w:rPr>
          <w:rFonts w:ascii="Arial Narrow" w:hAnsi="Arial Narrow"/>
          <w:sz w:val="22"/>
          <w:szCs w:val="22"/>
        </w:rPr>
        <w:t xml:space="preserve">principalmente: 1) se han implementado y reportado estudios principalmente en </w:t>
      </w:r>
      <w:r w:rsidR="001E6850" w:rsidRPr="001E6850">
        <w:rPr>
          <w:rFonts w:ascii="Arial Narrow" w:hAnsi="Arial Narrow"/>
          <w:sz w:val="22"/>
          <w:szCs w:val="22"/>
        </w:rPr>
        <w:t>africanos o asiáticos</w:t>
      </w:r>
      <w:r>
        <w:rPr>
          <w:rFonts w:ascii="Arial Narrow" w:hAnsi="Arial Narrow"/>
          <w:sz w:val="22"/>
          <w:szCs w:val="22"/>
        </w:rPr>
        <w:t xml:space="preserve"> y</w:t>
      </w:r>
      <w:r w:rsidR="001E6850" w:rsidRPr="001E6850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menos casos, además con escasa información</w:t>
      </w:r>
      <w:r w:rsidR="001E6850" w:rsidRPr="001E6850">
        <w:rPr>
          <w:rFonts w:ascii="Arial Narrow" w:hAnsi="Arial Narrow"/>
          <w:sz w:val="22"/>
          <w:szCs w:val="22"/>
        </w:rPr>
        <w:t xml:space="preserve"> en América Latina (Jiménez &amp; Pérez-Foguet, 2010). </w:t>
      </w:r>
      <w:r w:rsidR="00CC50E2">
        <w:rPr>
          <w:rFonts w:ascii="Arial Narrow" w:hAnsi="Arial Narrow"/>
          <w:sz w:val="22"/>
          <w:szCs w:val="22"/>
        </w:rPr>
        <w:t>2)</w:t>
      </w:r>
      <w:r w:rsidR="001E6850" w:rsidRPr="001E6850">
        <w:rPr>
          <w:rFonts w:ascii="Arial Narrow" w:hAnsi="Arial Narrow"/>
          <w:sz w:val="22"/>
          <w:szCs w:val="22"/>
        </w:rPr>
        <w:t xml:space="preserve"> la integración de herramientas digitales —IoT y telemetría de bajo costo— con modelos de gestión comunitaria es incipiente (Thomson et al., 2012; Cronk &amp; Bartram, 2017). </w:t>
      </w:r>
      <w:r w:rsidR="00CC50E2">
        <w:rPr>
          <w:rFonts w:ascii="Arial Narrow" w:hAnsi="Arial Narrow"/>
          <w:sz w:val="22"/>
          <w:szCs w:val="22"/>
        </w:rPr>
        <w:t xml:space="preserve">3) </w:t>
      </w:r>
      <w:r w:rsidR="001E6850" w:rsidRPr="001E6850">
        <w:rPr>
          <w:rFonts w:ascii="Arial Narrow" w:hAnsi="Arial Narrow"/>
          <w:sz w:val="22"/>
          <w:szCs w:val="22"/>
        </w:rPr>
        <w:t xml:space="preserve">el RAS Rural establece estándares técnicos, pero no provee métricas de sostenibilidad social y financiera a largo plazo (MVCT, 2017). </w:t>
      </w:r>
      <w:r w:rsidR="00CC50E2">
        <w:rPr>
          <w:rFonts w:ascii="Arial Narrow" w:hAnsi="Arial Narrow"/>
          <w:sz w:val="22"/>
          <w:szCs w:val="22"/>
        </w:rPr>
        <w:t xml:space="preserve">4) </w:t>
      </w:r>
      <w:r w:rsidR="001E6850" w:rsidRPr="001E6850">
        <w:rPr>
          <w:rFonts w:ascii="Arial Narrow" w:hAnsi="Arial Narrow"/>
          <w:sz w:val="22"/>
          <w:szCs w:val="22"/>
        </w:rPr>
        <w:t>la medición de equidad en el acceso (Luh et al., 2013), el análisis costo-beneficio de intervenciones WASH (Hutton et al., 2007; Moe &amp; Rheingans, 2006), la medición sistemática de indicadores WASH (Giné-Garriga et al., 2013) y la gestión del suministro intermitente (Kumpel &amp; Nelson, 2016) presentan vacíos metodológicos urgentes en el contexto colombiano.</w:t>
      </w:r>
      <w:r w:rsidR="00CC50E2">
        <w:rPr>
          <w:rFonts w:ascii="Arial Narrow" w:hAnsi="Arial Narrow"/>
          <w:sz w:val="22"/>
          <w:szCs w:val="22"/>
        </w:rPr>
        <w:t xml:space="preserve"> En este sentido, se requiere desarrollar enfoques que conduzcan a mejorar la sostenibilidad de los sistemas de acueducto rural y genere condiciones de apropiación </w:t>
      </w:r>
      <w:r w:rsidR="001E6850" w:rsidRPr="001E6850">
        <w:rPr>
          <w:rFonts w:ascii="Arial Narrow" w:hAnsi="Arial Narrow"/>
          <w:sz w:val="22"/>
          <w:szCs w:val="22"/>
        </w:rPr>
        <w:t>social del conocimiento y la tecnología</w:t>
      </w:r>
      <w:r w:rsidR="00CC50E2">
        <w:rPr>
          <w:rFonts w:ascii="Arial Narrow" w:hAnsi="Arial Narrow"/>
          <w:sz w:val="22"/>
          <w:szCs w:val="22"/>
        </w:rPr>
        <w:t>. De modo que, u</w:t>
      </w:r>
      <w:r w:rsidR="001E6850" w:rsidRPr="001E6850">
        <w:rPr>
          <w:rFonts w:ascii="Arial Narrow" w:hAnsi="Arial Narrow"/>
          <w:sz w:val="22"/>
          <w:szCs w:val="22"/>
        </w:rPr>
        <w:t xml:space="preserve">na brecha transversal a todos los enfoques </w:t>
      </w:r>
      <w:r w:rsidR="00CC50E2">
        <w:rPr>
          <w:rFonts w:ascii="Arial Narrow" w:hAnsi="Arial Narrow"/>
          <w:sz w:val="22"/>
          <w:szCs w:val="22"/>
        </w:rPr>
        <w:t xml:space="preserve">aquí discutidos </w:t>
      </w:r>
      <w:r w:rsidR="001E6850" w:rsidRPr="001E6850">
        <w:rPr>
          <w:rFonts w:ascii="Arial Narrow" w:hAnsi="Arial Narrow"/>
          <w:sz w:val="22"/>
          <w:szCs w:val="22"/>
        </w:rPr>
        <w:t xml:space="preserve">es el abandono de tecnologías prometedoras una vez que el apoyo externo se retira (Cronk &amp; Bartram, 2017; Foster &amp; Hope, 2016). </w:t>
      </w:r>
    </w:p>
    <w:p w14:paraId="71E31D12" w14:textId="77777777" w:rsidR="00751561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748C9616" w14:textId="542908B1" w:rsidR="001E6850" w:rsidRPr="001E6850" w:rsidRDefault="00CC50E2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este contexto, l</w:t>
      </w:r>
      <w:r w:rsidR="001E6850" w:rsidRPr="001E6850">
        <w:rPr>
          <w:rFonts w:ascii="Arial Narrow" w:hAnsi="Arial Narrow"/>
          <w:sz w:val="22"/>
          <w:szCs w:val="22"/>
        </w:rPr>
        <w:t xml:space="preserve">a Investigación </w:t>
      </w:r>
      <w:r>
        <w:rPr>
          <w:rFonts w:ascii="Arial Narrow" w:hAnsi="Arial Narrow"/>
          <w:sz w:val="22"/>
          <w:szCs w:val="22"/>
        </w:rPr>
        <w:t>p</w:t>
      </w:r>
      <w:r w:rsidR="001E6850" w:rsidRPr="001E6850">
        <w:rPr>
          <w:rFonts w:ascii="Arial Narrow" w:hAnsi="Arial Narrow"/>
          <w:sz w:val="22"/>
          <w:szCs w:val="22"/>
        </w:rPr>
        <w:t xml:space="preserve">articipativa </w:t>
      </w:r>
      <w:r>
        <w:rPr>
          <w:rFonts w:ascii="Arial Narrow" w:hAnsi="Arial Narrow"/>
          <w:sz w:val="22"/>
          <w:szCs w:val="22"/>
        </w:rPr>
        <w:t>b</w:t>
      </w:r>
      <w:r w:rsidR="001E6850" w:rsidRPr="001E6850">
        <w:rPr>
          <w:rFonts w:ascii="Arial Narrow" w:hAnsi="Arial Narrow"/>
          <w:sz w:val="22"/>
          <w:szCs w:val="22"/>
        </w:rPr>
        <w:t xml:space="preserve">asada en </w:t>
      </w:r>
      <w:r>
        <w:rPr>
          <w:rFonts w:ascii="Arial Narrow" w:hAnsi="Arial Narrow"/>
          <w:sz w:val="22"/>
          <w:szCs w:val="22"/>
        </w:rPr>
        <w:t>co</w:t>
      </w:r>
      <w:r w:rsidR="001E6850" w:rsidRPr="001E6850">
        <w:rPr>
          <w:rFonts w:ascii="Arial Narrow" w:hAnsi="Arial Narrow"/>
          <w:sz w:val="22"/>
          <w:szCs w:val="22"/>
        </w:rPr>
        <w:t>munidad (CBPR, por sus siglas en inglés) emerge como respuesta metodológica</w:t>
      </w:r>
      <w:r>
        <w:rPr>
          <w:rFonts w:ascii="Arial Narrow" w:hAnsi="Arial Narrow"/>
          <w:sz w:val="22"/>
          <w:szCs w:val="22"/>
        </w:rPr>
        <w:t xml:space="preserve"> que </w:t>
      </w:r>
      <w:r w:rsidR="001E6850" w:rsidRPr="001E6850">
        <w:rPr>
          <w:rFonts w:ascii="Arial Narrow" w:hAnsi="Arial Narrow"/>
          <w:sz w:val="22"/>
          <w:szCs w:val="22"/>
        </w:rPr>
        <w:t xml:space="preserve">integra a las comunidades como socias activas en el </w:t>
      </w:r>
      <w:r>
        <w:rPr>
          <w:rFonts w:ascii="Arial Narrow" w:hAnsi="Arial Narrow"/>
          <w:sz w:val="22"/>
          <w:szCs w:val="22"/>
        </w:rPr>
        <w:t xml:space="preserve">proceso de </w:t>
      </w:r>
      <w:r w:rsidR="001E6850" w:rsidRPr="001E6850">
        <w:rPr>
          <w:rFonts w:ascii="Arial Narrow" w:hAnsi="Arial Narrow"/>
          <w:sz w:val="22"/>
          <w:szCs w:val="22"/>
        </w:rPr>
        <w:t xml:space="preserve">diseño, ejecución y evaluación de las intervenciones, </w:t>
      </w:r>
      <w:r>
        <w:rPr>
          <w:rFonts w:ascii="Arial Narrow" w:hAnsi="Arial Narrow"/>
          <w:sz w:val="22"/>
          <w:szCs w:val="22"/>
        </w:rPr>
        <w:t xml:space="preserve">lo cual permite superar </w:t>
      </w:r>
      <w:r w:rsidR="001E6850" w:rsidRPr="001E6850">
        <w:rPr>
          <w:rFonts w:ascii="Arial Narrow" w:hAnsi="Arial Narrow"/>
          <w:sz w:val="22"/>
          <w:szCs w:val="22"/>
        </w:rPr>
        <w:t xml:space="preserve">el rol </w:t>
      </w:r>
      <w:r>
        <w:rPr>
          <w:rFonts w:ascii="Arial Narrow" w:hAnsi="Arial Narrow"/>
          <w:sz w:val="22"/>
          <w:szCs w:val="22"/>
        </w:rPr>
        <w:t xml:space="preserve">de las comunidades como simples </w:t>
      </w:r>
      <w:r w:rsidR="001E6850" w:rsidRPr="001E6850">
        <w:rPr>
          <w:rFonts w:ascii="Arial Narrow" w:hAnsi="Arial Narrow"/>
          <w:sz w:val="22"/>
          <w:szCs w:val="22"/>
        </w:rPr>
        <w:t>receptoras de tecnología (Israel et al., 1998). E</w:t>
      </w:r>
      <w:r w:rsidR="001171E2">
        <w:rPr>
          <w:rFonts w:ascii="Arial Narrow" w:hAnsi="Arial Narrow"/>
          <w:sz w:val="22"/>
          <w:szCs w:val="22"/>
        </w:rPr>
        <w:t xml:space="preserve">sto implica la participación de las comunidades </w:t>
      </w:r>
      <w:r w:rsidR="001E6850" w:rsidRPr="001E6850">
        <w:rPr>
          <w:rFonts w:ascii="Arial Narrow" w:hAnsi="Arial Narrow"/>
          <w:sz w:val="22"/>
          <w:szCs w:val="22"/>
        </w:rPr>
        <w:t xml:space="preserve">desde la selección de la tecnología hasta su operación y mantenimiento, </w:t>
      </w:r>
      <w:r w:rsidR="001171E2">
        <w:rPr>
          <w:rFonts w:ascii="Arial Narrow" w:hAnsi="Arial Narrow"/>
          <w:sz w:val="22"/>
          <w:szCs w:val="22"/>
        </w:rPr>
        <w:t xml:space="preserve">lo cual generar condiciones para que los sistemas </w:t>
      </w:r>
      <w:r w:rsidR="001E6850" w:rsidRPr="001E6850">
        <w:rPr>
          <w:rFonts w:ascii="Arial Narrow" w:hAnsi="Arial Narrow"/>
          <w:sz w:val="22"/>
          <w:szCs w:val="22"/>
        </w:rPr>
        <w:t xml:space="preserve">sean sostenibles </w:t>
      </w:r>
      <w:r w:rsidR="001171E2">
        <w:rPr>
          <w:rFonts w:ascii="Arial Narrow" w:hAnsi="Arial Narrow"/>
          <w:sz w:val="22"/>
          <w:szCs w:val="22"/>
        </w:rPr>
        <w:t xml:space="preserve">en el </w:t>
      </w:r>
      <w:r w:rsidR="001E6850" w:rsidRPr="001E6850">
        <w:rPr>
          <w:rFonts w:ascii="Arial Narrow" w:hAnsi="Arial Narrow"/>
          <w:sz w:val="22"/>
          <w:szCs w:val="22"/>
        </w:rPr>
        <w:t xml:space="preserve">largo plazo (Wallerstein &amp; Duran, 2006; Minkler &amp; Wallerstein, 2008). </w:t>
      </w:r>
      <w:r w:rsidR="00145B5B">
        <w:rPr>
          <w:rFonts w:ascii="Arial Narrow" w:hAnsi="Arial Narrow"/>
          <w:sz w:val="22"/>
          <w:szCs w:val="22"/>
        </w:rPr>
        <w:t xml:space="preserve">En este sentido </w:t>
      </w:r>
      <w:r w:rsidR="001E6850" w:rsidRPr="001E6850">
        <w:rPr>
          <w:rFonts w:ascii="Arial Narrow" w:hAnsi="Arial Narrow"/>
          <w:sz w:val="22"/>
          <w:szCs w:val="22"/>
        </w:rPr>
        <w:t xml:space="preserve">Jagosh et al. (2012) </w:t>
      </w:r>
      <w:r w:rsidR="00145B5B">
        <w:rPr>
          <w:rFonts w:ascii="Arial Narrow" w:hAnsi="Arial Narrow"/>
          <w:sz w:val="22"/>
          <w:szCs w:val="22"/>
        </w:rPr>
        <w:t xml:space="preserve">reportó </w:t>
      </w:r>
      <w:r w:rsidR="001E6850" w:rsidRPr="001E6850">
        <w:rPr>
          <w:rFonts w:ascii="Arial Narrow" w:hAnsi="Arial Narrow"/>
          <w:sz w:val="22"/>
          <w:szCs w:val="22"/>
        </w:rPr>
        <w:t xml:space="preserve">que proyectos que aplican enfoques participativos generan mayor confianza institucional, mayor capacidad local y resultados más duraderos que los proyectos convencionales. En Colombia, donde las Juntas Administradoras de Acueductos (JAA) son el principal mecanismo de gestión del agua rural </w:t>
      </w:r>
      <w:r w:rsidR="00145B5B">
        <w:rPr>
          <w:rFonts w:ascii="Arial Narrow" w:hAnsi="Arial Narrow"/>
          <w:sz w:val="22"/>
          <w:szCs w:val="22"/>
        </w:rPr>
        <w:t xml:space="preserve">y en este sentido, </w:t>
      </w:r>
      <w:r w:rsidR="001E6850" w:rsidRPr="001E6850">
        <w:rPr>
          <w:rFonts w:ascii="Arial Narrow" w:hAnsi="Arial Narrow"/>
          <w:sz w:val="22"/>
          <w:szCs w:val="22"/>
        </w:rPr>
        <w:t xml:space="preserve">la CBPR ofrece un marco metodológico </w:t>
      </w:r>
      <w:r w:rsidR="00145B5B">
        <w:rPr>
          <w:rFonts w:ascii="Arial Narrow" w:hAnsi="Arial Narrow"/>
          <w:sz w:val="22"/>
          <w:szCs w:val="22"/>
        </w:rPr>
        <w:t xml:space="preserve">que contribuye a </w:t>
      </w:r>
      <w:r w:rsidR="001E6850" w:rsidRPr="001E6850">
        <w:rPr>
          <w:rFonts w:ascii="Arial Narrow" w:hAnsi="Arial Narrow"/>
          <w:sz w:val="22"/>
          <w:szCs w:val="22"/>
        </w:rPr>
        <w:t>fortalecer la gobernanza local y garantizar que las inversiones en infraestructura no sean abandonadas (Cargo &amp; Mercer, 2008).</w:t>
      </w:r>
    </w:p>
    <w:p w14:paraId="5066B091" w14:textId="77777777" w:rsidR="001E6850" w:rsidRPr="00BE7ED3" w:rsidRDefault="001E6850" w:rsidP="006D729D">
      <w:pPr>
        <w:pStyle w:val="Ttulo1"/>
        <w:spacing w:after="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BE7ED3">
        <w:rPr>
          <w:rFonts w:ascii="Arial Narrow" w:hAnsi="Arial Narrow"/>
          <w:b/>
          <w:bCs/>
          <w:color w:val="auto"/>
          <w:sz w:val="22"/>
          <w:szCs w:val="22"/>
        </w:rPr>
        <w:t>2. Objetivos</w:t>
      </w:r>
    </w:p>
    <w:p w14:paraId="16D0C124" w14:textId="35D8E60D" w:rsidR="00BE7ED3" w:rsidRPr="001E6850" w:rsidRDefault="00BE7ED3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Para el desarrollo de esta propuesta se proponen los siguientes objetivos:</w:t>
      </w:r>
    </w:p>
    <w:p w14:paraId="0E909E25" w14:textId="67454FC3" w:rsidR="001E6850" w:rsidRPr="00BE7ED3" w:rsidRDefault="001E6850" w:rsidP="006D729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BE7ED3">
        <w:rPr>
          <w:rFonts w:ascii="Arial Narrow" w:hAnsi="Arial Narrow"/>
          <w:sz w:val="22"/>
          <w:szCs w:val="22"/>
        </w:rPr>
        <w:t>Desarrollar investigación aplicada sobre sostenibilidad técnica, social y financiera de acueductos rurales en Colombia, articulada con el RAS Rural.</w:t>
      </w:r>
    </w:p>
    <w:p w14:paraId="5D0FA165" w14:textId="6911DE55" w:rsidR="001E6850" w:rsidRPr="00BE7ED3" w:rsidRDefault="001E6850" w:rsidP="006D729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BE7ED3">
        <w:rPr>
          <w:rFonts w:ascii="Arial Narrow" w:hAnsi="Arial Narrow"/>
          <w:sz w:val="22"/>
          <w:szCs w:val="22"/>
        </w:rPr>
        <w:lastRenderedPageBreak/>
        <w:t>Incorporar el diseño de acueductos rurales sostenibles y la gestión comunitaria del agua como tópico formativo en programas de ingeniería a nivel de pregrado y posgrado.</w:t>
      </w:r>
    </w:p>
    <w:p w14:paraId="3BAF831F" w14:textId="2B1E9BBE" w:rsidR="001E6850" w:rsidRPr="00BE7ED3" w:rsidRDefault="001E6850" w:rsidP="006D729D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BE7ED3">
        <w:rPr>
          <w:rFonts w:ascii="Arial Narrow" w:hAnsi="Arial Narrow"/>
          <w:sz w:val="22"/>
          <w:szCs w:val="22"/>
        </w:rPr>
        <w:t xml:space="preserve">Desarrollar proyectos de extensión bajo un modelo de cuádruple hélice Estado-Universidad-Empresa-Comunidad que genere soluciones tecnológicas y de gestión </w:t>
      </w:r>
      <w:r w:rsidR="00BE7ED3">
        <w:rPr>
          <w:rFonts w:ascii="Arial Narrow" w:hAnsi="Arial Narrow"/>
          <w:sz w:val="22"/>
          <w:szCs w:val="22"/>
        </w:rPr>
        <w:t xml:space="preserve">para acueductos más </w:t>
      </w:r>
      <w:r w:rsidRPr="00BE7ED3">
        <w:rPr>
          <w:rFonts w:ascii="Arial Narrow" w:hAnsi="Arial Narrow"/>
          <w:sz w:val="22"/>
          <w:szCs w:val="22"/>
        </w:rPr>
        <w:t>sostenibles.</w:t>
      </w:r>
    </w:p>
    <w:p w14:paraId="57461786" w14:textId="77777777" w:rsidR="001E6850" w:rsidRPr="003603D0" w:rsidRDefault="001E6850" w:rsidP="006D729D">
      <w:pPr>
        <w:pStyle w:val="Ttulo1"/>
        <w:spacing w:after="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3603D0">
        <w:rPr>
          <w:rFonts w:ascii="Arial Narrow" w:hAnsi="Arial Narrow"/>
          <w:b/>
          <w:bCs/>
          <w:color w:val="auto"/>
          <w:sz w:val="22"/>
          <w:szCs w:val="22"/>
        </w:rPr>
        <w:t>3. Propuesta de Docencia</w:t>
      </w:r>
    </w:p>
    <w:p w14:paraId="370152A9" w14:textId="2C984B55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</w:rPr>
        <w:t>La formación de ingenieros con competencias en acueductos rurales sostenibles es una necesidad urgente en Colombia</w:t>
      </w:r>
      <w:r w:rsidR="000C6991">
        <w:rPr>
          <w:rFonts w:ascii="Arial Narrow" w:hAnsi="Arial Narrow"/>
          <w:sz w:val="22"/>
          <w:szCs w:val="22"/>
        </w:rPr>
        <w:t xml:space="preserve">, lo cual requiere el diseño de </w:t>
      </w:r>
      <w:r w:rsidRPr="001E6850">
        <w:rPr>
          <w:rFonts w:ascii="Arial Narrow" w:hAnsi="Arial Narrow"/>
          <w:sz w:val="22"/>
          <w:szCs w:val="22"/>
        </w:rPr>
        <w:t>una estrategia de enseñanza activa, articulada con problemas reales del territorio, en tres componentes complementarios</w:t>
      </w:r>
      <w:r w:rsidR="000C6991">
        <w:rPr>
          <w:rFonts w:ascii="Arial Narrow" w:hAnsi="Arial Narrow"/>
          <w:sz w:val="22"/>
          <w:szCs w:val="22"/>
        </w:rPr>
        <w:t>:</w:t>
      </w:r>
    </w:p>
    <w:p w14:paraId="7B2F85F1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48CCF536" w14:textId="50A66CB5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C6991">
        <w:rPr>
          <w:rFonts w:ascii="Arial Narrow" w:hAnsi="Arial Narrow"/>
          <w:i/>
          <w:iCs/>
          <w:sz w:val="22"/>
          <w:szCs w:val="22"/>
          <w:u w:val="single"/>
        </w:rPr>
        <w:t>Componente 1. Currículo integrado</w:t>
      </w:r>
      <w:r w:rsidR="000C6991">
        <w:rPr>
          <w:rFonts w:ascii="Arial Narrow" w:hAnsi="Arial Narrow"/>
          <w:sz w:val="22"/>
          <w:szCs w:val="22"/>
        </w:rPr>
        <w:t>:</w:t>
      </w:r>
      <w:r w:rsidRPr="001E6850">
        <w:rPr>
          <w:rFonts w:ascii="Arial Narrow" w:hAnsi="Arial Narrow"/>
          <w:sz w:val="22"/>
          <w:szCs w:val="22"/>
        </w:rPr>
        <w:t xml:space="preserve"> </w:t>
      </w:r>
      <w:r w:rsidR="000C6991">
        <w:rPr>
          <w:rFonts w:ascii="Arial Narrow" w:hAnsi="Arial Narrow"/>
          <w:sz w:val="22"/>
          <w:szCs w:val="22"/>
        </w:rPr>
        <w:t>i</w:t>
      </w:r>
      <w:r w:rsidRPr="001E6850">
        <w:rPr>
          <w:rFonts w:ascii="Arial Narrow" w:hAnsi="Arial Narrow"/>
          <w:sz w:val="22"/>
          <w:szCs w:val="22"/>
        </w:rPr>
        <w:t xml:space="preserve">ncluir en los planes de estudio de ingeniería </w:t>
      </w:r>
      <w:r w:rsidR="000C6991">
        <w:rPr>
          <w:rFonts w:ascii="Arial Narrow" w:hAnsi="Arial Narrow"/>
          <w:sz w:val="22"/>
          <w:szCs w:val="22"/>
        </w:rPr>
        <w:t xml:space="preserve">agrícola, </w:t>
      </w:r>
      <w:r w:rsidRPr="001E6850">
        <w:rPr>
          <w:rFonts w:ascii="Arial Narrow" w:hAnsi="Arial Narrow"/>
          <w:sz w:val="22"/>
          <w:szCs w:val="22"/>
        </w:rPr>
        <w:t xml:space="preserve">módulos sobre diseño de acueductos rurales que integren </w:t>
      </w:r>
      <w:r w:rsidR="000C6991">
        <w:rPr>
          <w:rFonts w:ascii="Arial Narrow" w:hAnsi="Arial Narrow"/>
          <w:sz w:val="22"/>
          <w:szCs w:val="22"/>
        </w:rPr>
        <w:t>la implementación d</w:t>
      </w:r>
      <w:r w:rsidRPr="001E6850">
        <w:rPr>
          <w:rFonts w:ascii="Arial Narrow" w:hAnsi="Arial Narrow"/>
          <w:sz w:val="22"/>
          <w:szCs w:val="22"/>
        </w:rPr>
        <w:t xml:space="preserve">el RAS Rural, los ODS y los enfoques de gestión comunitaria. </w:t>
      </w:r>
      <w:r w:rsidR="000C6991">
        <w:rPr>
          <w:rFonts w:ascii="Arial Narrow" w:hAnsi="Arial Narrow"/>
          <w:sz w:val="22"/>
          <w:szCs w:val="22"/>
        </w:rPr>
        <w:t>De modo que los</w:t>
      </w:r>
      <w:r w:rsidRPr="001E6850">
        <w:rPr>
          <w:rFonts w:ascii="Arial Narrow" w:hAnsi="Arial Narrow"/>
          <w:sz w:val="22"/>
          <w:szCs w:val="22"/>
        </w:rPr>
        <w:t xml:space="preserve"> contenidos </w:t>
      </w:r>
      <w:r w:rsidR="000C6991">
        <w:rPr>
          <w:rFonts w:ascii="Arial Narrow" w:hAnsi="Arial Narrow"/>
          <w:sz w:val="22"/>
          <w:szCs w:val="22"/>
        </w:rPr>
        <w:t xml:space="preserve">aspectos de </w:t>
      </w:r>
      <w:r w:rsidRPr="001E6850">
        <w:rPr>
          <w:rFonts w:ascii="Arial Narrow" w:hAnsi="Arial Narrow"/>
          <w:sz w:val="22"/>
          <w:szCs w:val="22"/>
        </w:rPr>
        <w:t>diseño hidráulico, análisis de calidad del agua, gestión financiera básica de sistemas comunitarios y uso de herramientas SIG para diagnóstico territorial.</w:t>
      </w:r>
    </w:p>
    <w:p w14:paraId="4EB5D519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79E7EDF5" w14:textId="29F5F5DA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C6991">
        <w:rPr>
          <w:rFonts w:ascii="Arial Narrow" w:hAnsi="Arial Narrow"/>
          <w:i/>
          <w:iCs/>
          <w:sz w:val="22"/>
          <w:szCs w:val="22"/>
          <w:u w:val="single"/>
        </w:rPr>
        <w:t>Componente 2. Aprendizaje Basado en Proyectos (ABP)</w:t>
      </w:r>
      <w:r w:rsidR="000C6991">
        <w:rPr>
          <w:rFonts w:ascii="Arial Narrow" w:hAnsi="Arial Narrow"/>
          <w:i/>
          <w:iCs/>
          <w:sz w:val="22"/>
          <w:szCs w:val="22"/>
          <w:u w:val="single"/>
        </w:rPr>
        <w:t>:</w:t>
      </w:r>
      <w:r w:rsidRPr="001E6850">
        <w:rPr>
          <w:rFonts w:ascii="Arial Narrow" w:hAnsi="Arial Narrow"/>
          <w:sz w:val="22"/>
          <w:szCs w:val="22"/>
        </w:rPr>
        <w:t xml:space="preserve"> </w:t>
      </w:r>
      <w:r w:rsidR="000C6991">
        <w:rPr>
          <w:rFonts w:ascii="Arial Narrow" w:hAnsi="Arial Narrow"/>
          <w:sz w:val="22"/>
          <w:szCs w:val="22"/>
        </w:rPr>
        <w:t>conformación de e</w:t>
      </w:r>
      <w:r w:rsidRPr="001E6850">
        <w:rPr>
          <w:rFonts w:ascii="Arial Narrow" w:hAnsi="Arial Narrow"/>
          <w:sz w:val="22"/>
          <w:szCs w:val="22"/>
        </w:rPr>
        <w:t xml:space="preserve">quipos interdisciplinarios de estudiantes </w:t>
      </w:r>
      <w:r w:rsidR="000C6991">
        <w:rPr>
          <w:rFonts w:ascii="Arial Narrow" w:hAnsi="Arial Narrow"/>
          <w:sz w:val="22"/>
          <w:szCs w:val="22"/>
        </w:rPr>
        <w:t xml:space="preserve">con los cuales se realicen ejercicios de diagnóstico </w:t>
      </w:r>
      <w:r w:rsidRPr="001E6850">
        <w:rPr>
          <w:rFonts w:ascii="Arial Narrow" w:hAnsi="Arial Narrow"/>
          <w:sz w:val="22"/>
          <w:szCs w:val="22"/>
        </w:rPr>
        <w:t xml:space="preserve">y </w:t>
      </w:r>
      <w:r w:rsidR="000C6991">
        <w:rPr>
          <w:rFonts w:ascii="Arial Narrow" w:hAnsi="Arial Narrow"/>
          <w:sz w:val="22"/>
          <w:szCs w:val="22"/>
        </w:rPr>
        <w:t xml:space="preserve">desarrollo de alternativas como propuesta de </w:t>
      </w:r>
      <w:r w:rsidRPr="001E6850">
        <w:rPr>
          <w:rFonts w:ascii="Arial Narrow" w:hAnsi="Arial Narrow"/>
          <w:sz w:val="22"/>
          <w:szCs w:val="22"/>
        </w:rPr>
        <w:t xml:space="preserve">soluciones reales para comunidades rurales específicas. </w:t>
      </w:r>
      <w:r w:rsidR="000C6991">
        <w:rPr>
          <w:rFonts w:ascii="Arial Narrow" w:hAnsi="Arial Narrow"/>
          <w:sz w:val="22"/>
          <w:szCs w:val="22"/>
        </w:rPr>
        <w:t>En este sentido, se ha reportado que el</w:t>
      </w:r>
      <w:r w:rsidRPr="001E6850">
        <w:rPr>
          <w:rFonts w:ascii="Arial Narrow" w:hAnsi="Arial Narrow"/>
          <w:sz w:val="22"/>
          <w:szCs w:val="22"/>
        </w:rPr>
        <w:t xml:space="preserve"> ABP mejora la retención de conceptos y la motivación en </w:t>
      </w:r>
      <w:r w:rsidR="000C6991">
        <w:rPr>
          <w:rFonts w:ascii="Arial Narrow" w:hAnsi="Arial Narrow"/>
          <w:sz w:val="22"/>
          <w:szCs w:val="22"/>
        </w:rPr>
        <w:t xml:space="preserve">la formación de ingenieros </w:t>
      </w:r>
      <w:r w:rsidRPr="001E6850">
        <w:rPr>
          <w:rFonts w:ascii="Arial Narrow" w:hAnsi="Arial Narrow"/>
          <w:sz w:val="22"/>
          <w:szCs w:val="22"/>
        </w:rPr>
        <w:t xml:space="preserve">(Prince, 2004), y la participación de </w:t>
      </w:r>
      <w:r w:rsidR="000C6991">
        <w:rPr>
          <w:rFonts w:ascii="Arial Narrow" w:hAnsi="Arial Narrow"/>
          <w:sz w:val="22"/>
          <w:szCs w:val="22"/>
        </w:rPr>
        <w:t xml:space="preserve">los </w:t>
      </w:r>
      <w:r w:rsidRPr="001E6850">
        <w:rPr>
          <w:rFonts w:ascii="Arial Narrow" w:hAnsi="Arial Narrow"/>
          <w:sz w:val="22"/>
          <w:szCs w:val="22"/>
        </w:rPr>
        <w:t xml:space="preserve">usuarios en </w:t>
      </w:r>
      <w:r w:rsidR="000C6991">
        <w:rPr>
          <w:rFonts w:ascii="Arial Narrow" w:hAnsi="Arial Narrow"/>
          <w:sz w:val="22"/>
          <w:szCs w:val="22"/>
        </w:rPr>
        <w:t>procesos de</w:t>
      </w:r>
      <w:r w:rsidRPr="001E6850">
        <w:rPr>
          <w:rFonts w:ascii="Arial Narrow" w:hAnsi="Arial Narrow"/>
          <w:sz w:val="22"/>
          <w:szCs w:val="22"/>
        </w:rPr>
        <w:t xml:space="preserve"> diseño fortalece la apropiación </w:t>
      </w:r>
      <w:r w:rsidR="000C6991">
        <w:rPr>
          <w:rFonts w:ascii="Arial Narrow" w:hAnsi="Arial Narrow"/>
          <w:sz w:val="22"/>
          <w:szCs w:val="22"/>
        </w:rPr>
        <w:t xml:space="preserve">social </w:t>
      </w:r>
      <w:r w:rsidRPr="001E6850">
        <w:rPr>
          <w:rFonts w:ascii="Arial Narrow" w:hAnsi="Arial Narrow"/>
          <w:sz w:val="22"/>
          <w:szCs w:val="22"/>
        </w:rPr>
        <w:t>del sistema (Marks &amp; Davis, 2012).</w:t>
      </w:r>
    </w:p>
    <w:p w14:paraId="5EA12F53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14398E43" w14:textId="7F136D83" w:rsidR="00751561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707A54">
        <w:rPr>
          <w:rFonts w:ascii="Arial Narrow" w:hAnsi="Arial Narrow"/>
          <w:i/>
          <w:iCs/>
          <w:sz w:val="22"/>
          <w:szCs w:val="22"/>
          <w:u w:val="single"/>
        </w:rPr>
        <w:t>Componente 3. Vinculación con operadores comunitarios</w:t>
      </w:r>
      <w:r w:rsidR="00707A54">
        <w:rPr>
          <w:rFonts w:ascii="Arial Narrow" w:hAnsi="Arial Narrow"/>
          <w:i/>
          <w:iCs/>
          <w:sz w:val="22"/>
          <w:szCs w:val="22"/>
          <w:u w:val="single"/>
        </w:rPr>
        <w:t>:</w:t>
      </w:r>
      <w:r w:rsidRPr="001E6850">
        <w:rPr>
          <w:rFonts w:ascii="Arial Narrow" w:hAnsi="Arial Narrow"/>
          <w:sz w:val="22"/>
          <w:szCs w:val="22"/>
        </w:rPr>
        <w:t xml:space="preserve"> </w:t>
      </w:r>
      <w:r w:rsidR="00707A54">
        <w:rPr>
          <w:rFonts w:ascii="Arial Narrow" w:hAnsi="Arial Narrow"/>
          <w:sz w:val="22"/>
          <w:szCs w:val="22"/>
        </w:rPr>
        <w:t>establecer acuerdos o c</w:t>
      </w:r>
      <w:r w:rsidRPr="001E6850">
        <w:rPr>
          <w:rFonts w:ascii="Arial Narrow" w:hAnsi="Arial Narrow"/>
          <w:sz w:val="22"/>
          <w:szCs w:val="22"/>
        </w:rPr>
        <w:t xml:space="preserve">onvenios con acueductos comunitarios para </w:t>
      </w:r>
      <w:r w:rsidR="00707A54">
        <w:rPr>
          <w:rFonts w:ascii="Arial Narrow" w:hAnsi="Arial Narrow"/>
          <w:sz w:val="22"/>
          <w:szCs w:val="22"/>
        </w:rPr>
        <w:t xml:space="preserve">el desarrollo de </w:t>
      </w:r>
      <w:r w:rsidRPr="001E6850">
        <w:rPr>
          <w:rFonts w:ascii="Arial Narrow" w:hAnsi="Arial Narrow"/>
          <w:sz w:val="22"/>
          <w:szCs w:val="22"/>
        </w:rPr>
        <w:t xml:space="preserve">prácticas de campo </w:t>
      </w:r>
      <w:r w:rsidR="00707A54">
        <w:rPr>
          <w:rFonts w:ascii="Arial Narrow" w:hAnsi="Arial Narrow"/>
          <w:sz w:val="22"/>
          <w:szCs w:val="22"/>
        </w:rPr>
        <w:t xml:space="preserve">con estudiantes, de modo que sea posible establecer relación con las comunidades y en contraprestación, estás podrán recibir </w:t>
      </w:r>
      <w:r w:rsidRPr="001E6850">
        <w:rPr>
          <w:rFonts w:ascii="Arial Narrow" w:hAnsi="Arial Narrow"/>
          <w:sz w:val="22"/>
          <w:szCs w:val="22"/>
        </w:rPr>
        <w:t>asesoría técnica</w:t>
      </w:r>
      <w:r w:rsidR="00707A54">
        <w:rPr>
          <w:rFonts w:ascii="Arial Narrow" w:hAnsi="Arial Narrow"/>
          <w:sz w:val="22"/>
          <w:szCs w:val="22"/>
        </w:rPr>
        <w:t>. Así mismo</w:t>
      </w:r>
      <w:r w:rsidRPr="001E6850">
        <w:rPr>
          <w:rFonts w:ascii="Arial Narrow" w:hAnsi="Arial Narrow"/>
          <w:sz w:val="22"/>
          <w:szCs w:val="22"/>
        </w:rPr>
        <w:t xml:space="preserve"> los estudiantes </w:t>
      </w:r>
      <w:r w:rsidR="00707A54">
        <w:rPr>
          <w:rFonts w:ascii="Arial Narrow" w:hAnsi="Arial Narrow"/>
          <w:sz w:val="22"/>
          <w:szCs w:val="22"/>
        </w:rPr>
        <w:t xml:space="preserve">tienen oportunidad de </w:t>
      </w:r>
      <w:r w:rsidRPr="001E6850">
        <w:rPr>
          <w:rFonts w:ascii="Arial Narrow" w:hAnsi="Arial Narrow"/>
          <w:sz w:val="22"/>
          <w:szCs w:val="22"/>
        </w:rPr>
        <w:t>contextualiza</w:t>
      </w:r>
      <w:r w:rsidR="00707A54">
        <w:rPr>
          <w:rFonts w:ascii="Arial Narrow" w:hAnsi="Arial Narrow"/>
          <w:sz w:val="22"/>
          <w:szCs w:val="22"/>
        </w:rPr>
        <w:t>r</w:t>
      </w:r>
      <w:r w:rsidRPr="001E6850">
        <w:rPr>
          <w:rFonts w:ascii="Arial Narrow" w:hAnsi="Arial Narrow"/>
          <w:sz w:val="22"/>
          <w:szCs w:val="22"/>
        </w:rPr>
        <w:t xml:space="preserve"> el aprendizaje </w:t>
      </w:r>
      <w:r w:rsidR="00707A54">
        <w:rPr>
          <w:rFonts w:ascii="Arial Narrow" w:hAnsi="Arial Narrow"/>
          <w:sz w:val="22"/>
          <w:szCs w:val="22"/>
        </w:rPr>
        <w:t xml:space="preserve">en el aula y relacionarlo con las </w:t>
      </w:r>
      <w:r w:rsidRPr="001E6850">
        <w:rPr>
          <w:rFonts w:ascii="Arial Narrow" w:hAnsi="Arial Narrow"/>
          <w:sz w:val="22"/>
          <w:szCs w:val="22"/>
        </w:rPr>
        <w:t>necesidades reales del territorio.</w:t>
      </w:r>
    </w:p>
    <w:p w14:paraId="20BC7A73" w14:textId="77777777" w:rsidR="001E6850" w:rsidRPr="00707A54" w:rsidRDefault="001E6850" w:rsidP="006D729D">
      <w:pPr>
        <w:pStyle w:val="Ttulo2"/>
        <w:spacing w:after="0" w:line="276" w:lineRule="auto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707A54">
        <w:rPr>
          <w:rFonts w:ascii="Arial Narrow" w:hAnsi="Arial Narrow"/>
          <w:b/>
          <w:bCs/>
          <w:color w:val="auto"/>
          <w:sz w:val="22"/>
          <w:szCs w:val="22"/>
        </w:rPr>
        <w:t>3.1 Resultados de Aprendizaje Esperados (RAE)</w:t>
      </w:r>
    </w:p>
    <w:p w14:paraId="79B25375" w14:textId="537BBDFF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</w:rPr>
        <w:t xml:space="preserve">Este tópico puede desarrollarse como curso electivo en </w:t>
      </w:r>
      <w:r w:rsidR="00DC087A">
        <w:rPr>
          <w:rFonts w:ascii="Arial Narrow" w:hAnsi="Arial Narrow"/>
          <w:sz w:val="22"/>
          <w:szCs w:val="22"/>
        </w:rPr>
        <w:t xml:space="preserve">programas </w:t>
      </w:r>
      <w:r w:rsidRPr="001E6850">
        <w:rPr>
          <w:rFonts w:ascii="Arial Narrow" w:hAnsi="Arial Narrow"/>
          <w:sz w:val="22"/>
          <w:szCs w:val="22"/>
        </w:rPr>
        <w:t xml:space="preserve">de pregrado </w:t>
      </w:r>
      <w:r w:rsidR="00DC087A">
        <w:rPr>
          <w:rFonts w:ascii="Arial Narrow" w:hAnsi="Arial Narrow"/>
          <w:sz w:val="22"/>
          <w:szCs w:val="22"/>
        </w:rPr>
        <w:t xml:space="preserve">en </w:t>
      </w:r>
      <w:r w:rsidRPr="001E6850">
        <w:rPr>
          <w:rFonts w:ascii="Arial Narrow" w:hAnsi="Arial Narrow"/>
          <w:sz w:val="22"/>
          <w:szCs w:val="22"/>
        </w:rPr>
        <w:t xml:space="preserve">Ingeniería Civil, </w:t>
      </w:r>
      <w:r w:rsidR="00DC087A">
        <w:rPr>
          <w:rFonts w:ascii="Arial Narrow" w:hAnsi="Arial Narrow"/>
          <w:sz w:val="22"/>
          <w:szCs w:val="22"/>
        </w:rPr>
        <w:t xml:space="preserve">Agrícola y </w:t>
      </w:r>
      <w:r w:rsidRPr="001E6850">
        <w:rPr>
          <w:rFonts w:ascii="Arial Narrow" w:hAnsi="Arial Narrow"/>
          <w:sz w:val="22"/>
          <w:szCs w:val="22"/>
        </w:rPr>
        <w:t>Sanitaria</w:t>
      </w:r>
      <w:r w:rsidR="00DC087A">
        <w:rPr>
          <w:rFonts w:ascii="Arial Narrow" w:hAnsi="Arial Narrow"/>
          <w:sz w:val="22"/>
          <w:szCs w:val="22"/>
        </w:rPr>
        <w:t>,</w:t>
      </w:r>
      <w:r w:rsidRPr="001E6850">
        <w:rPr>
          <w:rFonts w:ascii="Arial Narrow" w:hAnsi="Arial Narrow"/>
          <w:sz w:val="22"/>
          <w:szCs w:val="22"/>
        </w:rPr>
        <w:t xml:space="preserve"> o como </w:t>
      </w:r>
      <w:r w:rsidR="00DC087A">
        <w:rPr>
          <w:rFonts w:ascii="Arial Narrow" w:hAnsi="Arial Narrow"/>
          <w:sz w:val="22"/>
          <w:szCs w:val="22"/>
        </w:rPr>
        <w:t xml:space="preserve">un </w:t>
      </w:r>
      <w:r w:rsidRPr="001E6850">
        <w:rPr>
          <w:rFonts w:ascii="Arial Narrow" w:hAnsi="Arial Narrow"/>
          <w:sz w:val="22"/>
          <w:szCs w:val="22"/>
        </w:rPr>
        <w:t xml:space="preserve">módulo </w:t>
      </w:r>
      <w:r w:rsidR="00DC087A">
        <w:rPr>
          <w:rFonts w:ascii="Arial Narrow" w:hAnsi="Arial Narrow"/>
          <w:sz w:val="22"/>
          <w:szCs w:val="22"/>
        </w:rPr>
        <w:t>en el marco de programas de</w:t>
      </w:r>
      <w:r w:rsidRPr="001E6850">
        <w:rPr>
          <w:rFonts w:ascii="Arial Narrow" w:hAnsi="Arial Narrow"/>
          <w:sz w:val="22"/>
          <w:szCs w:val="22"/>
        </w:rPr>
        <w:t xml:space="preserve"> posgrado</w:t>
      </w:r>
      <w:r w:rsidR="00DC087A">
        <w:rPr>
          <w:rFonts w:ascii="Arial Narrow" w:hAnsi="Arial Narrow"/>
          <w:sz w:val="22"/>
          <w:szCs w:val="22"/>
        </w:rPr>
        <w:t xml:space="preserve"> en áreas como </w:t>
      </w:r>
      <w:r w:rsidRPr="001E6850">
        <w:rPr>
          <w:rFonts w:ascii="Arial Narrow" w:hAnsi="Arial Narrow"/>
          <w:sz w:val="22"/>
          <w:szCs w:val="22"/>
        </w:rPr>
        <w:t xml:space="preserve">Recursos Hídricos, o Desarrollo Sostenible. </w:t>
      </w:r>
      <w:r w:rsidR="00DC087A">
        <w:rPr>
          <w:rFonts w:ascii="Arial Narrow" w:hAnsi="Arial Narrow"/>
          <w:sz w:val="22"/>
          <w:szCs w:val="22"/>
        </w:rPr>
        <w:t xml:space="preserve">De modo que se </w:t>
      </w:r>
      <w:r w:rsidRPr="001E6850">
        <w:rPr>
          <w:rFonts w:ascii="Arial Narrow" w:hAnsi="Arial Narrow"/>
          <w:sz w:val="22"/>
          <w:szCs w:val="22"/>
        </w:rPr>
        <w:t>proponen los siguientes RAE:</w:t>
      </w:r>
    </w:p>
    <w:p w14:paraId="4938ACDC" w14:textId="501569EB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481948">
        <w:rPr>
          <w:rFonts w:ascii="Arial Narrow" w:hAnsi="Arial Narrow"/>
          <w:i/>
          <w:iCs/>
          <w:sz w:val="22"/>
          <w:szCs w:val="22"/>
          <w:u w:val="single"/>
        </w:rPr>
        <w:t>RAE 1</w:t>
      </w:r>
      <w:r w:rsidR="00481948">
        <w:rPr>
          <w:rFonts w:ascii="Arial Narrow" w:hAnsi="Arial Narrow"/>
          <w:sz w:val="22"/>
          <w:szCs w:val="22"/>
        </w:rPr>
        <w:t xml:space="preserve">. </w:t>
      </w:r>
      <w:r w:rsidRPr="001E6850">
        <w:rPr>
          <w:rFonts w:ascii="Arial Narrow" w:hAnsi="Arial Narrow"/>
          <w:sz w:val="22"/>
          <w:szCs w:val="22"/>
        </w:rPr>
        <w:t xml:space="preserve">Diseñar sistemas de acueducto rural sostenibles </w:t>
      </w:r>
      <w:r w:rsidR="002900E2">
        <w:rPr>
          <w:rFonts w:ascii="Arial Narrow" w:hAnsi="Arial Narrow"/>
          <w:sz w:val="22"/>
          <w:szCs w:val="22"/>
        </w:rPr>
        <w:t xml:space="preserve">considerando </w:t>
      </w:r>
      <w:r w:rsidRPr="001E6850">
        <w:rPr>
          <w:rFonts w:ascii="Arial Narrow" w:hAnsi="Arial Narrow"/>
          <w:sz w:val="22"/>
          <w:szCs w:val="22"/>
        </w:rPr>
        <w:t xml:space="preserve">criterios hidráulicos y principios de tecnología apropiada en contextos comunitarios reales, </w:t>
      </w:r>
      <w:r w:rsidR="002900E2">
        <w:rPr>
          <w:rFonts w:ascii="Arial Narrow" w:hAnsi="Arial Narrow"/>
          <w:sz w:val="22"/>
          <w:szCs w:val="22"/>
        </w:rPr>
        <w:t xml:space="preserve">mediante la incorporación de </w:t>
      </w:r>
      <w:r w:rsidRPr="001E6850">
        <w:rPr>
          <w:rFonts w:ascii="Arial Narrow" w:hAnsi="Arial Narrow"/>
          <w:sz w:val="22"/>
          <w:szCs w:val="22"/>
        </w:rPr>
        <w:t>las dimensiones técnica, ambiental y socioeconómica.</w:t>
      </w:r>
    </w:p>
    <w:p w14:paraId="1E4C496B" w14:textId="2D5A49E2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481948">
        <w:rPr>
          <w:rFonts w:ascii="Arial Narrow" w:hAnsi="Arial Narrow"/>
          <w:i/>
          <w:iCs/>
          <w:sz w:val="22"/>
          <w:szCs w:val="22"/>
          <w:u w:val="single"/>
        </w:rPr>
        <w:t>RAE 2</w:t>
      </w:r>
      <w:r w:rsidRPr="001E6850">
        <w:rPr>
          <w:rFonts w:ascii="Arial Narrow" w:hAnsi="Arial Narrow"/>
          <w:sz w:val="22"/>
          <w:szCs w:val="22"/>
        </w:rPr>
        <w:t xml:space="preserve">. Analizar la gobernanza, sostenibilidad y equidad de sistemas comunitarios de agua </w:t>
      </w:r>
      <w:r w:rsidR="0087570F">
        <w:rPr>
          <w:rFonts w:ascii="Arial Narrow" w:hAnsi="Arial Narrow"/>
          <w:sz w:val="22"/>
          <w:szCs w:val="22"/>
        </w:rPr>
        <w:t xml:space="preserve">mediante el uso de </w:t>
      </w:r>
      <w:r w:rsidRPr="001E6850">
        <w:rPr>
          <w:rFonts w:ascii="Arial Narrow" w:hAnsi="Arial Narrow"/>
          <w:sz w:val="22"/>
          <w:szCs w:val="22"/>
        </w:rPr>
        <w:t>herramientas cuantitativas y cualitativas basadas en evidencia científica</w:t>
      </w:r>
      <w:r w:rsidR="0087570F">
        <w:rPr>
          <w:rFonts w:ascii="Arial Narrow" w:hAnsi="Arial Narrow"/>
          <w:sz w:val="22"/>
          <w:szCs w:val="22"/>
        </w:rPr>
        <w:t xml:space="preserve"> que permita identificar </w:t>
      </w:r>
      <w:r w:rsidRPr="001E6850">
        <w:rPr>
          <w:rFonts w:ascii="Arial Narrow" w:hAnsi="Arial Narrow"/>
          <w:sz w:val="22"/>
          <w:szCs w:val="22"/>
        </w:rPr>
        <w:t>factores críticos de éxito y fall</w:t>
      </w:r>
      <w:r w:rsidR="0087570F">
        <w:rPr>
          <w:rFonts w:ascii="Arial Narrow" w:hAnsi="Arial Narrow"/>
          <w:sz w:val="22"/>
          <w:szCs w:val="22"/>
        </w:rPr>
        <w:t>o</w:t>
      </w:r>
      <w:r w:rsidRPr="001E6850">
        <w:rPr>
          <w:rFonts w:ascii="Arial Narrow" w:hAnsi="Arial Narrow"/>
          <w:sz w:val="22"/>
          <w:szCs w:val="22"/>
        </w:rPr>
        <w:t>.</w:t>
      </w:r>
    </w:p>
    <w:p w14:paraId="6FA94B03" w14:textId="5E1E0EB8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481948">
        <w:rPr>
          <w:rFonts w:ascii="Arial Narrow" w:hAnsi="Arial Narrow"/>
          <w:i/>
          <w:iCs/>
          <w:sz w:val="22"/>
          <w:szCs w:val="22"/>
          <w:u w:val="single"/>
        </w:rPr>
        <w:t>RAE 3</w:t>
      </w:r>
      <w:r w:rsidRPr="001E6850">
        <w:rPr>
          <w:rFonts w:ascii="Arial Narrow" w:hAnsi="Arial Narrow"/>
          <w:sz w:val="22"/>
          <w:szCs w:val="22"/>
        </w:rPr>
        <w:t xml:space="preserve">. Proponer e integrar tecnologías apropiadas e innovaciones </w:t>
      </w:r>
      <w:r w:rsidR="000C7357">
        <w:rPr>
          <w:rFonts w:ascii="Arial Narrow" w:hAnsi="Arial Narrow"/>
          <w:sz w:val="22"/>
          <w:szCs w:val="22"/>
        </w:rPr>
        <w:t xml:space="preserve">de bajo costo </w:t>
      </w:r>
      <w:r w:rsidRPr="001E6850">
        <w:rPr>
          <w:rFonts w:ascii="Arial Narrow" w:hAnsi="Arial Narrow"/>
          <w:sz w:val="22"/>
          <w:szCs w:val="22"/>
        </w:rPr>
        <w:t>para la gestión operativa de acueductos rurales, evaluando su viabilidad técnica y económica.</w:t>
      </w:r>
    </w:p>
    <w:p w14:paraId="4CAF9452" w14:textId="77777777" w:rsidR="001E6850" w:rsidRPr="00653675" w:rsidRDefault="001E6850" w:rsidP="006D729D">
      <w:pPr>
        <w:pStyle w:val="Ttulo1"/>
        <w:spacing w:after="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653675">
        <w:rPr>
          <w:rFonts w:ascii="Arial Narrow" w:hAnsi="Arial Narrow"/>
          <w:b/>
          <w:bCs/>
          <w:color w:val="auto"/>
          <w:sz w:val="22"/>
          <w:szCs w:val="22"/>
        </w:rPr>
        <w:t>4. Propuesta de Investigación</w:t>
      </w:r>
    </w:p>
    <w:p w14:paraId="06D9ECBA" w14:textId="72641D65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</w:rPr>
        <w:t>Con base en las brechas identificadas, se proponen tres líneas de investigación prioritarias para el contexto colombiano, articuladas con el debate científico internacional y alineadas con los ODS</w:t>
      </w:r>
      <w:r w:rsidR="00754E79">
        <w:rPr>
          <w:rFonts w:ascii="Arial Narrow" w:hAnsi="Arial Narrow"/>
          <w:sz w:val="22"/>
          <w:szCs w:val="22"/>
        </w:rPr>
        <w:t>:</w:t>
      </w:r>
    </w:p>
    <w:p w14:paraId="715B545D" w14:textId="0EF478D2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8043F4">
        <w:rPr>
          <w:rFonts w:ascii="Arial Narrow" w:hAnsi="Arial Narrow"/>
          <w:i/>
          <w:iCs/>
          <w:sz w:val="22"/>
          <w:szCs w:val="22"/>
          <w:u w:val="single"/>
        </w:rPr>
        <w:lastRenderedPageBreak/>
        <w:t>Sostenibilidad técnica y financiera de acueductos comunitarios</w:t>
      </w:r>
      <w:r w:rsidRPr="001E6850">
        <w:rPr>
          <w:rFonts w:ascii="Arial Narrow" w:hAnsi="Arial Narrow"/>
          <w:sz w:val="22"/>
          <w:szCs w:val="22"/>
        </w:rPr>
        <w:t>. Evalúa</w:t>
      </w:r>
      <w:r w:rsidR="008043F4">
        <w:rPr>
          <w:rFonts w:ascii="Arial Narrow" w:hAnsi="Arial Narrow"/>
          <w:sz w:val="22"/>
          <w:szCs w:val="22"/>
        </w:rPr>
        <w:t>r</w:t>
      </w:r>
      <w:r w:rsidRPr="001E6850">
        <w:rPr>
          <w:rFonts w:ascii="Arial Narrow" w:hAnsi="Arial Narrow"/>
          <w:sz w:val="22"/>
          <w:szCs w:val="22"/>
        </w:rPr>
        <w:t xml:space="preserve"> la funcionalidad, eficiencia operativa y sostenibilidad financiera de acueductos comunitarios en Colombia, contrastando los indicadores del RAS Rural con el desempeño real medido en campo (Cronk &amp; Bartram, 2017; Koehler et al., 2015). Metodología: levantamientos de campo, análisis de ciclo de vida y modelación hidráulica. Responde directamente al ODS 6.1.</w:t>
      </w:r>
    </w:p>
    <w:p w14:paraId="57C067D9" w14:textId="4EA40E5C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8043F4">
        <w:rPr>
          <w:rFonts w:ascii="Arial Narrow" w:hAnsi="Arial Narrow"/>
          <w:i/>
          <w:iCs/>
          <w:sz w:val="22"/>
          <w:szCs w:val="22"/>
          <w:u w:val="single"/>
        </w:rPr>
        <w:t>Línea 2. Tecnologías apropiadas e innovación</w:t>
      </w:r>
      <w:r w:rsidR="00AD0594">
        <w:rPr>
          <w:rFonts w:ascii="Arial Narrow" w:hAnsi="Arial Narrow"/>
          <w:i/>
          <w:iCs/>
          <w:sz w:val="22"/>
          <w:szCs w:val="22"/>
          <w:u w:val="single"/>
        </w:rPr>
        <w:t xml:space="preserve"> frugal</w:t>
      </w:r>
      <w:r w:rsidRPr="001E6850">
        <w:rPr>
          <w:rFonts w:ascii="Arial Narrow" w:hAnsi="Arial Narrow"/>
          <w:sz w:val="22"/>
          <w:szCs w:val="22"/>
        </w:rPr>
        <w:t xml:space="preserve">. Explora el diseño y validación de soluciones de bajo costo </w:t>
      </w:r>
      <w:r w:rsidR="00AD0594">
        <w:rPr>
          <w:rFonts w:ascii="Arial Narrow" w:hAnsi="Arial Narrow"/>
          <w:sz w:val="22"/>
          <w:szCs w:val="22"/>
        </w:rPr>
        <w:t xml:space="preserve">o frugales, </w:t>
      </w:r>
      <w:r w:rsidRPr="001E6850">
        <w:rPr>
          <w:rFonts w:ascii="Arial Narrow" w:hAnsi="Arial Narrow"/>
          <w:sz w:val="22"/>
          <w:szCs w:val="22"/>
        </w:rPr>
        <w:t xml:space="preserve">adaptadas al entorno rural </w:t>
      </w:r>
      <w:r w:rsidRPr="00512E7E">
        <w:rPr>
          <w:rFonts w:ascii="Arial Narrow" w:hAnsi="Arial Narrow"/>
          <w:sz w:val="22"/>
          <w:szCs w:val="22"/>
        </w:rPr>
        <w:t>colombiano. Las</w:t>
      </w:r>
      <w:r w:rsidRPr="001E6850">
        <w:rPr>
          <w:rFonts w:ascii="Arial Narrow" w:hAnsi="Arial Narrow"/>
          <w:sz w:val="22"/>
          <w:szCs w:val="22"/>
        </w:rPr>
        <w:t xml:space="preserve"> soluciones deben ser operables sin formación técnica especializada, en cumplimiento con el RAS Rural, y abordar el suministro intermitente (Kumpel &amp; Nelson, 2016).</w:t>
      </w:r>
    </w:p>
    <w:p w14:paraId="3F29898B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0B5CD79C" w14:textId="2A16E550" w:rsidR="001E6850" w:rsidRP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672DF4">
        <w:rPr>
          <w:rFonts w:ascii="Arial Narrow" w:hAnsi="Arial Narrow"/>
          <w:i/>
          <w:iCs/>
          <w:sz w:val="22"/>
          <w:szCs w:val="22"/>
          <w:u w:val="single"/>
        </w:rPr>
        <w:t>Línea 3. Gobernanza, gestión comunitaria y apropiación tecnológica.</w:t>
      </w:r>
      <w:r w:rsidRPr="001E6850">
        <w:rPr>
          <w:rFonts w:ascii="Arial Narrow" w:hAnsi="Arial Narrow"/>
          <w:sz w:val="22"/>
          <w:szCs w:val="22"/>
        </w:rPr>
        <w:t xml:space="preserve"> Analiza</w:t>
      </w:r>
      <w:r w:rsidR="00BD1D21">
        <w:rPr>
          <w:rFonts w:ascii="Arial Narrow" w:hAnsi="Arial Narrow"/>
          <w:sz w:val="22"/>
          <w:szCs w:val="22"/>
        </w:rPr>
        <w:t>r</w:t>
      </w:r>
      <w:r w:rsidRPr="001E6850">
        <w:rPr>
          <w:rFonts w:ascii="Arial Narrow" w:hAnsi="Arial Narrow"/>
          <w:sz w:val="22"/>
          <w:szCs w:val="22"/>
        </w:rPr>
        <w:t xml:space="preserve"> factores que determinan el éxito o fracaso de los modelos CBM, DRA y SDA en zonas rurales colombianas</w:t>
      </w:r>
      <w:r w:rsidR="00BD1D21">
        <w:rPr>
          <w:rFonts w:ascii="Arial Narrow" w:hAnsi="Arial Narrow"/>
          <w:sz w:val="22"/>
          <w:szCs w:val="22"/>
        </w:rPr>
        <w:t>, tales como el</w:t>
      </w:r>
      <w:r w:rsidRPr="001E6850">
        <w:rPr>
          <w:rFonts w:ascii="Arial Narrow" w:hAnsi="Arial Narrow"/>
          <w:sz w:val="22"/>
          <w:szCs w:val="22"/>
        </w:rPr>
        <w:t xml:space="preserve"> rol del Estado, capacidad organizativa de las Juntas Administradoras de Acueductos (JAA) y mecanismos de financiamiento (Lockwood &amp; Smits, 2011; Giné-Garriga et al., 2013; Bisung &amp; Elliott, 2014). Esta línea incorpora la CBPR como marco metodológico central</w:t>
      </w:r>
      <w:r w:rsidR="00BD1D21">
        <w:rPr>
          <w:rFonts w:ascii="Arial Narrow" w:hAnsi="Arial Narrow"/>
          <w:sz w:val="22"/>
          <w:szCs w:val="22"/>
        </w:rPr>
        <w:t xml:space="preserve">, donde </w:t>
      </w:r>
      <w:r w:rsidRPr="001E6850">
        <w:rPr>
          <w:rFonts w:ascii="Arial Narrow" w:hAnsi="Arial Narrow"/>
          <w:sz w:val="22"/>
          <w:szCs w:val="22"/>
        </w:rPr>
        <w:t xml:space="preserve">las comunidades participan activamente en la identificación de problemas, la validación de soluciones y el seguimiento de resultados, lo </w:t>
      </w:r>
      <w:r w:rsidR="00BD1D21">
        <w:rPr>
          <w:rFonts w:ascii="Arial Narrow" w:hAnsi="Arial Narrow"/>
          <w:sz w:val="22"/>
          <w:szCs w:val="22"/>
        </w:rPr>
        <w:t xml:space="preserve">cual pude contribuir a generar condiciones para la </w:t>
      </w:r>
      <w:r w:rsidRPr="001E6850">
        <w:rPr>
          <w:rFonts w:ascii="Arial Narrow" w:hAnsi="Arial Narrow"/>
          <w:sz w:val="22"/>
          <w:szCs w:val="22"/>
        </w:rPr>
        <w:t>apropiación social del conocimiento y reduce el riesgo de abandono de las tecnologías implementadas (Israel et al., 1998; Jagosh et al., 2012; Cargo &amp; Mercer, 2008). Vinculada al ODS 6.b.</w:t>
      </w:r>
    </w:p>
    <w:p w14:paraId="03C8451B" w14:textId="77777777" w:rsidR="001E6850" w:rsidRPr="006A6FE7" w:rsidRDefault="001E6850" w:rsidP="006D729D">
      <w:pPr>
        <w:pStyle w:val="Ttulo1"/>
        <w:spacing w:after="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6A6FE7">
        <w:rPr>
          <w:rFonts w:ascii="Arial Narrow" w:hAnsi="Arial Narrow"/>
          <w:b/>
          <w:bCs/>
          <w:color w:val="auto"/>
          <w:sz w:val="22"/>
          <w:szCs w:val="22"/>
        </w:rPr>
        <w:t>5. Propuesta de Extensión</w:t>
      </w:r>
    </w:p>
    <w:p w14:paraId="350FD096" w14:textId="6A713157" w:rsidR="001E6850" w:rsidRDefault="001E6850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</w:rPr>
        <w:t xml:space="preserve">Para </w:t>
      </w:r>
      <w:r w:rsidR="006A6FE7">
        <w:rPr>
          <w:rFonts w:ascii="Arial Narrow" w:hAnsi="Arial Narrow"/>
          <w:sz w:val="22"/>
          <w:szCs w:val="22"/>
        </w:rPr>
        <w:t xml:space="preserve">contribuir al cierre de </w:t>
      </w:r>
      <w:r w:rsidRPr="001E6850">
        <w:rPr>
          <w:rFonts w:ascii="Arial Narrow" w:hAnsi="Arial Narrow"/>
          <w:sz w:val="22"/>
          <w:szCs w:val="22"/>
        </w:rPr>
        <w:t xml:space="preserve">brechas tecnológicas y de gestión en acueductos rurales, se propone el </w:t>
      </w:r>
      <w:r w:rsidR="006A6FE7">
        <w:rPr>
          <w:rFonts w:ascii="Arial Narrow" w:hAnsi="Arial Narrow"/>
          <w:sz w:val="22"/>
          <w:szCs w:val="22"/>
        </w:rPr>
        <w:t xml:space="preserve">desarrollo de un </w:t>
      </w:r>
      <w:r w:rsidRPr="001E6850">
        <w:rPr>
          <w:rFonts w:ascii="Arial Narrow" w:hAnsi="Arial Narrow"/>
          <w:sz w:val="22"/>
          <w:szCs w:val="22"/>
        </w:rPr>
        <w:t xml:space="preserve">modelo de </w:t>
      </w:r>
      <w:r w:rsidR="006A6FE7">
        <w:rPr>
          <w:rFonts w:ascii="Arial Narrow" w:hAnsi="Arial Narrow"/>
          <w:sz w:val="22"/>
          <w:szCs w:val="22"/>
        </w:rPr>
        <w:t xml:space="preserve">Cooperación </w:t>
      </w:r>
      <w:r w:rsidR="00265B7E">
        <w:rPr>
          <w:rFonts w:ascii="Arial Narrow" w:hAnsi="Arial Narrow"/>
          <w:sz w:val="22"/>
          <w:szCs w:val="22"/>
        </w:rPr>
        <w:t>Comunitaria</w:t>
      </w:r>
      <w:r w:rsidR="006A6FE7">
        <w:rPr>
          <w:rFonts w:ascii="Arial Narrow" w:hAnsi="Arial Narrow"/>
          <w:sz w:val="22"/>
          <w:szCs w:val="22"/>
        </w:rPr>
        <w:t xml:space="preserve"> del Agua</w:t>
      </w:r>
      <w:r w:rsidRPr="001E6850">
        <w:rPr>
          <w:rFonts w:ascii="Arial Narrow" w:hAnsi="Arial Narrow"/>
          <w:sz w:val="22"/>
          <w:szCs w:val="22"/>
        </w:rPr>
        <w:t xml:space="preserve"> (</w:t>
      </w:r>
      <w:r w:rsidR="006A6FE7">
        <w:rPr>
          <w:rFonts w:ascii="Arial Narrow" w:hAnsi="Arial Narrow"/>
          <w:sz w:val="22"/>
          <w:szCs w:val="22"/>
        </w:rPr>
        <w:t>C</w:t>
      </w:r>
      <w:r w:rsidR="00265B7E">
        <w:rPr>
          <w:rFonts w:ascii="Arial Narrow" w:hAnsi="Arial Narrow"/>
          <w:sz w:val="22"/>
          <w:szCs w:val="22"/>
        </w:rPr>
        <w:t>C</w:t>
      </w:r>
      <w:r w:rsidR="006A6FE7">
        <w:rPr>
          <w:rFonts w:ascii="Arial Narrow" w:hAnsi="Arial Narrow"/>
          <w:sz w:val="22"/>
          <w:szCs w:val="22"/>
        </w:rPr>
        <w:t>A</w:t>
      </w:r>
      <w:r w:rsidRPr="001E6850">
        <w:rPr>
          <w:rFonts w:ascii="Arial Narrow" w:hAnsi="Arial Narrow"/>
          <w:sz w:val="22"/>
          <w:szCs w:val="22"/>
        </w:rPr>
        <w:t>)</w:t>
      </w:r>
      <w:r w:rsidR="006A6FE7">
        <w:rPr>
          <w:rFonts w:ascii="Arial Narrow" w:hAnsi="Arial Narrow"/>
          <w:sz w:val="22"/>
          <w:szCs w:val="22"/>
        </w:rPr>
        <w:t xml:space="preserve">, el cual se </w:t>
      </w:r>
      <w:r w:rsidRPr="001E6850">
        <w:rPr>
          <w:rFonts w:ascii="Arial Narrow" w:hAnsi="Arial Narrow"/>
          <w:sz w:val="22"/>
          <w:szCs w:val="22"/>
        </w:rPr>
        <w:t>fundamenta en la cuádruple hélice Estado-Universidad-Empresa-Comunidad (Carayannis &amp; Campbell, 2009), que amplía la triple hélice clásica (Etzkowitz &amp; Leydesdorff, 2000) al incorporar a la sociedad civil</w:t>
      </w:r>
      <w:r w:rsidR="006A6FE7">
        <w:rPr>
          <w:rFonts w:ascii="Arial Narrow" w:hAnsi="Arial Narrow"/>
          <w:sz w:val="22"/>
          <w:szCs w:val="22"/>
        </w:rPr>
        <w:t xml:space="preserve">, representada en este caso por </w:t>
      </w:r>
      <w:r w:rsidRPr="001E6850">
        <w:rPr>
          <w:rFonts w:ascii="Arial Narrow" w:hAnsi="Arial Narrow"/>
          <w:sz w:val="22"/>
          <w:szCs w:val="22"/>
        </w:rPr>
        <w:t xml:space="preserve">las comunidades rurales </w:t>
      </w:r>
      <w:r w:rsidR="006A6FE7">
        <w:rPr>
          <w:rFonts w:ascii="Arial Narrow" w:hAnsi="Arial Narrow"/>
          <w:sz w:val="22"/>
          <w:szCs w:val="22"/>
        </w:rPr>
        <w:t xml:space="preserve">mediante sus organizaciones comunitarias, como </w:t>
      </w:r>
      <w:r w:rsidRPr="001E6850">
        <w:rPr>
          <w:rFonts w:ascii="Arial Narrow" w:hAnsi="Arial Narrow"/>
          <w:sz w:val="22"/>
          <w:szCs w:val="22"/>
        </w:rPr>
        <w:t xml:space="preserve">actor </w:t>
      </w:r>
      <w:r w:rsidR="006A6FE7">
        <w:rPr>
          <w:rFonts w:ascii="Arial Narrow" w:hAnsi="Arial Narrow"/>
          <w:sz w:val="22"/>
          <w:szCs w:val="22"/>
        </w:rPr>
        <w:t xml:space="preserve">para la generar </w:t>
      </w:r>
      <w:r w:rsidRPr="001E6850">
        <w:rPr>
          <w:rFonts w:ascii="Arial Narrow" w:hAnsi="Arial Narrow"/>
          <w:sz w:val="22"/>
          <w:szCs w:val="22"/>
        </w:rPr>
        <w:t xml:space="preserve">soluciones </w:t>
      </w:r>
      <w:r w:rsidR="006A6FE7">
        <w:rPr>
          <w:rFonts w:ascii="Arial Narrow" w:hAnsi="Arial Narrow"/>
          <w:sz w:val="22"/>
          <w:szCs w:val="22"/>
        </w:rPr>
        <w:t xml:space="preserve">de abastecimiento de agua </w:t>
      </w:r>
      <w:r w:rsidRPr="001E6850">
        <w:rPr>
          <w:rFonts w:ascii="Arial Narrow" w:hAnsi="Arial Narrow"/>
          <w:sz w:val="22"/>
          <w:szCs w:val="22"/>
        </w:rPr>
        <w:t>sostenible</w:t>
      </w:r>
      <w:r w:rsidR="00265B7E">
        <w:rPr>
          <w:rFonts w:ascii="Arial Narrow" w:hAnsi="Arial Narrow"/>
          <w:sz w:val="22"/>
          <w:szCs w:val="22"/>
        </w:rPr>
        <w:t>s</w:t>
      </w:r>
      <w:r w:rsidRPr="001E6850">
        <w:rPr>
          <w:rFonts w:ascii="Arial Narrow" w:hAnsi="Arial Narrow"/>
          <w:sz w:val="22"/>
          <w:szCs w:val="22"/>
        </w:rPr>
        <w:t>.</w:t>
      </w:r>
    </w:p>
    <w:p w14:paraId="703BCCC8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562C7036" w14:textId="2EAC5D99" w:rsidR="001E6850" w:rsidRDefault="00265B7E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En este marco, CCA podría contribuir a generar </w:t>
      </w:r>
      <w:r w:rsidR="001E6850" w:rsidRPr="001E6850">
        <w:rPr>
          <w:rFonts w:ascii="Arial Narrow" w:hAnsi="Arial Narrow"/>
          <w:sz w:val="22"/>
          <w:szCs w:val="22"/>
        </w:rPr>
        <w:t xml:space="preserve">espacios de innovación en comunidades </w:t>
      </w:r>
      <w:r>
        <w:rPr>
          <w:rFonts w:ascii="Arial Narrow" w:hAnsi="Arial Narrow"/>
          <w:sz w:val="22"/>
          <w:szCs w:val="22"/>
        </w:rPr>
        <w:t xml:space="preserve">rurales en desarrollo donde las </w:t>
      </w:r>
      <w:r w:rsidR="001E6850" w:rsidRPr="001E6850">
        <w:rPr>
          <w:rFonts w:ascii="Arial Narrow" w:hAnsi="Arial Narrow"/>
          <w:sz w:val="22"/>
          <w:szCs w:val="22"/>
        </w:rPr>
        <w:t xml:space="preserve">investigadores, </w:t>
      </w:r>
      <w:r>
        <w:rPr>
          <w:rFonts w:ascii="Arial Narrow" w:hAnsi="Arial Narrow"/>
          <w:sz w:val="22"/>
          <w:szCs w:val="22"/>
        </w:rPr>
        <w:t xml:space="preserve">empresarios </w:t>
      </w:r>
      <w:r w:rsidR="001E6850" w:rsidRPr="001E6850">
        <w:rPr>
          <w:rFonts w:ascii="Arial Narrow" w:hAnsi="Arial Narrow"/>
          <w:sz w:val="22"/>
          <w:szCs w:val="22"/>
        </w:rPr>
        <w:t xml:space="preserve">y </w:t>
      </w:r>
      <w:r>
        <w:rPr>
          <w:rFonts w:ascii="Arial Narrow" w:hAnsi="Arial Narrow"/>
          <w:sz w:val="22"/>
          <w:szCs w:val="22"/>
        </w:rPr>
        <w:t>comunidades</w:t>
      </w:r>
      <w:r w:rsidR="001E6850" w:rsidRPr="001E6850">
        <w:rPr>
          <w:rFonts w:ascii="Arial Narrow" w:hAnsi="Arial Narrow"/>
          <w:sz w:val="22"/>
          <w:szCs w:val="22"/>
        </w:rPr>
        <w:t xml:space="preserve"> co-diseñan, implementan y evalúan conjuntamente soluciones tecnológicas </w:t>
      </w:r>
      <w:r>
        <w:rPr>
          <w:rFonts w:ascii="Arial Narrow" w:hAnsi="Arial Narrow"/>
          <w:sz w:val="22"/>
          <w:szCs w:val="22"/>
        </w:rPr>
        <w:t xml:space="preserve">para la </w:t>
      </w:r>
      <w:r w:rsidR="001E6850" w:rsidRPr="001E6850">
        <w:rPr>
          <w:rFonts w:ascii="Arial Narrow" w:hAnsi="Arial Narrow"/>
          <w:sz w:val="22"/>
          <w:szCs w:val="22"/>
        </w:rPr>
        <w:t xml:space="preserve">gestión </w:t>
      </w:r>
      <w:r>
        <w:rPr>
          <w:rFonts w:ascii="Arial Narrow" w:hAnsi="Arial Narrow"/>
          <w:sz w:val="22"/>
          <w:szCs w:val="22"/>
        </w:rPr>
        <w:t>d</w:t>
      </w:r>
      <w:r w:rsidR="001E6850" w:rsidRPr="001E6850">
        <w:rPr>
          <w:rFonts w:ascii="Arial Narrow" w:hAnsi="Arial Narrow"/>
          <w:sz w:val="22"/>
          <w:szCs w:val="22"/>
        </w:rPr>
        <w:t xml:space="preserve">el agua. </w:t>
      </w:r>
      <w:r>
        <w:rPr>
          <w:rFonts w:ascii="Arial Narrow" w:hAnsi="Arial Narrow"/>
          <w:sz w:val="22"/>
          <w:szCs w:val="22"/>
        </w:rPr>
        <w:t xml:space="preserve">En este modelo el </w:t>
      </w:r>
      <w:r w:rsidR="001E6850" w:rsidRPr="001E6850">
        <w:rPr>
          <w:rFonts w:ascii="Arial Narrow" w:hAnsi="Arial Narrow"/>
          <w:sz w:val="22"/>
          <w:szCs w:val="22"/>
        </w:rPr>
        <w:t xml:space="preserve">Estado proporciona el marco regulatorio (RAS Rural), políticas del sector </w:t>
      </w:r>
      <w:r>
        <w:rPr>
          <w:rFonts w:ascii="Arial Narrow" w:hAnsi="Arial Narrow"/>
          <w:sz w:val="22"/>
          <w:szCs w:val="22"/>
        </w:rPr>
        <w:t xml:space="preserve">aporta el </w:t>
      </w:r>
      <w:r w:rsidR="001E6850" w:rsidRPr="001E6850">
        <w:rPr>
          <w:rFonts w:ascii="Arial Narrow" w:hAnsi="Arial Narrow"/>
          <w:sz w:val="22"/>
          <w:szCs w:val="22"/>
        </w:rPr>
        <w:t>financiamiento público a través de MinCiencias, además de articular los recursos del Sistema General de Participaciones para agua potable rural.</w:t>
      </w:r>
      <w:r>
        <w:rPr>
          <w:rFonts w:ascii="Arial Narrow" w:hAnsi="Arial Narrow"/>
          <w:sz w:val="22"/>
          <w:szCs w:val="22"/>
        </w:rPr>
        <w:t xml:space="preserve"> La </w:t>
      </w:r>
      <w:r w:rsidR="001E6850" w:rsidRPr="001E6850">
        <w:rPr>
          <w:rFonts w:ascii="Arial Narrow" w:hAnsi="Arial Narrow"/>
          <w:sz w:val="22"/>
          <w:szCs w:val="22"/>
        </w:rPr>
        <w:t xml:space="preserve">Universidad lidera </w:t>
      </w:r>
      <w:r>
        <w:rPr>
          <w:rFonts w:ascii="Arial Narrow" w:hAnsi="Arial Narrow"/>
          <w:sz w:val="22"/>
          <w:szCs w:val="22"/>
        </w:rPr>
        <w:t xml:space="preserve">procesos de investigación, </w:t>
      </w:r>
      <w:r w:rsidR="001E6850" w:rsidRPr="001E6850">
        <w:rPr>
          <w:rFonts w:ascii="Arial Narrow" w:hAnsi="Arial Narrow"/>
          <w:sz w:val="22"/>
          <w:szCs w:val="22"/>
        </w:rPr>
        <w:t>realiza el monitoreo sistemático de indicadores WASH (Giné-Garriga et al., 2013)</w:t>
      </w:r>
      <w:r>
        <w:rPr>
          <w:rFonts w:ascii="Arial Narrow" w:hAnsi="Arial Narrow"/>
          <w:sz w:val="22"/>
          <w:szCs w:val="22"/>
        </w:rPr>
        <w:t>,</w:t>
      </w:r>
      <w:r w:rsidR="001E6850" w:rsidRPr="001E6850">
        <w:rPr>
          <w:rFonts w:ascii="Arial Narrow" w:hAnsi="Arial Narrow"/>
          <w:sz w:val="22"/>
          <w:szCs w:val="22"/>
        </w:rPr>
        <w:t xml:space="preserve"> y forma el capital humano especializado (Schweitzer &amp; Mihelcic, 2012; Starkl et al., 2013).</w:t>
      </w:r>
      <w:r>
        <w:rPr>
          <w:rFonts w:ascii="Arial Narrow" w:hAnsi="Arial Narrow"/>
          <w:sz w:val="22"/>
          <w:szCs w:val="22"/>
        </w:rPr>
        <w:t xml:space="preserve"> A su vez, la </w:t>
      </w:r>
      <w:r w:rsidR="001E6850" w:rsidRPr="001E6850">
        <w:rPr>
          <w:rFonts w:ascii="Arial Narrow" w:hAnsi="Arial Narrow"/>
          <w:sz w:val="22"/>
          <w:szCs w:val="22"/>
        </w:rPr>
        <w:t xml:space="preserve">Empresa aporta </w:t>
      </w:r>
      <w:r>
        <w:rPr>
          <w:rFonts w:ascii="Arial Narrow" w:hAnsi="Arial Narrow"/>
          <w:sz w:val="22"/>
          <w:szCs w:val="22"/>
        </w:rPr>
        <w:t xml:space="preserve">tecnologías o materiales y </w:t>
      </w:r>
      <w:r w:rsidR="001E6850" w:rsidRPr="001E6850">
        <w:rPr>
          <w:rFonts w:ascii="Arial Narrow" w:hAnsi="Arial Narrow"/>
          <w:sz w:val="22"/>
          <w:szCs w:val="22"/>
        </w:rPr>
        <w:t xml:space="preserve">modelos de negocio que </w:t>
      </w:r>
      <w:r>
        <w:rPr>
          <w:rFonts w:ascii="Arial Narrow" w:hAnsi="Arial Narrow"/>
          <w:sz w:val="22"/>
          <w:szCs w:val="22"/>
        </w:rPr>
        <w:t xml:space="preserve">contribuyan a facilitar y reducir costos de </w:t>
      </w:r>
      <w:r w:rsidR="001E6850" w:rsidRPr="001E6850">
        <w:rPr>
          <w:rFonts w:ascii="Arial Narrow" w:hAnsi="Arial Narrow"/>
          <w:sz w:val="22"/>
          <w:szCs w:val="22"/>
        </w:rPr>
        <w:t>operación y el mantenimiento a largo plazo</w:t>
      </w:r>
      <w:r>
        <w:rPr>
          <w:rFonts w:ascii="Arial Narrow" w:hAnsi="Arial Narrow"/>
          <w:sz w:val="22"/>
          <w:szCs w:val="22"/>
        </w:rPr>
        <w:t xml:space="preserve"> para que de esta forma, las innovaciones se conviertan en </w:t>
      </w:r>
      <w:r w:rsidR="001E6850" w:rsidRPr="001E6850">
        <w:rPr>
          <w:rFonts w:ascii="Arial Narrow" w:hAnsi="Arial Narrow"/>
          <w:sz w:val="22"/>
          <w:szCs w:val="22"/>
        </w:rPr>
        <w:t>soluciones comercialmente viables (Peter-Varbanets et al., 2009).</w:t>
      </w:r>
      <w:r>
        <w:rPr>
          <w:rFonts w:ascii="Arial Narrow" w:hAnsi="Arial Narrow"/>
          <w:sz w:val="22"/>
          <w:szCs w:val="22"/>
        </w:rPr>
        <w:t xml:space="preserve"> Finalmente, </w:t>
      </w:r>
      <w:r w:rsidR="003C1D85">
        <w:rPr>
          <w:rFonts w:ascii="Arial Narrow" w:hAnsi="Arial Narrow"/>
          <w:sz w:val="22"/>
          <w:szCs w:val="22"/>
        </w:rPr>
        <w:t xml:space="preserve">en este modelo </w:t>
      </w:r>
      <w:r>
        <w:rPr>
          <w:rFonts w:ascii="Arial Narrow" w:hAnsi="Arial Narrow"/>
          <w:sz w:val="22"/>
          <w:szCs w:val="22"/>
        </w:rPr>
        <w:t xml:space="preserve">la </w:t>
      </w:r>
      <w:r w:rsidR="001E6850" w:rsidRPr="001E6850">
        <w:rPr>
          <w:rFonts w:ascii="Arial Narrow" w:hAnsi="Arial Narrow"/>
          <w:sz w:val="22"/>
          <w:szCs w:val="22"/>
        </w:rPr>
        <w:t>Comunidad</w:t>
      </w:r>
      <w:r w:rsidR="003C1D85">
        <w:rPr>
          <w:rFonts w:ascii="Arial Narrow" w:hAnsi="Arial Narrow"/>
          <w:sz w:val="22"/>
          <w:szCs w:val="22"/>
        </w:rPr>
        <w:t xml:space="preserve"> </w:t>
      </w:r>
      <w:r w:rsidR="001E6850" w:rsidRPr="001E6850">
        <w:rPr>
          <w:rFonts w:ascii="Arial Narrow" w:hAnsi="Arial Narrow"/>
          <w:sz w:val="22"/>
          <w:szCs w:val="22"/>
        </w:rPr>
        <w:t xml:space="preserve">participa </w:t>
      </w:r>
      <w:r w:rsidR="003C1D85">
        <w:rPr>
          <w:rFonts w:ascii="Arial Narrow" w:hAnsi="Arial Narrow"/>
          <w:sz w:val="22"/>
          <w:szCs w:val="22"/>
        </w:rPr>
        <w:t xml:space="preserve">en el proceso de </w:t>
      </w:r>
      <w:r w:rsidR="001E6850" w:rsidRPr="001E6850">
        <w:rPr>
          <w:rFonts w:ascii="Arial Narrow" w:hAnsi="Arial Narrow"/>
          <w:sz w:val="22"/>
          <w:szCs w:val="22"/>
        </w:rPr>
        <w:t xml:space="preserve">diagnóstico territorial, la validación </w:t>
      </w:r>
      <w:r w:rsidR="003C1D85">
        <w:rPr>
          <w:rFonts w:ascii="Arial Narrow" w:hAnsi="Arial Narrow"/>
          <w:sz w:val="22"/>
          <w:szCs w:val="22"/>
        </w:rPr>
        <w:t>social/cultural</w:t>
      </w:r>
      <w:r w:rsidR="001E6850" w:rsidRPr="001E6850">
        <w:rPr>
          <w:rFonts w:ascii="Arial Narrow" w:hAnsi="Arial Narrow"/>
          <w:sz w:val="22"/>
          <w:szCs w:val="22"/>
        </w:rPr>
        <w:t xml:space="preserve"> de las soluciones, la operación del sistema y la toma de decisiones a través de las JAA, garantizando la apropiación y sostenibilidad </w:t>
      </w:r>
      <w:r w:rsidR="008D4E14">
        <w:rPr>
          <w:rFonts w:ascii="Arial Narrow" w:hAnsi="Arial Narrow"/>
          <w:sz w:val="22"/>
          <w:szCs w:val="22"/>
        </w:rPr>
        <w:t xml:space="preserve">de los sistemas de abasto </w:t>
      </w:r>
      <w:r w:rsidR="001E6850" w:rsidRPr="001E6850">
        <w:rPr>
          <w:rFonts w:ascii="Arial Narrow" w:hAnsi="Arial Narrow"/>
          <w:sz w:val="22"/>
          <w:szCs w:val="22"/>
        </w:rPr>
        <w:t>(Marks &amp; Davis, 2012).</w:t>
      </w:r>
    </w:p>
    <w:p w14:paraId="4FD35427" w14:textId="77777777" w:rsidR="00751561" w:rsidRPr="001E6850" w:rsidRDefault="00751561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</w:p>
    <w:p w14:paraId="17473DD5" w14:textId="4539FE96" w:rsidR="001E6850" w:rsidRPr="001E6850" w:rsidRDefault="00E852F3" w:rsidP="006D729D">
      <w:p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Para lograrlo, l</w:t>
      </w:r>
      <w:r w:rsidR="001E6850" w:rsidRPr="001E6850">
        <w:rPr>
          <w:rFonts w:ascii="Arial Narrow" w:hAnsi="Arial Narrow"/>
          <w:sz w:val="22"/>
          <w:szCs w:val="22"/>
        </w:rPr>
        <w:t xml:space="preserve">a </w:t>
      </w:r>
      <w:r>
        <w:rPr>
          <w:rFonts w:ascii="Arial Narrow" w:hAnsi="Arial Narrow"/>
          <w:sz w:val="22"/>
          <w:szCs w:val="22"/>
        </w:rPr>
        <w:t xml:space="preserve">implementación de la </w:t>
      </w:r>
      <w:r w:rsidR="001E6850" w:rsidRPr="001E6850">
        <w:rPr>
          <w:rFonts w:ascii="Arial Narrow" w:hAnsi="Arial Narrow"/>
          <w:sz w:val="22"/>
          <w:szCs w:val="22"/>
        </w:rPr>
        <w:t xml:space="preserve">CBPR </w:t>
      </w:r>
      <w:r>
        <w:rPr>
          <w:rFonts w:ascii="Arial Narrow" w:hAnsi="Arial Narrow"/>
          <w:sz w:val="22"/>
          <w:szCs w:val="22"/>
        </w:rPr>
        <w:t xml:space="preserve">es un </w:t>
      </w:r>
      <w:r w:rsidR="001E6850" w:rsidRPr="001E6850">
        <w:rPr>
          <w:rFonts w:ascii="Arial Narrow" w:hAnsi="Arial Narrow"/>
          <w:sz w:val="22"/>
          <w:szCs w:val="22"/>
        </w:rPr>
        <w:t xml:space="preserve">eje transversal del modelo </w:t>
      </w:r>
      <w:r>
        <w:rPr>
          <w:rFonts w:ascii="Arial Narrow" w:hAnsi="Arial Narrow"/>
          <w:sz w:val="22"/>
          <w:szCs w:val="22"/>
        </w:rPr>
        <w:t xml:space="preserve">CCA, donde </w:t>
      </w:r>
      <w:r w:rsidR="001E6850" w:rsidRPr="001E6850">
        <w:rPr>
          <w:rFonts w:ascii="Arial Narrow" w:hAnsi="Arial Narrow"/>
          <w:sz w:val="22"/>
          <w:szCs w:val="22"/>
        </w:rPr>
        <w:t>las comunidades no son beneficiarias pasivas sino co-investigadoras</w:t>
      </w:r>
      <w:r>
        <w:rPr>
          <w:rFonts w:ascii="Arial Narrow" w:hAnsi="Arial Narrow"/>
          <w:sz w:val="22"/>
          <w:szCs w:val="22"/>
        </w:rPr>
        <w:t xml:space="preserve">, y por lo tanto, </w:t>
      </w:r>
      <w:r w:rsidR="001E6850" w:rsidRPr="001E6850">
        <w:rPr>
          <w:rFonts w:ascii="Arial Narrow" w:hAnsi="Arial Narrow"/>
          <w:sz w:val="22"/>
          <w:szCs w:val="22"/>
        </w:rPr>
        <w:t xml:space="preserve">participan en la identificación de problemas, </w:t>
      </w:r>
      <w:r>
        <w:rPr>
          <w:rFonts w:ascii="Arial Narrow" w:hAnsi="Arial Narrow"/>
          <w:sz w:val="22"/>
          <w:szCs w:val="22"/>
        </w:rPr>
        <w:t xml:space="preserve">el proceso de diseño, </w:t>
      </w:r>
      <w:r w:rsidR="001E6850" w:rsidRPr="001E6850">
        <w:rPr>
          <w:rFonts w:ascii="Arial Narrow" w:hAnsi="Arial Narrow"/>
          <w:sz w:val="22"/>
          <w:szCs w:val="22"/>
        </w:rPr>
        <w:t xml:space="preserve">validación de las tecnologías propuestas y el seguimiento de los resultados obtenidos (Wallerstein &amp; Duran, 2006; Minkler &amp; Wallerstein, 2008). Este proceso </w:t>
      </w:r>
      <w:r>
        <w:rPr>
          <w:rFonts w:ascii="Arial Narrow" w:hAnsi="Arial Narrow"/>
          <w:sz w:val="22"/>
          <w:szCs w:val="22"/>
        </w:rPr>
        <w:t xml:space="preserve">potencialmente contribuye a generar </w:t>
      </w:r>
      <w:r>
        <w:rPr>
          <w:rFonts w:ascii="Arial Narrow" w:hAnsi="Arial Narrow"/>
          <w:sz w:val="22"/>
          <w:szCs w:val="22"/>
        </w:rPr>
        <w:lastRenderedPageBreak/>
        <w:t xml:space="preserve">condiciones para la </w:t>
      </w:r>
      <w:r w:rsidR="001E6850" w:rsidRPr="001E6850">
        <w:rPr>
          <w:rFonts w:ascii="Arial Narrow" w:hAnsi="Arial Narrow"/>
          <w:sz w:val="22"/>
          <w:szCs w:val="22"/>
        </w:rPr>
        <w:t xml:space="preserve">apropiación social del conocimiento y reduce sustancialmente el riesgo de que los sistemas construidos sean abandonados una vez concluido el proyecto (Jagosh et al., 2012). </w:t>
      </w:r>
      <w:r w:rsidR="00751561">
        <w:rPr>
          <w:rFonts w:ascii="Arial Narrow" w:hAnsi="Arial Narrow"/>
          <w:sz w:val="22"/>
          <w:szCs w:val="22"/>
        </w:rPr>
        <w:t>Por lo tanto, l</w:t>
      </w:r>
      <w:r w:rsidR="001E6850" w:rsidRPr="001E6850">
        <w:rPr>
          <w:rFonts w:ascii="Arial Narrow" w:hAnsi="Arial Narrow"/>
          <w:sz w:val="22"/>
          <w:szCs w:val="22"/>
        </w:rPr>
        <w:t>os resultados esperados de</w:t>
      </w:r>
      <w:r>
        <w:rPr>
          <w:rFonts w:ascii="Arial Narrow" w:hAnsi="Arial Narrow"/>
          <w:sz w:val="22"/>
          <w:szCs w:val="22"/>
        </w:rPr>
        <w:t>l enfoque CCA</w:t>
      </w:r>
      <w:r w:rsidR="001E6850" w:rsidRPr="001E6850">
        <w:rPr>
          <w:rFonts w:ascii="Arial Narrow" w:hAnsi="Arial Narrow"/>
          <w:sz w:val="22"/>
          <w:szCs w:val="22"/>
        </w:rPr>
        <w:t xml:space="preserve"> incluyen publicaciones científicas indexadas, prototipos tecnológicos validados en campo, manuales de operación adaptados al RAS Rural y fortalecimiento de la capacidad de gestión comunitaria. La cuantificación del impacto en salud y bienestar (Hutton et al., 2007; Moe &amp; Rheingans, 2006; Wolf et al., 2014) </w:t>
      </w:r>
      <w:r>
        <w:rPr>
          <w:rFonts w:ascii="Arial Narrow" w:hAnsi="Arial Narrow"/>
          <w:sz w:val="22"/>
          <w:szCs w:val="22"/>
        </w:rPr>
        <w:t xml:space="preserve">puede ser integrado </w:t>
      </w:r>
      <w:r w:rsidR="001E6850" w:rsidRPr="001E6850">
        <w:rPr>
          <w:rFonts w:ascii="Arial Narrow" w:hAnsi="Arial Narrow"/>
          <w:sz w:val="22"/>
          <w:szCs w:val="22"/>
        </w:rPr>
        <w:t>como indicador principal de éxito. Este modelo responde simultáneamente al ODS 6, al ODS 17 y al ODS 11, y tiene potencial de escalamiento nacional a partir de casos piloto documentados.</w:t>
      </w:r>
    </w:p>
    <w:p w14:paraId="231BC550" w14:textId="77777777" w:rsidR="001E6850" w:rsidRPr="00E379A2" w:rsidRDefault="001E6850" w:rsidP="006D729D">
      <w:pPr>
        <w:pStyle w:val="Ttulo1"/>
        <w:spacing w:after="0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  <w:r w:rsidRPr="00E379A2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6. Bibliografía</w:t>
      </w:r>
    </w:p>
    <w:p w14:paraId="7B6D49A1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Bain, R., Cronk, R., Wright, J., Yang, H., Slaymaker, T., &amp; Bartram, J. (2014). Rural: Urban inequalities in post millennium development goal targets for drinking-water and sanitation. PLOS ONE, 9(6), e97766. https://doi.org/10.1371/journal.pone.0097766</w:t>
      </w:r>
    </w:p>
    <w:p w14:paraId="2AAE8ED7" w14:textId="77777777" w:rsidR="001E6850" w:rsidRPr="00E379A2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 xml:space="preserve">Bartram, J., &amp; Cairncross, S. (2010). Hygiene, sanitation, and water: Forgotten foundations of health. </w:t>
      </w:r>
      <w:r w:rsidRPr="00E379A2">
        <w:rPr>
          <w:rFonts w:ascii="Arial Narrow" w:hAnsi="Arial Narrow"/>
          <w:sz w:val="22"/>
          <w:szCs w:val="22"/>
          <w:lang w:val="en-US"/>
        </w:rPr>
        <w:t>PLOS Medicine, 7(11), e1000367. https://doi.org/10.1371/journal.pmed.1000367</w:t>
      </w:r>
    </w:p>
    <w:p w14:paraId="7B78E8EF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Boisson, S., Stevenson, M., Shapiro, L., Kumar, V., Singh, L. P., Ward, D., &amp; Clasen, T. (2013). Effect of household-based drinking water chlorination on diarrhoea among children under five in Orissa, India. PLOS Medicine, 10(8), e1001497. https://doi.org/10.1371/journal.pmed.1001497</w:t>
      </w:r>
    </w:p>
    <w:p w14:paraId="688D05FE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Cairncross, S., Hunt, C., Boisson, S., Bostoen, K., Curtis, V., Fung, I. C., &amp; Schmidt, W. P. (2010). Water, sanitation and hygiene for the prevention of diarrhoea. International Journal of Epidemiology, 39(Suppl. 1), i193–i205. https://doi.org/10.1093/ije/dyq035</w:t>
      </w:r>
    </w:p>
    <w:p w14:paraId="052BD424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Carayannis, E. G., &amp; Campbell, D. F. J. (2009). 'Mode 3' and 'Quadruple Helix': Toward a 21st century fractal innovation ecosystem. International Journal of Technology Management, 46(3–4), 201–234. https://doi.org/10.1504/IJTM.2009.023374</w:t>
      </w:r>
    </w:p>
    <w:p w14:paraId="39D00720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  <w:lang w:val="en-US"/>
        </w:rPr>
        <w:t xml:space="preserve">Cronk, R., &amp; Bartram, J. (2017). Factors influencing water system functionality in Nigeria and Tanzania: A regression and qualitative comparative analysis. </w:t>
      </w:r>
      <w:r w:rsidRPr="001E6850">
        <w:rPr>
          <w:rFonts w:ascii="Arial Narrow" w:hAnsi="Arial Narrow"/>
          <w:sz w:val="22"/>
          <w:szCs w:val="22"/>
        </w:rPr>
        <w:t>Environmental Science &amp; Technology, 51(1), 490–502. https://doi.org/10.1021/acs.est.6b04263</w:t>
      </w:r>
    </w:p>
    <w:p w14:paraId="7CAE2EF6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</w:rPr>
        <w:t xml:space="preserve">Departamento Nacional de Planeación (DNP). (2022). Informe de seguimiento a los indicadores de acceso a agua potable y saneamiento básico en zonas rurales. </w:t>
      </w:r>
      <w:r w:rsidRPr="001E6850">
        <w:rPr>
          <w:rFonts w:ascii="Arial Narrow" w:hAnsi="Arial Narrow"/>
          <w:sz w:val="22"/>
          <w:szCs w:val="22"/>
          <w:lang w:val="en-US"/>
        </w:rPr>
        <w:t>DNP.</w:t>
      </w:r>
    </w:p>
    <w:p w14:paraId="414C997D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Etzkowitz, H., &amp; Leydesdorff, L. (2000). The dynamics of innovation: From national systems and 'Mode 2' to a Triple Helix of university–industry–government relations. Research Policy, 29(2), 109–123. https://doi.org/10.1016/S0048-7333(99)00055-4</w:t>
      </w:r>
    </w:p>
    <w:p w14:paraId="32A92FA5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Fewtrell, L., Kaufmann, R. B., Kay, D., Enanoria, W., Haller, L., &amp; Colford, J. M. (2005). Water, sanitation, and hygiene interventions to reduce diarrhoea in less developed countries: A systematic review and meta-analysis. The Lancet Infectious Diseases, 5(1), 42–52. https://doi.org/10.1016/S1473-3099(04)01253-8</w:t>
      </w:r>
    </w:p>
    <w:p w14:paraId="1F95A19D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Foster, T., &amp; Hope, R. (2016). A multi-decadal and social-ecological systems analysis of community waterpoint payment behaviors in rural Kenya. Journal of Rural Studies, 47, 85–96. https://doi.org/10.1016/j.jrurstud.2016.07.026</w:t>
      </w:r>
    </w:p>
    <w:p w14:paraId="4A65C140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Giné-Garriga, R., de Palència, A. J. F., &amp; Pérez-Foguet, A. (2013). Improved monitoring framework for local planning in the water, sanitation and hygiene sector: From data to decision. Environmental Science &amp; Policy, 34, 87–101. https://doi.org/10.1016/j.envsci.2013.01.012</w:t>
      </w:r>
    </w:p>
    <w:p w14:paraId="3CB39D73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Global Water Partnership (GWP). (2000). Integrated water resources management. TAC Background Papers No. 4. GWP.</w:t>
      </w:r>
    </w:p>
    <w:p w14:paraId="51AC1F84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lastRenderedPageBreak/>
        <w:t>Harvey, P. A., &amp; Reed, R. A. (2007). Community-managed water supplies in Africa: Sustainable or dispensable? Community Development Journal, 42(3), 365–378. https://doi.org/10.1093/cdj/bsl001</w:t>
      </w:r>
    </w:p>
    <w:p w14:paraId="5341E384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Hutton, G., Haller, L., &amp; Bartram, J. (2007). Global cost-benefit analysis of water supply and sanitation interventions. Journal of Water and Health, 5(4), 481–502. https://doi.org/10.2166/wh.2007.009</w:t>
      </w:r>
    </w:p>
    <w:p w14:paraId="3243071F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Jagosh, J., Macaulay, A. C., Pluye, P., Salsberg, J., Bush, P. L., Henderson, J., Sirett, E., Wong, G., Cargo, M., Herbert, C. P., Seifer, S. D., Green, L. W., &amp; Greenhalgh, T. (2012). Uncovering the benefits of participatory research: Implications of a realist review for health research and practice. Milbank Quarterly, 90(2), 311–346. https://doi.org/10.1111/j.1468-0009.2012.00665.x</w:t>
      </w:r>
    </w:p>
    <w:p w14:paraId="5074F81E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Jiménez, A., &amp; Pérez-Foguet, A. (2010). Challenges for water governance in rural water supply: Lessons learned from Tanzania. International Journal of Water Resources Development, 26(2), 235–248. https://doi.org/10.1080/07900621003775558</w:t>
      </w:r>
    </w:p>
    <w:p w14:paraId="325F7828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Kayser, G. L., Amjad, U., Dalcanale, F., Bartram, J., &amp; Bentley, M. E. (2015). Drinking water quality governance: A comparative case study of Brazil, Ecuador, and Malawi. Environmental Science &amp; Policy, 48, 186–195. https://doi.org/10.1016/j.envsci.2014.12.019</w:t>
      </w:r>
    </w:p>
    <w:p w14:paraId="13916788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Koehler, J., Thomson, P., &amp; Hope, R. (2015). Definitely maybe: Estimating probability of rural water service sustainability. Waterlines, 34(4), 293–311. https://doi.org/10.3362/1756-3488.2015.026</w:t>
      </w:r>
    </w:p>
    <w:p w14:paraId="4C3D8D72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Kumpel, E., &amp; Nelson, K. L. (2016). Intermittent water supply: Prevalence, practice, and microbial water quality. Environmental Science &amp; Technology, 50(2), 542–553. https://doi.org/10.1021/acs.est.5b03973</w:t>
      </w:r>
    </w:p>
    <w:p w14:paraId="70681B5D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Lockwood, H., &amp; Smits, S. (2011). Supporting rural water supply: Moving towards a service delivery approach. Practical Action Publishing.</w:t>
      </w:r>
    </w:p>
    <w:p w14:paraId="64EEAD87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Luh, J., Baum, R., &amp; Bartram, J. (2013). Equity in water and sanitation: Developing an index to measure progressive realization of the human right to water. International Journal of Hygiene and Environmental Health, 216(6), 662–671. https://doi.org/10.1016/j.ijheh.2012.11.003</w:t>
      </w:r>
    </w:p>
    <w:p w14:paraId="3383FFDE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Marks, S. J., &amp; Davis, J. (2012). Does user participation lead to sense of ownership for rural water systems? Evidence from Kenya. World Development, 40(8), 1569–1576. https://doi.org/10.1016/j.worlddev.2012.03.004</w:t>
      </w:r>
    </w:p>
    <w:p w14:paraId="69FBA9BC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1E6850">
        <w:rPr>
          <w:rFonts w:ascii="Arial Narrow" w:hAnsi="Arial Narrow"/>
          <w:sz w:val="22"/>
          <w:szCs w:val="22"/>
          <w:lang w:val="en-US"/>
        </w:rPr>
        <w:t xml:space="preserve">Mihelcic, J. R., Fry, L. M., Myre, E. A., Phillips, L. D., &amp; Barkdoll, B. D. (2009). Field guide to environmental engineering for development workers: Water, sanitation, and indoor air. </w:t>
      </w:r>
      <w:r w:rsidRPr="001E6850">
        <w:rPr>
          <w:rFonts w:ascii="Arial Narrow" w:hAnsi="Arial Narrow"/>
          <w:sz w:val="22"/>
          <w:szCs w:val="22"/>
        </w:rPr>
        <w:t>ASCE Press.</w:t>
      </w:r>
    </w:p>
    <w:p w14:paraId="76AB7313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</w:rPr>
        <w:t xml:space="preserve">Ministerio de Vivienda, Ciudad y Territorio (MVCT). (2017). Resolución 0330 de 2017: Reglamento Técnico para el Sector de Agua Potable y Saneamiento Básico – RAS. </w:t>
      </w:r>
      <w:r w:rsidRPr="001E6850">
        <w:rPr>
          <w:rFonts w:ascii="Arial Narrow" w:hAnsi="Arial Narrow"/>
          <w:sz w:val="22"/>
          <w:szCs w:val="22"/>
          <w:lang w:val="en-US"/>
        </w:rPr>
        <w:t>MVCT.</w:t>
      </w:r>
    </w:p>
    <w:p w14:paraId="2A6AA1AE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Minkler, M., &amp; Wallerstein, N. (Eds.). (2008). Community-based participatory research for health: From process to outcomes (2nd ed.). Jossey-Bass.</w:t>
      </w:r>
    </w:p>
    <w:p w14:paraId="57C95AC3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Moe, C. L., &amp; Rheingans, R. D. (2006). Global challenges in water, sanitation and health. Journal of Water and Health, 4(S1), 41–57. https://doi.org/10.2166/wh.2006.0009</w:t>
      </w:r>
    </w:p>
    <w:p w14:paraId="62ABE0C6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Mwangi, J. K., Wambua, S. A., &amp; Ongoma, V. (2020). Challenges of community-based water management in Kenya. Water Policy, 22(3), 415–432. https://doi.org/10.2166/wp.2020.119</w:t>
      </w:r>
    </w:p>
    <w:p w14:paraId="4BDD8C7D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Pickering, A. J., &amp; Davis, J. (2012). Freshwater availability and water fetching distance affect child health in sub-Saharan Africa. Environmental Science &amp; Technology, 46(4), 2391–2397. https://doi.org/10.1021/es203177v</w:t>
      </w:r>
    </w:p>
    <w:p w14:paraId="0D637F0A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Prince, M. (2004). Does active learning work? A review of the research. Journal of Engineering Education, 93(3), 223–231. https://doi.org/10.1002/j.2168-9830.2004.tb00809.x</w:t>
      </w:r>
    </w:p>
    <w:p w14:paraId="3D0D5E20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 xml:space="preserve">Prüss-Üstün, A., Bartram, J., Clasen, T., Colford, J. M., Cumming, O., Curtis, V., Bonjour, S., Dangour, A. D., De France, J., Fewtrell, L., Freeman, M. C., Gordon, B., Hunter, P. R., Johnston, R. B., Mathers, C., Mäusezahl, D., Medlicott, K., Neira, M., Stocks, M., … Cairncross, S. (2014). Burden of disease from </w:t>
      </w:r>
      <w:r w:rsidRPr="001E6850">
        <w:rPr>
          <w:rFonts w:ascii="Arial Narrow" w:hAnsi="Arial Narrow"/>
          <w:sz w:val="22"/>
          <w:szCs w:val="22"/>
          <w:lang w:val="en-US"/>
        </w:rPr>
        <w:lastRenderedPageBreak/>
        <w:t>inadequate water, sanitation and hygiene in low- and middle-income settings. Tropical Medicine &amp; International Health, 19(8), 894–905. https://doi.org/10.1111/tmi.12329</w:t>
      </w:r>
    </w:p>
    <w:p w14:paraId="44E0D402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Sara, J., &amp; Katz, T. (1998). Making rural water supply sustainable: Report on the impact of project rules. UNDP–World Bank Water and Sanitation Program.</w:t>
      </w:r>
    </w:p>
    <w:p w14:paraId="0032172A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Schweitzer, R. W., &amp; Mihelcic, J. R. (2012). Assessing sustainability of community management of rural water systems in the developing world. Journal of Water, Sanitation and Hygiene for Development, 2(1), 20–30. https://doi.org/10.2166/washdev.2012.008</w:t>
      </w:r>
    </w:p>
    <w:p w14:paraId="1CAF4FD8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</w:rPr>
        <w:t xml:space="preserve">Sima, L. C., &amp; Elimelech, M. (2013). </w:t>
      </w:r>
      <w:r w:rsidRPr="001E6850">
        <w:rPr>
          <w:rFonts w:ascii="Arial Narrow" w:hAnsi="Arial Narrow"/>
          <w:sz w:val="22"/>
          <w:szCs w:val="22"/>
          <w:lang w:val="en-US"/>
        </w:rPr>
        <w:t>More than a drop in the bucket: Decentralized membrane-based drinking water refill stations in Southeast Asia. Environmental Science &amp; Technology, 47(14), 7580–7588. https://doi.org/10.1021/es304387t</w:t>
      </w:r>
    </w:p>
    <w:p w14:paraId="0C96E40B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Starkl, M., Brunner, N., &amp; Stenström, T. A. (2013). Why do water and sanitation systems for the poor still fail? Policy analysis in economically advanced developing countries. Environmental Science &amp; Technology, 47(12), 6102–6110. https://doi.org/10.1021/es3048416</w:t>
      </w:r>
    </w:p>
    <w:p w14:paraId="787768AC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United Nations (UN). (2015). Transforming our world: The 2030 agenda for sustainable development. UN.</w:t>
      </w:r>
    </w:p>
    <w:p w14:paraId="17F7937C" w14:textId="77777777" w:rsidR="001E6850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Wallerstein, N. B., &amp; Duran, B. (2006). Using community-based participatory research to address health disparities. Health Promotion Practice, 7(3), 312–323. https://doi.org/10.1177/1524839906289376</w:t>
      </w:r>
    </w:p>
    <w:p w14:paraId="6278DDEF" w14:textId="77777777" w:rsidR="001E6850" w:rsidRPr="00E379A2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 xml:space="preserve">World Health Organization (WHO) &amp; UNICEF. (2023). Progress on household drinking water, sanitation and hygiene 2000–2022: Special focus on gender. </w:t>
      </w:r>
      <w:r w:rsidRPr="00E379A2">
        <w:rPr>
          <w:rFonts w:ascii="Arial Narrow" w:hAnsi="Arial Narrow"/>
          <w:sz w:val="22"/>
          <w:szCs w:val="22"/>
          <w:lang w:val="en-US"/>
        </w:rPr>
        <w:t>WHO &amp; UNICEF.</w:t>
      </w:r>
    </w:p>
    <w:p w14:paraId="1A8FC3D0" w14:textId="51E6FBE8" w:rsidR="00103DAF" w:rsidRPr="001E6850" w:rsidRDefault="001E6850" w:rsidP="006D729D">
      <w:pPr>
        <w:spacing w:after="0" w:line="276" w:lineRule="auto"/>
        <w:rPr>
          <w:rFonts w:ascii="Arial Narrow" w:hAnsi="Arial Narrow"/>
          <w:sz w:val="22"/>
          <w:szCs w:val="22"/>
          <w:lang w:val="en-US"/>
        </w:rPr>
      </w:pPr>
      <w:r w:rsidRPr="001E6850">
        <w:rPr>
          <w:rFonts w:ascii="Arial Narrow" w:hAnsi="Arial Narrow"/>
          <w:sz w:val="22"/>
          <w:szCs w:val="22"/>
          <w:lang w:val="en-US"/>
        </w:rPr>
        <w:t>Nota: Las referencias de Waterlines, Journal of Water and Health, Water Policy, Journal of Hydroinformatics y Journal of Water, Sanitation and Hygiene for Development corresponden a revistas Q1 de IWA Publishing. Las referencias CBPR (Israel et al., 1998; Wallerstein &amp; Duran, 2006; Minkler &amp; Wallerstein, 2008; Cargo &amp; Mercer, 2008; Jagosh et al., 2012) corresponden a revistas Q1 de Annual Review of Public Health, Health Promotion Practice y Milbank Quarterly.</w:t>
      </w:r>
    </w:p>
    <w:sectPr w:rsidR="00103DAF" w:rsidRPr="001E68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2C44"/>
    <w:multiLevelType w:val="hybridMultilevel"/>
    <w:tmpl w:val="C45462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20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850"/>
    <w:rsid w:val="00065693"/>
    <w:rsid w:val="000C6991"/>
    <w:rsid w:val="000C7357"/>
    <w:rsid w:val="00103DAF"/>
    <w:rsid w:val="001171E2"/>
    <w:rsid w:val="00145B5B"/>
    <w:rsid w:val="001E6850"/>
    <w:rsid w:val="00265B7E"/>
    <w:rsid w:val="002900E2"/>
    <w:rsid w:val="003603D0"/>
    <w:rsid w:val="003C1D85"/>
    <w:rsid w:val="003D5E28"/>
    <w:rsid w:val="003F4768"/>
    <w:rsid w:val="00481948"/>
    <w:rsid w:val="004E1658"/>
    <w:rsid w:val="00512E7E"/>
    <w:rsid w:val="00653675"/>
    <w:rsid w:val="00672DF4"/>
    <w:rsid w:val="006A6FE7"/>
    <w:rsid w:val="006D729D"/>
    <w:rsid w:val="00707A54"/>
    <w:rsid w:val="00751561"/>
    <w:rsid w:val="00754E79"/>
    <w:rsid w:val="007B3574"/>
    <w:rsid w:val="007F14BA"/>
    <w:rsid w:val="008007B6"/>
    <w:rsid w:val="008043F4"/>
    <w:rsid w:val="00840873"/>
    <w:rsid w:val="0087570F"/>
    <w:rsid w:val="008D4E14"/>
    <w:rsid w:val="00955CB5"/>
    <w:rsid w:val="00A27540"/>
    <w:rsid w:val="00AC25FC"/>
    <w:rsid w:val="00AD0594"/>
    <w:rsid w:val="00B54513"/>
    <w:rsid w:val="00BD1D21"/>
    <w:rsid w:val="00BE7ED3"/>
    <w:rsid w:val="00CC50E2"/>
    <w:rsid w:val="00CE43F5"/>
    <w:rsid w:val="00D65F95"/>
    <w:rsid w:val="00D7598E"/>
    <w:rsid w:val="00DC087A"/>
    <w:rsid w:val="00E17E95"/>
    <w:rsid w:val="00E379A2"/>
    <w:rsid w:val="00E416CF"/>
    <w:rsid w:val="00E8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6001DE"/>
  <w15:chartTrackingRefBased/>
  <w15:docId w15:val="{07577A54-765D-460F-A2FA-43CBAD19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6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6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68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6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68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6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6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6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6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68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E68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68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68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68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68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68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68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68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6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6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6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6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6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68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68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68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68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68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68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3779</Words>
  <Characters>20785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Unibague Office 2024</Company>
  <LinksUpToDate>false</LinksUpToDate>
  <CharactersWithSpaces>24515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Peña Rojas</dc:creator>
  <cp:keywords/>
  <dc:description/>
  <cp:lastModifiedBy>Luis Eduardo Peña Rojas</cp:lastModifiedBy>
  <cp:revision>39</cp:revision>
  <dcterms:created xsi:type="dcterms:W3CDTF">2026-03-25T14:03:00Z</dcterms:created>
  <dcterms:modified xsi:type="dcterms:W3CDTF">2026-03-25T15:49:00Z</dcterms:modified>
</cp:coreProperties>
</file>