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E0D70" w14:textId="77777777" w:rsidR="00443706" w:rsidRPr="00670255" w:rsidRDefault="00443706" w:rsidP="00670255">
      <w:pPr>
        <w:spacing w:line="276" w:lineRule="auto"/>
        <w:jc w:val="both"/>
        <w:rPr>
          <w:rFonts w:ascii="Arial Narrow" w:hAnsi="Arial Narrow"/>
          <w:b/>
          <w:bCs/>
        </w:rPr>
      </w:pPr>
      <w:r w:rsidRPr="00670255">
        <w:rPr>
          <w:rFonts w:ascii="Arial Narrow" w:hAnsi="Arial Narrow"/>
          <w:b/>
          <w:bCs/>
        </w:rPr>
        <w:t>¿Cuál sería mi aporte como docente en las tres actividades misionales de la universidad: docencia, investigación y extensión?</w:t>
      </w:r>
    </w:p>
    <w:p w14:paraId="0504E746" w14:textId="4FB23EE1" w:rsidR="00443706" w:rsidRPr="00670255" w:rsidRDefault="0095743D" w:rsidP="00670255">
      <w:pPr>
        <w:spacing w:line="276" w:lineRule="auto"/>
        <w:jc w:val="both"/>
        <w:rPr>
          <w:rFonts w:ascii="Arial Narrow" w:hAnsi="Arial Narrow"/>
        </w:rPr>
      </w:pPr>
      <w:r w:rsidRPr="00670255">
        <w:rPr>
          <w:rFonts w:ascii="Arial Narrow" w:hAnsi="Arial Narrow"/>
        </w:rPr>
        <w:t xml:space="preserve">La Universidad Nacional de Colombia no solo me formó como geóloga, sino que también definió mi identidad intelectual, ética y científica debido a mi participación en un proyecto de investigación desarrollado por la institución y </w:t>
      </w:r>
      <w:r w:rsidR="00756E06" w:rsidRPr="00670255">
        <w:rPr>
          <w:rFonts w:ascii="Arial Narrow" w:hAnsi="Arial Narrow"/>
        </w:rPr>
        <w:t>a</w:t>
      </w:r>
      <w:r w:rsidRPr="00670255">
        <w:rPr>
          <w:rFonts w:ascii="Arial Narrow" w:hAnsi="Arial Narrow"/>
        </w:rPr>
        <w:t xml:space="preserve"> la realización de mis estudios de posgrado en la misma. Por lo tanto, c</w:t>
      </w:r>
      <w:r w:rsidR="00443706" w:rsidRPr="00670255">
        <w:rPr>
          <w:rFonts w:ascii="Arial Narrow" w:hAnsi="Arial Narrow"/>
        </w:rPr>
        <w:t xml:space="preserve">omo egresada que retorna, mi aspiración de vinculación docente </w:t>
      </w:r>
      <w:r w:rsidRPr="00670255">
        <w:rPr>
          <w:rFonts w:ascii="Arial Narrow" w:hAnsi="Arial Narrow"/>
        </w:rPr>
        <w:t xml:space="preserve">se </w:t>
      </w:r>
      <w:r w:rsidR="00756E06" w:rsidRPr="00670255">
        <w:rPr>
          <w:rFonts w:ascii="Arial Narrow" w:hAnsi="Arial Narrow"/>
        </w:rPr>
        <w:t>basa</w:t>
      </w:r>
      <w:r w:rsidRPr="00670255">
        <w:rPr>
          <w:rFonts w:ascii="Arial Narrow" w:hAnsi="Arial Narrow"/>
        </w:rPr>
        <w:t xml:space="preserve"> en mi </w:t>
      </w:r>
      <w:r w:rsidR="00443706" w:rsidRPr="00670255">
        <w:rPr>
          <w:rFonts w:ascii="Arial Narrow" w:hAnsi="Arial Narrow"/>
        </w:rPr>
        <w:t>compromiso institucional</w:t>
      </w:r>
      <w:r w:rsidRPr="00670255">
        <w:rPr>
          <w:rFonts w:ascii="Arial Narrow" w:hAnsi="Arial Narrow"/>
        </w:rPr>
        <w:t xml:space="preserve"> con la institución que me formó como profesional e investigadora. </w:t>
      </w:r>
      <w:r w:rsidR="00443706" w:rsidRPr="00670255">
        <w:rPr>
          <w:rFonts w:ascii="Arial Narrow" w:hAnsi="Arial Narrow"/>
        </w:rPr>
        <w:t xml:space="preserve">La Universidad Nacional ha sido históricamente un referente en la producción de conocimiento científico de alto nivel en el país, articulando investigación, docencia y extensión bajo el principio de responsabilidad social universitaria (Universidad Nacional de Colombia, 2020). </w:t>
      </w:r>
      <w:r w:rsidRPr="00670255">
        <w:rPr>
          <w:rFonts w:ascii="Arial Narrow" w:hAnsi="Arial Narrow"/>
        </w:rPr>
        <w:t xml:space="preserve">Mi continuo vínculo con </w:t>
      </w:r>
      <w:r w:rsidR="00443706" w:rsidRPr="00670255">
        <w:rPr>
          <w:rFonts w:ascii="Arial Narrow" w:hAnsi="Arial Narrow"/>
        </w:rPr>
        <w:t xml:space="preserve">este contexto me permitió comprender la relevancia de la ciencia financiada, la rigurosidad metodológica y la articulación entre academia, Estado y sociedad. </w:t>
      </w:r>
      <w:r w:rsidR="00756E06" w:rsidRPr="00670255">
        <w:rPr>
          <w:rFonts w:ascii="Arial Narrow" w:hAnsi="Arial Narrow"/>
        </w:rPr>
        <w:t>Asimismo, m</w:t>
      </w:r>
      <w:r w:rsidR="00443706" w:rsidRPr="00670255">
        <w:rPr>
          <w:rFonts w:ascii="Arial Narrow" w:hAnsi="Arial Narrow"/>
        </w:rPr>
        <w:t xml:space="preserve">i participación en proyectos de investigación financiados, desarrollados en alianza con entidades nacionales y orientados a problemáticas estratégicas relacionadas con la gestión del agua y los sistemas geológicos superficiales, consolidó esta visión. En </w:t>
      </w:r>
      <w:r w:rsidR="00756E06" w:rsidRPr="00670255">
        <w:rPr>
          <w:rFonts w:ascii="Arial Narrow" w:hAnsi="Arial Narrow"/>
        </w:rPr>
        <w:t>estos</w:t>
      </w:r>
      <w:r w:rsidR="00443706" w:rsidRPr="00670255">
        <w:rPr>
          <w:rFonts w:ascii="Arial Narrow" w:hAnsi="Arial Narrow"/>
        </w:rPr>
        <w:t xml:space="preserve"> espacios no solo fortalecí mis competencias técnicas en análisis espacial, modelamiento y evaluación geomorfológica, sino que comprendí la dimensión administrativa y ética de la investigación con recursos públicos, donde la transparencia, la eficiencia y la pertinencia social son fundamentales (Colciencias, 2018). Retornar a la Universidad Nacional implica, por tanto, aportar desde una experiencia que combina formación interna y trayectoria externa, reforzando la legitimidad académica de una egresada que regresa con competencias ampliadas y con una comprensión integral del papel estratégico de la universidad pública en el desarrollo científico del país.</w:t>
      </w:r>
    </w:p>
    <w:p w14:paraId="28292A38" w14:textId="69ABA479" w:rsidR="00443706" w:rsidRPr="00670255" w:rsidRDefault="00443706" w:rsidP="00670255">
      <w:pPr>
        <w:spacing w:line="276" w:lineRule="auto"/>
        <w:jc w:val="both"/>
        <w:rPr>
          <w:rFonts w:ascii="Arial Narrow" w:hAnsi="Arial Narrow"/>
        </w:rPr>
      </w:pPr>
      <w:r w:rsidRPr="00670255">
        <w:rPr>
          <w:rFonts w:ascii="Arial Narrow" w:hAnsi="Arial Narrow"/>
        </w:rPr>
        <w:t xml:space="preserve">Desde el punto de vista disciplinar, mi aporte se sitúa en la convergencia entre las geociencias tradicionales y las geociencias digitales, campo emergente que integra la comprensión de procesos geológicos con herramientas avanzadas de análisis espacial, teledetección y modelamiento geoespacial. Las transformaciones contemporáneas en la producción y disponibilidad de datos satelitales, modelos digitales de elevación y bases geográficas multiescalares han redefinido las metodologías en geomorfología, sedimentología y dinámica fluvial (Tarolli, 2014). Mi formación y experiencia me han permitido integrar estos recursos tecnológicos con fundamentos teóricos sólidos sobre sistemas sedimentarios exógenos, arquitectura fluvial y evolución del paisaje. En el ámbito docente, esta articulación representa una oportunidad para actualizar contenidos curriculares, fortalecer competencias digitales en los estudiantes y promover una formación alineada con estándares internacionales en </w:t>
      </w:r>
      <w:r w:rsidR="00756E06" w:rsidRPr="00670255">
        <w:rPr>
          <w:rFonts w:ascii="Arial Narrow" w:hAnsi="Arial Narrow"/>
        </w:rPr>
        <w:t xml:space="preserve">las ciencias de loa Tierra </w:t>
      </w:r>
      <w:r w:rsidRPr="00670255">
        <w:rPr>
          <w:rFonts w:ascii="Arial Narrow" w:hAnsi="Arial Narrow"/>
        </w:rPr>
        <w:t>(Goodchild, 2018). Además, considero fundamental incorporar un enfoque de género en la enseñanza de las geociencias. Diversos estudios han demostrado que la representación femenina en áreas STEM sigue siendo desigual, especialmente en campos relacionados con ciencias de la Tierra y tecnología (UNESCO, 2021). Como mujer formada en un entorno académico históricamente masculinizado, mi presencia y liderazgo en el aula contribuyen no solo a la diversidad institucional, sino a la construcción de referentes positivos para estudiantes mujeres que inician su formación científica. Este enfoque se materializa en prácticas pedagógicas inclusivas, en la visibilización del trabajo de científicas en geociencias y en la promoción de entornos académicos respetuosos y equitativos, alineados con las políticas de equidad de género promovidas por la Universidad Nacional de Colombia (Universidad Nacional de Colombia, 2019).</w:t>
      </w:r>
    </w:p>
    <w:p w14:paraId="4E456C40" w14:textId="42FBF319" w:rsidR="00443706" w:rsidRPr="00670255" w:rsidRDefault="00443706" w:rsidP="00670255">
      <w:pPr>
        <w:spacing w:line="276" w:lineRule="auto"/>
        <w:jc w:val="both"/>
        <w:rPr>
          <w:rFonts w:ascii="Arial Narrow" w:hAnsi="Arial Narrow"/>
        </w:rPr>
      </w:pPr>
      <w:r w:rsidRPr="00670255">
        <w:rPr>
          <w:rFonts w:ascii="Arial Narrow" w:hAnsi="Arial Narrow"/>
        </w:rPr>
        <w:t xml:space="preserve">A lo largo de mi trayectoria académica, la investigación se ha consolidado como mi principal fortaleza y eje articulador de mi perfil profesional. Mi trabajo de maestría, reconocido con distinción meritoria, evidenció mi capacidad para formular preguntas científicas complejas, diseñar metodologías robustas y producir resultados con aportes originales al estudio de sistemas sedimentarios exógenos. La investigación contemporánea en </w:t>
      </w:r>
      <w:r w:rsidRPr="00670255">
        <w:rPr>
          <w:rFonts w:ascii="Arial Narrow" w:hAnsi="Arial Narrow"/>
        </w:rPr>
        <w:lastRenderedPageBreak/>
        <w:t xml:space="preserve">geomorfología y dinámica fluvial exige integrar análisis multitemporal, interpretación morfométrica y modelamiento espacial para comprender la interacción entre clima, tectónica y procesos superficiales (Tucker &amp; Hancock, 2010). En este marco, he desarrollado competencias en análisis de imágenes satelitales, construcción de modelos digitales, evaluación de cambios morfológicos y análisis espacial cuantitativo. Mi experiencia en proyectos financiados fortaleció además mi capacidad para trabajar en equipos interdisciplinarios, gestionar cronogramas y articular resultados científicos con necesidades institucionales. Desde la Universidad Nacional, propongo consolidar y desarrollar líneas de investigación orientadas al estudio de la dinámica de sistemas sedimentarios en contextos tropicales andinos, la evaluación de respuestas geomorfológicas ante variabilidad climática, la aplicación de teledetección para monitoreo de procesos erosivos y fluviales, y la integración de análisis geoespacial en la gestión territorial y ambiental. Estas líneas dialogan con prioridades nacionales relacionadas con adaptación al cambio climático, gestión del riesgo y planificación sostenible (IDEAM, 2022). Asimismo, considero pertinente fortalecer la investigación en geociencias digitales como campo transversal que articule programación, análisis de datos espaciales y modelamiento predictivo, contribuyendo a posicionar a la Universidad Nacional como referente en innovación metodológica </w:t>
      </w:r>
      <w:r w:rsidR="00756E06" w:rsidRPr="00670255">
        <w:rPr>
          <w:rFonts w:ascii="Arial Narrow" w:hAnsi="Arial Narrow"/>
        </w:rPr>
        <w:t>en el campo de las ciencias de la Tierra</w:t>
      </w:r>
      <w:r w:rsidRPr="00670255">
        <w:rPr>
          <w:rFonts w:ascii="Arial Narrow" w:hAnsi="Arial Narrow"/>
        </w:rPr>
        <w:t>.</w:t>
      </w:r>
    </w:p>
    <w:p w14:paraId="5856BF25" w14:textId="77777777" w:rsidR="00443706" w:rsidRPr="00670255" w:rsidRDefault="00443706" w:rsidP="00670255">
      <w:pPr>
        <w:spacing w:line="276" w:lineRule="auto"/>
        <w:jc w:val="both"/>
        <w:rPr>
          <w:rFonts w:ascii="Arial Narrow" w:hAnsi="Arial Narrow"/>
        </w:rPr>
      </w:pPr>
      <w:r w:rsidRPr="00670255">
        <w:rPr>
          <w:rFonts w:ascii="Arial Narrow" w:hAnsi="Arial Narrow"/>
        </w:rPr>
        <w:t>Mi potencial de liderazgo académico se fundamenta en la combinación de excelencia certificada, experiencia en investigación financiada y compromiso institucional. La excelencia académica no solo se expresa en resultados cuantificables, como una maestría meritoria, sino en la capacidad de sostener estándares elevados de rigor científico, ética profesional y responsabilidad social. La experiencia en proyectos financiados me permitió comprender la dinámica de formulación de propuestas, la gestión de recursos y la rendición de cuentas, competencias esenciales para liderar grupos de investigación y atraer financiación competitiva. Desde esta perspectiva, aspiro a consolidar semilleros y grupos de investigación que integren estudiantes de pregrado y posgrado en proyectos articulados con convocatorias nacionales e internacionales. El liderazgo académico también implica capacidad de mentoría, orientación y formación integral de nuevas generaciones. La Universidad Nacional, como institución pública, tiene el desafío permanente de formar profesionales con pensamiento crítico, sensibilidad social y competencia técnica. Mi compromiso es contribuir activamente a este propósito, promoviendo una cultura investigativa temprana, estimulando la participación estudiantil en proyectos financiados y fomentando la publicación y divulgación científica como práctica formativa.</w:t>
      </w:r>
    </w:p>
    <w:p w14:paraId="12EFDDDD" w14:textId="77777777" w:rsidR="00443706" w:rsidRPr="00670255" w:rsidRDefault="00443706" w:rsidP="00670255">
      <w:pPr>
        <w:spacing w:line="276" w:lineRule="auto"/>
        <w:jc w:val="both"/>
        <w:rPr>
          <w:rFonts w:ascii="Arial Narrow" w:hAnsi="Arial Narrow"/>
        </w:rPr>
      </w:pPr>
      <w:r w:rsidRPr="00670255">
        <w:rPr>
          <w:rFonts w:ascii="Arial Narrow" w:hAnsi="Arial Narrow"/>
        </w:rPr>
        <w:t>En el ámbito de la extensión universitaria, considero fundamental fortalecer la transferencia de conocimiento geocientífico hacia comunidades, entidades públicas y sectores productivos. La extensión no debe entenderse como actividad secundaria, sino como función misional que articula ciencia y sociedad (Etzkowitz &amp; Leydesdorff, 2000). En el contexto colombiano, caracterizado por alta diversidad geomorfológica y vulnerabilidad ante eventos naturales, el conocimiento en sistemas exógenos y dinámica fluvial es crucial para la gestión del riesgo y la planificación territorial. Propongo desarrollar talleres de capacitación en herramientas SIG y teledetección para funcionarios públicos y comunidades locales, así como proyectos participativos de monitoreo ambiental que integren ciencia ciudadana y análisis geoespacial. Mi experiencia previa en proyectos financiados facilita la articulación con entidades estatales y la formulación de propuestas técnicamente sólidas y socialmente pertinentes. Asimismo, considero estratégico promover programas de divulgación científica dirigidos a estudiantes de educación media, incentivando vocaciones tempranas en geociencias y fortaleciendo la presencia femenina en STEM. La extensión, en este sentido, se convierte en plataforma para democratizar el conocimiento y fortalecer el vínculo entre la Universidad Nacional y la sociedad.</w:t>
      </w:r>
    </w:p>
    <w:p w14:paraId="171F1E96" w14:textId="4BB51F8A" w:rsidR="00443706" w:rsidRPr="00670255" w:rsidRDefault="00443706" w:rsidP="00670255">
      <w:pPr>
        <w:spacing w:line="276" w:lineRule="auto"/>
        <w:jc w:val="both"/>
        <w:rPr>
          <w:rFonts w:ascii="Arial Narrow" w:hAnsi="Arial Narrow"/>
        </w:rPr>
      </w:pPr>
      <w:r w:rsidRPr="00670255">
        <w:rPr>
          <w:rFonts w:ascii="Arial Narrow" w:hAnsi="Arial Narrow"/>
        </w:rPr>
        <w:t>En conclusión, mi aspiración de vinculación a la Universidad Nacional de Colombia se sustenta en una trayectoria que integra investigación y compromiso</w:t>
      </w:r>
      <w:r w:rsidR="0020135C" w:rsidRPr="00670255">
        <w:rPr>
          <w:rFonts w:ascii="Arial Narrow" w:hAnsi="Arial Narrow"/>
        </w:rPr>
        <w:t>, además c</w:t>
      </w:r>
      <w:r w:rsidRPr="00670255">
        <w:rPr>
          <w:rFonts w:ascii="Arial Narrow" w:hAnsi="Arial Narrow"/>
        </w:rPr>
        <w:t xml:space="preserve">omo egresada que retorna, aporto legitimidad institucional y conocimiento profundo de la cultura académica de la universidad. Mi perfil técnico en geociencias digitales y análisis espacial representa una oportunidad para fortalecer la innovación metodológica en docencia e investigación. Mi condición de mujer en STEM constituye además un valor estratégico en términos de diversidad, liderazgo y construcción de referentes para nuevas generaciones. Estoy convencida de que puedo contribuir de manera significativa al fortalecimiento de la investigación en sistemas sedimentarios exógenos, a la consolidación de proyectos financiados y a la formación de profesionales críticos, competentes y comprometidos con el desarrollo sostenible del país. </w:t>
      </w:r>
    </w:p>
    <w:p w14:paraId="68BFACDB" w14:textId="77777777" w:rsidR="00D01A3F" w:rsidRDefault="00D01A3F"/>
    <w:p w14:paraId="20EF47FB" w14:textId="77777777" w:rsidR="00BE7074" w:rsidRDefault="00BE7074"/>
    <w:p w14:paraId="7049578E" w14:textId="77777777" w:rsidR="00BE7074" w:rsidRDefault="00BE7074"/>
    <w:p w14:paraId="44555893" w14:textId="77777777" w:rsidR="00BE7074" w:rsidRDefault="00BE7074"/>
    <w:p w14:paraId="77DC71C4" w14:textId="77777777" w:rsidR="00BE7074" w:rsidRDefault="00BE7074"/>
    <w:p w14:paraId="6D730B15" w14:textId="77777777" w:rsidR="00BE7074" w:rsidRDefault="00BE7074"/>
    <w:p w14:paraId="651B1DD1" w14:textId="77777777" w:rsidR="00BE7074" w:rsidRDefault="00BE7074"/>
    <w:p w14:paraId="0BADEE4C" w14:textId="77777777" w:rsidR="00670255" w:rsidRDefault="00670255"/>
    <w:p w14:paraId="2F352E7E" w14:textId="77777777" w:rsidR="00670255" w:rsidRDefault="00670255"/>
    <w:p w14:paraId="4E123914" w14:textId="77777777" w:rsidR="00670255" w:rsidRDefault="00670255"/>
    <w:p w14:paraId="10AA6C2D" w14:textId="77777777" w:rsidR="00670255" w:rsidRDefault="00670255"/>
    <w:p w14:paraId="5067BF7F" w14:textId="77777777" w:rsidR="00670255" w:rsidRDefault="00670255"/>
    <w:p w14:paraId="6AA807DF" w14:textId="77777777" w:rsidR="00670255" w:rsidRDefault="00670255"/>
    <w:p w14:paraId="14ABF976" w14:textId="77777777" w:rsidR="00BE7074" w:rsidRDefault="00BE7074"/>
    <w:p w14:paraId="71C74E69" w14:textId="77777777" w:rsidR="00BE7074" w:rsidRDefault="00BE7074"/>
    <w:p w14:paraId="6581A6B2" w14:textId="77777777" w:rsidR="00BE7074" w:rsidRDefault="00BE7074"/>
    <w:p w14:paraId="1ED81B13" w14:textId="77777777" w:rsidR="00BE7074" w:rsidRDefault="00BE7074"/>
    <w:p w14:paraId="2A642489" w14:textId="77777777" w:rsidR="00BE7074" w:rsidRDefault="00BE7074"/>
    <w:p w14:paraId="7D8B5717" w14:textId="77777777" w:rsidR="00BE7074" w:rsidRDefault="00BE7074"/>
    <w:p w14:paraId="3C4251C4" w14:textId="77777777" w:rsidR="00BE7074" w:rsidRDefault="00BE7074"/>
    <w:p w14:paraId="746BD223" w14:textId="77777777" w:rsidR="00BE7074" w:rsidRDefault="00BE7074"/>
    <w:p w14:paraId="5560606F" w14:textId="77777777" w:rsidR="00BE7074" w:rsidRDefault="00BE7074"/>
    <w:p w14:paraId="236C3810" w14:textId="77777777" w:rsidR="00BE7074" w:rsidRDefault="00BE7074"/>
    <w:p w14:paraId="6A8BA380" w14:textId="77777777" w:rsidR="00BE7074" w:rsidRPr="00670255" w:rsidRDefault="00BE7074" w:rsidP="00670255">
      <w:pPr>
        <w:spacing w:line="276" w:lineRule="auto"/>
        <w:rPr>
          <w:rFonts w:ascii="Arial Narrow" w:hAnsi="Arial Narrow"/>
          <w:b/>
          <w:bCs/>
        </w:rPr>
      </w:pPr>
      <w:r w:rsidRPr="00670255">
        <w:rPr>
          <w:rFonts w:ascii="Arial Narrow" w:hAnsi="Arial Narrow"/>
          <w:b/>
          <w:bCs/>
        </w:rPr>
        <w:t>Referencias</w:t>
      </w:r>
    </w:p>
    <w:p w14:paraId="42BB4EB4" w14:textId="77777777" w:rsidR="00BE7074" w:rsidRPr="00670255" w:rsidRDefault="00BE7074" w:rsidP="00670255">
      <w:pPr>
        <w:spacing w:line="276" w:lineRule="auto"/>
        <w:rPr>
          <w:rFonts w:ascii="Arial Narrow" w:hAnsi="Arial Narrow"/>
        </w:rPr>
      </w:pPr>
      <w:r w:rsidRPr="00670255">
        <w:rPr>
          <w:rFonts w:ascii="Arial Narrow" w:hAnsi="Arial Narrow"/>
        </w:rPr>
        <w:t xml:space="preserve">Colciencias. (2018). </w:t>
      </w:r>
      <w:r w:rsidRPr="00670255">
        <w:rPr>
          <w:rFonts w:ascii="Arial Narrow" w:hAnsi="Arial Narrow"/>
          <w:i/>
          <w:iCs/>
        </w:rPr>
        <w:t>Política nacional de fomento a la investigación científica y la innovación</w:t>
      </w:r>
      <w:r w:rsidRPr="00670255">
        <w:rPr>
          <w:rFonts w:ascii="Arial Narrow" w:hAnsi="Arial Narrow"/>
        </w:rPr>
        <w:t>. Departamento Administrativo de Ciencia, Tecnología e Innovación.</w:t>
      </w:r>
    </w:p>
    <w:p w14:paraId="26C7360B" w14:textId="77777777" w:rsidR="00BE7074" w:rsidRPr="00670255" w:rsidRDefault="00BE7074" w:rsidP="00670255">
      <w:pPr>
        <w:spacing w:line="276" w:lineRule="auto"/>
        <w:rPr>
          <w:rFonts w:ascii="Arial Narrow" w:hAnsi="Arial Narrow"/>
        </w:rPr>
      </w:pPr>
      <w:r w:rsidRPr="00670255">
        <w:rPr>
          <w:rFonts w:ascii="Arial Narrow" w:hAnsi="Arial Narrow"/>
        </w:rPr>
        <w:t xml:space="preserve">Elsevier. (2000). Etzkowitz, H., &amp; Leydesdorff, L. The dynamics of innovation: From National Systems and “Mode 2” to a Triple Helix of university–industry–government relations. </w:t>
      </w:r>
      <w:r w:rsidRPr="00670255">
        <w:rPr>
          <w:rFonts w:ascii="Arial Narrow" w:hAnsi="Arial Narrow"/>
          <w:i/>
          <w:iCs/>
        </w:rPr>
        <w:t>Research Policy, 29</w:t>
      </w:r>
      <w:r w:rsidRPr="00670255">
        <w:rPr>
          <w:rFonts w:ascii="Arial Narrow" w:hAnsi="Arial Narrow"/>
        </w:rPr>
        <w:t>(2), 109–123. https://doi.org/10.1016/S0048-7333(99)00055-4</w:t>
      </w:r>
    </w:p>
    <w:p w14:paraId="437117FE" w14:textId="77777777" w:rsidR="00BE7074" w:rsidRPr="00670255" w:rsidRDefault="00BE7074" w:rsidP="00670255">
      <w:pPr>
        <w:spacing w:line="276" w:lineRule="auto"/>
        <w:rPr>
          <w:rFonts w:ascii="Arial Narrow" w:hAnsi="Arial Narrow"/>
        </w:rPr>
      </w:pPr>
      <w:r w:rsidRPr="00670255">
        <w:rPr>
          <w:rFonts w:ascii="Arial Narrow" w:hAnsi="Arial Narrow"/>
        </w:rPr>
        <w:t xml:space="preserve">Elsevier. (2010). Tucker, G. E., &amp; Hancock, G. R. Modelling landscape evolution. </w:t>
      </w:r>
      <w:r w:rsidRPr="00670255">
        <w:rPr>
          <w:rFonts w:ascii="Arial Narrow" w:hAnsi="Arial Narrow"/>
          <w:i/>
          <w:iCs/>
        </w:rPr>
        <w:t>Earth Surface Processes and Landforms, 35</w:t>
      </w:r>
      <w:r w:rsidRPr="00670255">
        <w:rPr>
          <w:rFonts w:ascii="Arial Narrow" w:hAnsi="Arial Narrow"/>
        </w:rPr>
        <w:t>(1), 28–50. https://doi.org/10.1002/esp.1952</w:t>
      </w:r>
    </w:p>
    <w:p w14:paraId="64B23680" w14:textId="77777777" w:rsidR="00BE7074" w:rsidRPr="00670255" w:rsidRDefault="00BE7074" w:rsidP="00670255">
      <w:pPr>
        <w:spacing w:line="276" w:lineRule="auto"/>
        <w:rPr>
          <w:rFonts w:ascii="Arial Narrow" w:hAnsi="Arial Narrow"/>
        </w:rPr>
      </w:pPr>
      <w:r w:rsidRPr="00670255">
        <w:rPr>
          <w:rFonts w:ascii="Arial Narrow" w:hAnsi="Arial Narrow"/>
        </w:rPr>
        <w:t xml:space="preserve">Elsevier. (2014). Tarolli, P. High-resolution topography for understanding Earth surface processes: Opportunities and challenges. </w:t>
      </w:r>
      <w:r w:rsidRPr="00670255">
        <w:rPr>
          <w:rFonts w:ascii="Arial Narrow" w:hAnsi="Arial Narrow"/>
          <w:i/>
          <w:iCs/>
        </w:rPr>
        <w:t>Geomorphology, 216</w:t>
      </w:r>
      <w:r w:rsidRPr="00670255">
        <w:rPr>
          <w:rFonts w:ascii="Arial Narrow" w:hAnsi="Arial Narrow"/>
        </w:rPr>
        <w:t>, 295–312. https://doi.org/10.1016/j.geomorph.2014.03.008</w:t>
      </w:r>
    </w:p>
    <w:p w14:paraId="23E1B46D" w14:textId="77777777" w:rsidR="00BE7074" w:rsidRPr="00670255" w:rsidRDefault="00BE7074" w:rsidP="00670255">
      <w:pPr>
        <w:spacing w:line="276" w:lineRule="auto"/>
        <w:rPr>
          <w:rFonts w:ascii="Arial Narrow" w:hAnsi="Arial Narrow"/>
        </w:rPr>
      </w:pPr>
      <w:r w:rsidRPr="00670255">
        <w:rPr>
          <w:rFonts w:ascii="Arial Narrow" w:hAnsi="Arial Narrow"/>
        </w:rPr>
        <w:t xml:space="preserve">IDEAM. (2022). </w:t>
      </w:r>
      <w:r w:rsidRPr="00670255">
        <w:rPr>
          <w:rFonts w:ascii="Arial Narrow" w:hAnsi="Arial Narrow"/>
          <w:i/>
          <w:iCs/>
        </w:rPr>
        <w:t>Escenarios de cambio climático y adaptación sectorial en Colombia</w:t>
      </w:r>
      <w:r w:rsidRPr="00670255">
        <w:rPr>
          <w:rFonts w:ascii="Arial Narrow" w:hAnsi="Arial Narrow"/>
        </w:rPr>
        <w:t>. Instituto de Hidrología, Meteorología y Estudios Ambientales.</w:t>
      </w:r>
    </w:p>
    <w:p w14:paraId="24D390F7" w14:textId="77777777" w:rsidR="00BE7074" w:rsidRPr="00670255" w:rsidRDefault="00BE7074" w:rsidP="00670255">
      <w:pPr>
        <w:spacing w:line="276" w:lineRule="auto"/>
        <w:rPr>
          <w:rFonts w:ascii="Arial Narrow" w:hAnsi="Arial Narrow"/>
        </w:rPr>
      </w:pPr>
      <w:r w:rsidRPr="00670255">
        <w:rPr>
          <w:rFonts w:ascii="Arial Narrow" w:hAnsi="Arial Narrow"/>
        </w:rPr>
        <w:t xml:space="preserve">Springer. (2018). Goodchild, M. F. Reimagining the history of GIS. </w:t>
      </w:r>
      <w:r w:rsidRPr="00670255">
        <w:rPr>
          <w:rFonts w:ascii="Arial Narrow" w:hAnsi="Arial Narrow"/>
          <w:i/>
          <w:iCs/>
        </w:rPr>
        <w:t>Annals of GIS, 24</w:t>
      </w:r>
      <w:r w:rsidRPr="00670255">
        <w:rPr>
          <w:rFonts w:ascii="Arial Narrow" w:hAnsi="Arial Narrow"/>
        </w:rPr>
        <w:t>(1), 1–8. https://doi.org/10.1080/19475683.2018.1424737</w:t>
      </w:r>
    </w:p>
    <w:p w14:paraId="636D25A0" w14:textId="77777777" w:rsidR="00BE7074" w:rsidRPr="00670255" w:rsidRDefault="00BE7074" w:rsidP="00670255">
      <w:pPr>
        <w:spacing w:line="276" w:lineRule="auto"/>
        <w:rPr>
          <w:rFonts w:ascii="Arial Narrow" w:hAnsi="Arial Narrow"/>
        </w:rPr>
      </w:pPr>
      <w:r w:rsidRPr="00670255">
        <w:rPr>
          <w:rFonts w:ascii="Arial Narrow" w:hAnsi="Arial Narrow"/>
        </w:rPr>
        <w:t xml:space="preserve">UNESCO. (2021). </w:t>
      </w:r>
      <w:r w:rsidRPr="00670255">
        <w:rPr>
          <w:rFonts w:ascii="Arial Narrow" w:hAnsi="Arial Narrow"/>
          <w:i/>
          <w:iCs/>
        </w:rPr>
        <w:t>To be smart, the digital revolution will need to be inclusive</w:t>
      </w:r>
      <w:r w:rsidRPr="00670255">
        <w:rPr>
          <w:rFonts w:ascii="Arial Narrow" w:hAnsi="Arial Narrow"/>
        </w:rPr>
        <w:t>. UNESCO Publishing.</w:t>
      </w:r>
    </w:p>
    <w:p w14:paraId="6D49596B" w14:textId="77777777" w:rsidR="00BE7074" w:rsidRPr="00670255" w:rsidRDefault="00BE7074" w:rsidP="00670255">
      <w:pPr>
        <w:spacing w:line="276" w:lineRule="auto"/>
        <w:rPr>
          <w:rFonts w:ascii="Arial Narrow" w:hAnsi="Arial Narrow"/>
        </w:rPr>
      </w:pPr>
      <w:r w:rsidRPr="00670255">
        <w:rPr>
          <w:rFonts w:ascii="Arial Narrow" w:hAnsi="Arial Narrow"/>
        </w:rPr>
        <w:t xml:space="preserve">Universidad Nacional de Colombia. (2020). </w:t>
      </w:r>
      <w:r w:rsidRPr="00670255">
        <w:rPr>
          <w:rFonts w:ascii="Arial Narrow" w:hAnsi="Arial Narrow"/>
          <w:i/>
          <w:iCs/>
        </w:rPr>
        <w:t>Política de investigación, innovación y creación artística</w:t>
      </w:r>
      <w:r w:rsidRPr="00670255">
        <w:rPr>
          <w:rFonts w:ascii="Arial Narrow" w:hAnsi="Arial Narrow"/>
        </w:rPr>
        <w:t>. Universidad Nacional de Colombia.</w:t>
      </w:r>
    </w:p>
    <w:p w14:paraId="2DD01092" w14:textId="77777777" w:rsidR="00BE7074" w:rsidRDefault="00BE7074"/>
    <w:sectPr w:rsidR="00BE70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443706"/>
    <w:rsid w:val="000520C7"/>
    <w:rsid w:val="000C3D5F"/>
    <w:rsid w:val="0020135C"/>
    <w:rsid w:val="00231319"/>
    <w:rsid w:val="002E78BA"/>
    <w:rsid w:val="00403E9B"/>
    <w:rsid w:val="00443706"/>
    <w:rsid w:val="0052364B"/>
    <w:rsid w:val="00670255"/>
    <w:rsid w:val="006A4FD7"/>
    <w:rsid w:val="00756E06"/>
    <w:rsid w:val="007A6AE8"/>
    <w:rsid w:val="00854900"/>
    <w:rsid w:val="008E1041"/>
    <w:rsid w:val="0095743D"/>
    <w:rsid w:val="00997655"/>
    <w:rsid w:val="00A85FA1"/>
    <w:rsid w:val="00B437F0"/>
    <w:rsid w:val="00BE0C09"/>
    <w:rsid w:val="00BE7074"/>
    <w:rsid w:val="00CB5EF5"/>
    <w:rsid w:val="00D01A3F"/>
    <w:rsid w:val="00D85453"/>
    <w:rsid w:val="00F170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AA898"/>
  <w15:chartTrackingRefBased/>
  <w15:docId w15:val="{E3BE8D0D-FA49-43D2-9BAC-B31161EA6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437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437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4370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4370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4370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4370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4370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4370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4370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370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4370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4370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4370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4370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437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437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437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43706"/>
    <w:rPr>
      <w:rFonts w:eastAsiaTheme="majorEastAsia" w:cstheme="majorBidi"/>
      <w:color w:val="272727" w:themeColor="text1" w:themeTint="D8"/>
    </w:rPr>
  </w:style>
  <w:style w:type="paragraph" w:styleId="Ttulo">
    <w:name w:val="Title"/>
    <w:basedOn w:val="Normal"/>
    <w:next w:val="Normal"/>
    <w:link w:val="TtuloCar"/>
    <w:uiPriority w:val="10"/>
    <w:qFormat/>
    <w:rsid w:val="004437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437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437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437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706"/>
    <w:pPr>
      <w:spacing w:before="160"/>
      <w:jc w:val="center"/>
    </w:pPr>
    <w:rPr>
      <w:i/>
      <w:iCs/>
      <w:color w:val="404040" w:themeColor="text1" w:themeTint="BF"/>
    </w:rPr>
  </w:style>
  <w:style w:type="character" w:customStyle="1" w:styleId="CitaCar">
    <w:name w:val="Cita Car"/>
    <w:basedOn w:val="Fuentedeprrafopredeter"/>
    <w:link w:val="Cita"/>
    <w:uiPriority w:val="29"/>
    <w:rsid w:val="00443706"/>
    <w:rPr>
      <w:i/>
      <w:iCs/>
      <w:color w:val="404040" w:themeColor="text1" w:themeTint="BF"/>
    </w:rPr>
  </w:style>
  <w:style w:type="paragraph" w:styleId="Prrafodelista">
    <w:name w:val="List Paragraph"/>
    <w:basedOn w:val="Normal"/>
    <w:uiPriority w:val="34"/>
    <w:qFormat/>
    <w:rsid w:val="00443706"/>
    <w:pPr>
      <w:ind w:left="720"/>
      <w:contextualSpacing/>
    </w:pPr>
  </w:style>
  <w:style w:type="character" w:styleId="nfasisintenso">
    <w:name w:val="Intense Emphasis"/>
    <w:basedOn w:val="Fuentedeprrafopredeter"/>
    <w:uiPriority w:val="21"/>
    <w:qFormat/>
    <w:rsid w:val="00443706"/>
    <w:rPr>
      <w:i/>
      <w:iCs/>
      <w:color w:val="2F5496" w:themeColor="accent1" w:themeShade="BF"/>
    </w:rPr>
  </w:style>
  <w:style w:type="paragraph" w:styleId="Citadestacada">
    <w:name w:val="Intense Quote"/>
    <w:basedOn w:val="Normal"/>
    <w:next w:val="Normal"/>
    <w:link w:val="CitadestacadaCar"/>
    <w:uiPriority w:val="30"/>
    <w:qFormat/>
    <w:rsid w:val="004437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43706"/>
    <w:rPr>
      <w:i/>
      <w:iCs/>
      <w:color w:val="2F5496" w:themeColor="accent1" w:themeShade="BF"/>
    </w:rPr>
  </w:style>
  <w:style w:type="character" w:styleId="Referenciaintensa">
    <w:name w:val="Intense Reference"/>
    <w:basedOn w:val="Fuentedeprrafopredeter"/>
    <w:uiPriority w:val="32"/>
    <w:qFormat/>
    <w:rsid w:val="004437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1674</Words>
  <Characters>9207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Meneses</dc:creator>
  <cp:keywords/>
  <dc:description/>
  <cp:lastModifiedBy>Luisa Meneses</cp:lastModifiedBy>
  <cp:revision>5</cp:revision>
  <dcterms:created xsi:type="dcterms:W3CDTF">2026-02-18T01:28:00Z</dcterms:created>
  <dcterms:modified xsi:type="dcterms:W3CDTF">2026-02-18T03:28:00Z</dcterms:modified>
</cp:coreProperties>
</file>