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126BF" w:rsidRDefault="00D126BF" w:rsidP="00D126BF">
      <w:pPr>
        <w:spacing w:line="276" w:lineRule="auto"/>
        <w:jc w:val="center"/>
        <w:rPr>
          <w:rFonts w:ascii="Arial Narrow" w:eastAsia="Arial Narrow" w:hAnsi="Arial Narrow" w:cs="Arial Narrow"/>
          <w:b/>
          <w:bCs/>
          <w:color w:val="000000" w:themeColor="text1"/>
          <w:sz w:val="22"/>
          <w:szCs w:val="22"/>
        </w:rPr>
      </w:pPr>
      <w:r w:rsidRPr="00EF713D">
        <w:rPr>
          <w:rFonts w:ascii="Arial Narrow" w:eastAsia="Arial Narrow" w:hAnsi="Arial Narrow" w:cs="Arial Narrow"/>
          <w:b/>
          <w:bCs/>
          <w:color w:val="000000" w:themeColor="text1"/>
          <w:sz w:val="22"/>
          <w:szCs w:val="22"/>
        </w:rPr>
        <w:t xml:space="preserve">AGUA, SOCIEDAD Y ACADEMIA: UNA VISIÓN INTEGRAL PARA EL DESARROLLO </w:t>
      </w:r>
      <w:r w:rsidR="009D532C">
        <w:rPr>
          <w:rFonts w:ascii="Arial Narrow" w:eastAsia="Arial Narrow" w:hAnsi="Arial Narrow" w:cs="Arial Narrow"/>
          <w:b/>
          <w:bCs/>
          <w:color w:val="000000" w:themeColor="text1"/>
          <w:sz w:val="22"/>
          <w:szCs w:val="22"/>
        </w:rPr>
        <w:t>DE LOS TERRITORIOS</w:t>
      </w:r>
    </w:p>
    <w:p w:rsidR="00276293" w:rsidRDefault="00276293" w:rsidP="00D126BF">
      <w:pPr>
        <w:spacing w:line="276" w:lineRule="auto"/>
        <w:jc w:val="center"/>
        <w:rPr>
          <w:rFonts w:ascii="Arial Narrow" w:eastAsia="Arial Narrow" w:hAnsi="Arial Narrow" w:cs="Arial Narrow"/>
          <w:b/>
          <w:bCs/>
          <w:color w:val="000000" w:themeColor="text1"/>
          <w:sz w:val="22"/>
          <w:szCs w:val="22"/>
        </w:rPr>
      </w:pPr>
    </w:p>
    <w:p w:rsidR="00276293" w:rsidRPr="00EF713D" w:rsidRDefault="00276293" w:rsidP="00D126BF">
      <w:pPr>
        <w:spacing w:line="276" w:lineRule="auto"/>
        <w:jc w:val="center"/>
        <w:rPr>
          <w:rFonts w:ascii="Arial Narrow" w:eastAsia="Arial Narrow" w:hAnsi="Arial Narrow" w:cs="Arial Narrow"/>
          <w:b/>
          <w:bCs/>
          <w:color w:val="000000" w:themeColor="text1"/>
          <w:sz w:val="22"/>
          <w:szCs w:val="22"/>
        </w:rPr>
      </w:pPr>
      <w:r>
        <w:rPr>
          <w:rFonts w:ascii="Arial Narrow" w:eastAsia="Arial Narrow" w:hAnsi="Arial Narrow" w:cs="Arial Narrow"/>
          <w:b/>
          <w:bCs/>
          <w:color w:val="000000" w:themeColor="text1"/>
          <w:sz w:val="22"/>
          <w:szCs w:val="22"/>
        </w:rPr>
        <w:t>Autora: Maria Alejandra Caicedo Londoño</w:t>
      </w:r>
    </w:p>
    <w:p w:rsidR="00D126BF" w:rsidRPr="00EF713D" w:rsidRDefault="00D126BF" w:rsidP="00D126BF">
      <w:pPr>
        <w:spacing w:before="280" w:line="276" w:lineRule="auto"/>
        <w:rPr>
          <w:rFonts w:ascii="Arial Narrow" w:eastAsia="Arial Narrow" w:hAnsi="Arial Narrow" w:cs="Arial Narrow"/>
          <w:b/>
          <w:bCs/>
          <w:sz w:val="22"/>
          <w:szCs w:val="22"/>
        </w:rPr>
      </w:pPr>
      <w:r w:rsidRPr="00EF713D">
        <w:rPr>
          <w:rFonts w:ascii="Arial Narrow" w:eastAsia="Arial Narrow" w:hAnsi="Arial Narrow" w:cs="Arial Narrow"/>
          <w:b/>
          <w:bCs/>
          <w:sz w:val="22"/>
          <w:szCs w:val="22"/>
        </w:rPr>
        <w:t>Justificación</w:t>
      </w:r>
    </w:p>
    <w:p w:rsidR="00D126BF" w:rsidRPr="00806963" w:rsidRDefault="00D126BF" w:rsidP="00D126BF">
      <w:pPr>
        <w:spacing w:before="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Para la academia, uno de los principales retos es formar profesionales capaces de afrontar las demandas actuales y futuras del ámbito laboral, no sólo a través de la generación y enseñanza de nuevos conocimientos, sino proponiendo soluciones prácticas mediante tecnologías adaptadas a cada entorno social. En Colombia, la necesidad de que la academia se centre en el bienestar de la población es latente: en el caso de los servicios básicos y esenciales, se encuentra que más de 5,20 millones de personas carecen de acceso a acueducto, de las cuales 4,49 millones se encuentran en áreas rurales (DANE, 2025). Esta condición se ratifica en el CONPES 4165, en el cual se señala que las brechas de desigualdad en cobertura, continuidad y calidad se originan principalmente en la insuficiencia de infraestructura rural (DNP, 2025).</w:t>
      </w:r>
    </w:p>
    <w:p w:rsidR="00D126BF" w:rsidRPr="00806963" w:rsidRDefault="00D126BF" w:rsidP="00D126BF">
      <w:pPr>
        <w:spacing w:before="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Entre los factores que inciden en la conformación de estas brechas se encuentra un entorno físico desafiante, caracterizada por terrenos de alta pendiente intercalados con planicies y valles fluviales propensos a inundaciones, así como factores sociales y políticos asociados a décadas de conflicto, que han obstaculizado históricamente el desarrollo de infraestructura vial y de servicios en las comunidades rurales (Cardona-Urrea et al., 2025). Estas condiciones de aislamiento se ven agravadas por los efectos del cambio climático, que aumenta la frecuencia de inundaciones, interrumpiendo la conectividad y el acceso a agua segura (Cardona-Urrea et al., 2025). En este contexto, el impacto sobre las mujeres rurales es desproporcionado, quienes suelen ser las principales encargadas de la recolección manual de agua y enfrentan una carga física y económica sustancial debido a la falta de servicios de acueducto adecuados en sus territorios (Kosoe &amp; Osumanu, 2025; Matla et al., 2025).</w:t>
      </w:r>
    </w:p>
    <w:p w:rsidR="00D126BF" w:rsidRPr="00806963" w:rsidRDefault="00D126BF" w:rsidP="00D126BF">
      <w:pPr>
        <w:spacing w:before="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Bajo este panorama, mi propuesta como docente de tiempo completo se enfoca en incentivar el desarrollo académico en las tres dimensiones misionales, fundamentada en mi experiencia en sistemas de distribución de agua y saneamiento básico para entornos urbanos y rurales, con el fin de fortalecer el Departamento de Ingeniería Civil y Agrícola, contribuyendo al posicionamiento de la Universidad Nacional de Colombia como un actor clave en el desarrollo sostenible regional y nacional, así como a la generación de soluciones que reduzcan la brecha frente al acceso al agua de comunidades rurales vulnerables.</w:t>
      </w:r>
    </w:p>
    <w:p w:rsidR="00D126BF" w:rsidRPr="00EF713D" w:rsidRDefault="00D126BF" w:rsidP="00D126BF">
      <w:pPr>
        <w:spacing w:before="280" w:line="276" w:lineRule="auto"/>
        <w:rPr>
          <w:rFonts w:ascii="Arial Narrow" w:eastAsia="Arial Narrow" w:hAnsi="Arial Narrow" w:cs="Arial Narrow"/>
          <w:b/>
          <w:bCs/>
          <w:sz w:val="22"/>
          <w:szCs w:val="22"/>
        </w:rPr>
      </w:pPr>
      <w:r w:rsidRPr="00EF713D">
        <w:rPr>
          <w:rFonts w:ascii="Arial Narrow" w:eastAsia="Arial Narrow" w:hAnsi="Arial Narrow" w:cs="Arial Narrow"/>
          <w:b/>
          <w:bCs/>
          <w:sz w:val="22"/>
          <w:szCs w:val="22"/>
        </w:rPr>
        <w:t>Objetivos</w:t>
      </w:r>
    </w:p>
    <w:p w:rsidR="00D126BF" w:rsidRPr="00806963" w:rsidRDefault="00D126BF" w:rsidP="00D126BF">
      <w:pPr>
        <w:pStyle w:val="Prrafodelista"/>
        <w:numPr>
          <w:ilvl w:val="0"/>
          <w:numId w:val="2"/>
        </w:numPr>
        <w:spacing w:before="280" w:line="276" w:lineRule="auto"/>
        <w:ind w:left="567" w:hanging="567"/>
        <w:rPr>
          <w:rFonts w:ascii="Arial Narrow" w:eastAsia="Arial Narrow" w:hAnsi="Arial Narrow" w:cs="Arial Narrow"/>
          <w:sz w:val="22"/>
          <w:szCs w:val="22"/>
        </w:rPr>
      </w:pPr>
      <w:r w:rsidRPr="00806963">
        <w:rPr>
          <w:rFonts w:ascii="Arial Narrow" w:eastAsia="Arial Narrow" w:hAnsi="Arial Narrow" w:cs="Arial Narrow"/>
          <w:sz w:val="22"/>
          <w:szCs w:val="22"/>
        </w:rPr>
        <w:t>Fortalecer la enseñanza de la ingeniería de recursos hídricos mediante el Aprendizaje Basado en Proyectos (ABP), orientando la formación de pregrado y posgrado hacia el diseño de sistemas de saneamiento de bajo costo, alta resiliencia y pertinencia técnica para la ruralidad dispersa</w:t>
      </w:r>
    </w:p>
    <w:p w:rsidR="00D126BF" w:rsidRPr="00806963" w:rsidRDefault="00D126BF" w:rsidP="00D126BF">
      <w:pPr>
        <w:pStyle w:val="Prrafodelista"/>
        <w:numPr>
          <w:ilvl w:val="0"/>
          <w:numId w:val="2"/>
        </w:numPr>
        <w:spacing w:before="280" w:line="276" w:lineRule="auto"/>
        <w:ind w:left="567" w:hanging="567"/>
        <w:rPr>
          <w:rFonts w:ascii="Arial Narrow" w:eastAsia="Arial Narrow" w:hAnsi="Arial Narrow" w:cs="Arial Narrow"/>
          <w:sz w:val="22"/>
          <w:szCs w:val="22"/>
        </w:rPr>
      </w:pPr>
      <w:r w:rsidRPr="00806963">
        <w:rPr>
          <w:rFonts w:ascii="Arial Narrow" w:eastAsia="Arial Narrow" w:hAnsi="Arial Narrow" w:cs="Arial Narrow"/>
          <w:sz w:val="22"/>
          <w:szCs w:val="22"/>
        </w:rPr>
        <w:t>Consolidar un marco metodológico basado en la modelación hidráulica avanzada para la optimización de sistemas de agua y saneamiento en ecosistemas complejos (zonas de ciénaga y valles inundables), garantizando infraestructuras adaptadas a las presiones del cambio climático</w:t>
      </w:r>
    </w:p>
    <w:p w:rsidR="00D126BF" w:rsidRDefault="00D126BF" w:rsidP="00D126BF">
      <w:pPr>
        <w:pStyle w:val="Prrafodelista"/>
        <w:numPr>
          <w:ilvl w:val="0"/>
          <w:numId w:val="2"/>
        </w:numPr>
        <w:spacing w:before="280" w:line="276" w:lineRule="auto"/>
        <w:ind w:left="567" w:hanging="567"/>
        <w:rPr>
          <w:rFonts w:ascii="Arial Narrow" w:eastAsia="Arial Narrow" w:hAnsi="Arial Narrow" w:cs="Arial Narrow"/>
          <w:sz w:val="22"/>
          <w:szCs w:val="22"/>
        </w:rPr>
      </w:pPr>
      <w:r w:rsidRPr="00806963">
        <w:rPr>
          <w:rFonts w:ascii="Arial Narrow" w:eastAsia="Arial Narrow" w:hAnsi="Arial Narrow" w:cs="Arial Narrow"/>
          <w:sz w:val="22"/>
          <w:szCs w:val="22"/>
        </w:rPr>
        <w:t>Institucionalizar un modelo de transferencia tecnológica y apropiación social del conocimiento que fortalezca la gobernanza del agua en las organizaciones comunitarias, asegurando la sostenibilidad operativa y la gestión integral del riesgo en el territorio.</w:t>
      </w:r>
    </w:p>
    <w:p w:rsidR="00321D1F" w:rsidRPr="00321D1F" w:rsidRDefault="00321D1F" w:rsidP="00321D1F">
      <w:pPr>
        <w:spacing w:before="280" w:line="276" w:lineRule="auto"/>
        <w:rPr>
          <w:rFonts w:ascii="Arial Narrow" w:eastAsia="Arial Narrow" w:hAnsi="Arial Narrow" w:cs="Arial Narrow"/>
          <w:sz w:val="22"/>
          <w:szCs w:val="22"/>
        </w:rPr>
      </w:pPr>
    </w:p>
    <w:p w:rsidR="00D126BF" w:rsidRPr="00EF713D" w:rsidRDefault="00D126BF" w:rsidP="00D126BF">
      <w:pPr>
        <w:spacing w:before="280" w:line="276" w:lineRule="auto"/>
        <w:rPr>
          <w:rFonts w:ascii="Arial Narrow" w:eastAsia="Arial Narrow" w:hAnsi="Arial Narrow" w:cs="Arial Narrow"/>
          <w:b/>
          <w:bCs/>
          <w:sz w:val="22"/>
          <w:szCs w:val="22"/>
        </w:rPr>
      </w:pPr>
      <w:r w:rsidRPr="00EF713D">
        <w:rPr>
          <w:rFonts w:ascii="Arial Narrow" w:eastAsia="Arial Narrow" w:hAnsi="Arial Narrow" w:cs="Arial Narrow"/>
          <w:b/>
          <w:bCs/>
          <w:sz w:val="22"/>
          <w:szCs w:val="22"/>
        </w:rPr>
        <w:lastRenderedPageBreak/>
        <w:t>Propuesta en el componente de docencia: Pedagogía Basada en el Proyecto y la Realidad Técnica</w:t>
      </w:r>
    </w:p>
    <w:p w:rsidR="00D126BF" w:rsidRPr="00806963" w:rsidRDefault="00D126BF" w:rsidP="00D126BF">
      <w:pPr>
        <w:spacing w:before="280" w:line="276" w:lineRule="auto"/>
        <w:rPr>
          <w:rFonts w:ascii="Arial Narrow" w:hAnsi="Arial Narrow"/>
          <w:sz w:val="22"/>
          <w:szCs w:val="22"/>
        </w:rPr>
      </w:pPr>
      <w:r w:rsidRPr="00806963">
        <w:rPr>
          <w:rFonts w:ascii="Arial Narrow" w:hAnsi="Arial Narrow"/>
          <w:sz w:val="22"/>
          <w:szCs w:val="22"/>
        </w:rPr>
        <w:t xml:space="preserve">Mis casi nueve años como profesora catedrática en el Departamento de Ingeniería Civil y Agrícola </w:t>
      </w:r>
      <w:r w:rsidR="00321D1F">
        <w:rPr>
          <w:rFonts w:ascii="Arial Narrow" w:hAnsi="Arial Narrow"/>
          <w:sz w:val="22"/>
          <w:szCs w:val="22"/>
        </w:rPr>
        <w:t xml:space="preserve">de la Universidad Nacional de Colombia (UNAL), </w:t>
      </w:r>
      <w:r w:rsidRPr="00806963">
        <w:rPr>
          <w:rFonts w:ascii="Arial Narrow" w:hAnsi="Arial Narrow"/>
          <w:sz w:val="22"/>
          <w:szCs w:val="22"/>
        </w:rPr>
        <w:t>me han permitido identificar, tanto en las asignaturas de Acueductos y Alcantarillados como en la Maestría de Recursos Hídricos, diversos desafíos pedagógicos. Estos están orientados a incentivar competencias que les permitan a los estudiantes desarrollar la capacidad de argumentar técnicamente la factibilidad de sus soluciones, considerando siempre las necesidades socioeconómicas del contexto. De este modo, busco consolidar un proyecto de vida académica que vincule la técnica hidráulica con la responsabilidad social, enfocándome en soluciones que mitiguen el déficit de abastecimiento de agua en zonas rurales.</w:t>
      </w:r>
    </w:p>
    <w:p w:rsidR="00D126BF" w:rsidRPr="00806963" w:rsidRDefault="00D126BF" w:rsidP="00D126BF">
      <w:pPr>
        <w:spacing w:before="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Para materializar esta visión desde el aula, mi propuesta docente se fundamenta en la metodología de Aprendizaje Basado en Proyectos (ABP). Esta estrategia consiste en el diseño de un proyecto real, extraído del portal SECOP</w:t>
      </w:r>
      <w:r w:rsidRPr="00806963">
        <w:rPr>
          <w:rFonts w:ascii="Arial Narrow" w:eastAsia="Arial Narrow" w:hAnsi="Arial Narrow" w:cs="Arial Narrow"/>
          <w:sz w:val="22"/>
          <w:szCs w:val="22"/>
          <w:vertAlign w:val="superscript"/>
        </w:rPr>
        <w:footnoteReference w:id="1"/>
      </w:r>
      <w:r w:rsidRPr="00806963">
        <w:rPr>
          <w:rFonts w:ascii="Arial Narrow" w:eastAsia="Arial Narrow" w:hAnsi="Arial Narrow" w:cs="Arial Narrow"/>
          <w:sz w:val="22"/>
          <w:szCs w:val="22"/>
        </w:rPr>
        <w:t>, enfocado en infraestructura de agua y saneamiento para municipios colombianos. A través de este ejercicio, los estudiantes aplican de manera práctica los conocimientos del curso y fortalecen su capacidad para argumentar técnicamente la factibilidad de sus propuestas, integrando siempre las necesidades socioeconómicas del entorno. Asimismo, la metodología fomenta habilidades transversales críticas, tales como el trabajo colaborativo y el cumplimiento de objetivos orientados a resultados.</w:t>
      </w:r>
    </w:p>
    <w:p w:rsidR="00D126BF" w:rsidRPr="00806963" w:rsidRDefault="00D126BF" w:rsidP="00D126BF">
      <w:pPr>
        <w:spacing w:before="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La implementación de esta metodología permitió consolidar como caso de éxito el proyecto: “Diseño del Alcantarillado Sanitario de Barranca de Lebrija, Aguachica”, iniciativa ganadora de la Convocatoria de Extensión Solidaria UNAL 2025. Este proyecto surgió, precisamente, del equipo conformado por estudiantes que se vincularon activamente durante el curso de Alcantarillados. Dicho reconocimiento no solo valida el compromiso académico y humano de los participantes, sino que posiciona a la Extensión Solidaria como un eje transformador en la integración entre la academia y la sociedad.</w:t>
      </w:r>
    </w:p>
    <w:p w:rsidR="00D126BF" w:rsidRPr="00806963" w:rsidRDefault="00D126BF" w:rsidP="00D126BF">
      <w:pPr>
        <w:spacing w:before="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Bajo esta perspectiva, la transición a una dedicación de tiempo completo me permitirá escalar este modelo de éxito. Mi objetivo es sistematizar y replicar estas experiencias para potenciar la participación de la sección de saneamiento y del Departamento de Ingeniería Civil y Agrícola en proyectos de alto impacto. De este modo, me propongo fortalecer el rol de la Universidad Nacional de Colombia como actor fundamental en la promoción del desarrollo regional y nacional.</w:t>
      </w:r>
    </w:p>
    <w:p w:rsidR="00D126BF" w:rsidRPr="00806963" w:rsidRDefault="00D126BF" w:rsidP="00D126BF">
      <w:pPr>
        <w:spacing w:before="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Esta visión de impacto territorial se complementa con mi contribución al fortalecimiento de los programas de posgrado. Como docente de la Maestría en Recursos Hídricos</w:t>
      </w:r>
      <w:r w:rsidR="00321D1F">
        <w:rPr>
          <w:rFonts w:ascii="Arial Narrow" w:eastAsia="Arial Narrow" w:hAnsi="Arial Narrow" w:cs="Arial Narrow"/>
          <w:sz w:val="22"/>
          <w:szCs w:val="22"/>
        </w:rPr>
        <w:t xml:space="preserve"> en la UNAL</w:t>
      </w:r>
      <w:r w:rsidRPr="00806963">
        <w:rPr>
          <w:rFonts w:ascii="Arial Narrow" w:eastAsia="Arial Narrow" w:hAnsi="Arial Narrow" w:cs="Arial Narrow"/>
          <w:sz w:val="22"/>
          <w:szCs w:val="22"/>
        </w:rPr>
        <w:t xml:space="preserve"> mi enfoque se orienta hacia la transición al procesamiento avanzado de información para la gestión integral del recurso hídrico. En este sentido, propongo integrar el uso de herramientas computacionales especializadas con discusiones críticas sobre seguridad hídrica en entornos urbanos; el objetivo es que los estudiantes de maestría desarrollen competencias de investigación aplicada que deriven en la producción de artículos científicos de alto impacto.</w:t>
      </w:r>
    </w:p>
    <w:p w:rsidR="00D126BF" w:rsidRPr="00806963" w:rsidRDefault="00D126BF" w:rsidP="00D126BF">
      <w:pPr>
        <w:spacing w:before="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 xml:space="preserve">Bajo esta premisa, mi compromiso docente se materializa en la creación de la asignatura electiva: "Modelación y Optimización de Sistemas de Distribución y Alcantarillado". Esta cátedra, diseñada para diversificar la oferta académica del departamento, se proyecta como un espacio de convergencia para estudiantes de pregrado y posgrado, promoviendo un aprendizaje colaborativo mediante niveles de complejidad escalables. El núcleo de la </w:t>
      </w:r>
      <w:r w:rsidRPr="00806963">
        <w:rPr>
          <w:rFonts w:ascii="Arial Narrow" w:eastAsia="Arial Narrow" w:hAnsi="Arial Narrow" w:cs="Arial Narrow"/>
          <w:sz w:val="22"/>
          <w:szCs w:val="22"/>
        </w:rPr>
        <w:lastRenderedPageBreak/>
        <w:t>asignatura será el dominio técnico de herramientas líderes en el gremio, tales como EPANET</w:t>
      </w:r>
      <w:r w:rsidRPr="00806963">
        <w:rPr>
          <w:rFonts w:ascii="Arial Narrow" w:eastAsia="Arial Narrow" w:hAnsi="Arial Narrow" w:cs="Arial Narrow"/>
          <w:sz w:val="22"/>
          <w:szCs w:val="22"/>
          <w:vertAlign w:val="superscript"/>
        </w:rPr>
        <w:footnoteReference w:id="2"/>
      </w:r>
      <w:r w:rsidRPr="00806963">
        <w:rPr>
          <w:rFonts w:ascii="Arial Narrow" w:eastAsia="Arial Narrow" w:hAnsi="Arial Narrow" w:cs="Arial Narrow"/>
          <w:sz w:val="22"/>
          <w:szCs w:val="22"/>
        </w:rPr>
        <w:t>, para el análisis hidráulico y de calidad en redes de distribución, y SWMM</w:t>
      </w:r>
      <w:r w:rsidRPr="00806963">
        <w:rPr>
          <w:rFonts w:ascii="Arial Narrow" w:eastAsia="Arial Narrow" w:hAnsi="Arial Narrow" w:cs="Arial Narrow"/>
          <w:sz w:val="22"/>
          <w:szCs w:val="22"/>
          <w:vertAlign w:val="superscript"/>
        </w:rPr>
        <w:footnoteReference w:id="3"/>
      </w:r>
      <w:r w:rsidRPr="00806963">
        <w:rPr>
          <w:rFonts w:ascii="Arial Narrow" w:eastAsia="Arial Narrow" w:hAnsi="Arial Narrow" w:cs="Arial Narrow"/>
          <w:sz w:val="22"/>
          <w:szCs w:val="22"/>
        </w:rPr>
        <w:t>, para la gestión de aguas lluvias y sistemas de alcantarillado pluvial.</w:t>
      </w:r>
    </w:p>
    <w:p w:rsidR="00D126BF" w:rsidRPr="00806963" w:rsidRDefault="00D126BF" w:rsidP="00D126BF">
      <w:pPr>
        <w:spacing w:before="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Más allá del dominio operativo del software, la asignatura se propone que el estudiante desarrolle la capacidad de simular escenarios de variabilidad climática, crecimiento demográfico y resiliencia urbana. Al integrar estas herramientas tecnológicas en la gestión de los recursos hídricos, aseguramos que nuestros egresados no solo dominen la base teórica, sino que lideren la modernización de la infraestructura hídrica del país. De este modo, se busca cerrar la brecha entre la formación académica y las demandas apremiantes de los sectores público y privado.</w:t>
      </w:r>
    </w:p>
    <w:p w:rsidR="00D126BF" w:rsidRPr="00806963" w:rsidRDefault="00D126BF" w:rsidP="00D126BF">
      <w:pPr>
        <w:spacing w:before="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Esta propuesta de ampliación curricular está respaldada por la innovación pedagógica y el diseño de espacios virtuales bajo estándares de calidad e-learning. Estas herramientas son hoy imprescindibles para modernizar la enseñanza de la ingeniería; pues, como señala el profesor Jovani Alberto Jiménez Builes (2020), la Universidad Nacional no puede ser ajena a los beneficios de la educación virtual. En consecuencia, mi plan incorpora el uso ético y responsable de la Inteligencia Artificial (IA) mediante estrategias de transparencia en la declaración de algoritmos y el fortalecimiento del pensamiento crítico aumentado. El objetivo es que la IA actúe como un "copiloto" en la resolución de problemas complejos. Por ello, enfatizo la transición hacia modelos de evaluación que prioricen la argumentación, el debate en tiempo real y la resolución de problemas in situ, asegurando que la tecnología potencie la capacidad cognitiva del alumno sin comprometer la integridad académica ni la autoría original. Así, la implementación de estos recursos no solo reduce barreras de espacio y tiempo, sino que consolida una universidad conectada con los retos de la era digital y la sostenibilidad hídrica.</w:t>
      </w:r>
    </w:p>
    <w:p w:rsidR="00D126BF" w:rsidRPr="00EF713D" w:rsidRDefault="00D126BF" w:rsidP="00D126BF">
      <w:pPr>
        <w:spacing w:before="280" w:line="276" w:lineRule="auto"/>
        <w:rPr>
          <w:rFonts w:ascii="Arial Narrow" w:eastAsia="Arial Narrow" w:hAnsi="Arial Narrow" w:cs="Arial Narrow"/>
          <w:b/>
          <w:bCs/>
          <w:sz w:val="22"/>
          <w:szCs w:val="22"/>
        </w:rPr>
      </w:pPr>
      <w:r w:rsidRPr="00EF713D">
        <w:rPr>
          <w:rFonts w:ascii="Arial Narrow" w:eastAsia="Arial Narrow" w:hAnsi="Arial Narrow" w:cs="Arial Narrow"/>
          <w:b/>
          <w:bCs/>
          <w:sz w:val="22"/>
          <w:szCs w:val="22"/>
        </w:rPr>
        <w:t>Propuesta en el componente de investigación: Adaptación de infraestructura de agua y saneamiento en contextos de vulnerabilidad hídrica'</w:t>
      </w:r>
    </w:p>
    <w:p w:rsidR="00D126BF" w:rsidRPr="00806963" w:rsidRDefault="00D126BF" w:rsidP="00D126BF">
      <w:pPr>
        <w:spacing w:before="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La integración de vanguardia tecnológica y rigor ético en el aula no es un esfuerzo aislado, sino que se nutre de una actividad científica robusta. Bajo este esquema de modernización, la investigación se erige como el motor que alimenta y actualiza constantemente la labor docente. En consecuencia, mi propuesta para este componente es formalizar la línea de investigación: "Adaptación de infraestructura de agua y saneamiento en contextos de vulnerabilidad hídrica". Esta línea no es solo una proyección futura, sino la consolidación de una trayectoria en la que he liderado proyectos de extensión solidaria en la UNAL e investigación en otras instituciones. Dicho recorrido está respaldado por resultados tangibles que incluyen seis artículos en revistas indexadas de alto impacto, siete capítulos de libro y un libro resultado de investigación; publicaciones que soportan la transferencia de conocimiento de alto nivel hacia nuestros estudiantes de pregrado y posgrado.</w:t>
      </w:r>
    </w:p>
    <w:p w:rsidR="00D126BF" w:rsidRPr="00806963" w:rsidRDefault="00D126BF" w:rsidP="00D126BF">
      <w:pPr>
        <w:spacing w:before="280" w:after="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 xml:space="preserve">Mi participación activa como ponente en escenarios nacionales e internacionales, sumada a mi reciente categorización como Investigadora Asociada por MinCiencias (2024), respalda la solidez y el rigor de esta propuesta. Toda mi producción académica —debidamente consignada y verificable en mi perfil CvLac— constituye el soporte técnico y científico para que la sección de Saneamiento Básico continúe respondiendo, mediante evidencias, a las crisis hídricas </w:t>
      </w:r>
      <w:r w:rsidRPr="00806963">
        <w:rPr>
          <w:rFonts w:ascii="Arial Narrow" w:eastAsia="Arial Narrow" w:hAnsi="Arial Narrow" w:cs="Arial Narrow"/>
          <w:sz w:val="22"/>
          <w:szCs w:val="22"/>
        </w:rPr>
        <w:lastRenderedPageBreak/>
        <w:t>que enfrenta el país. Con esta base, mi compromiso es poner mi trayectoria al servicio de la Universidad Nacional de Colombia para liderar soluciones de alto impacto en el territorio.</w:t>
      </w:r>
    </w:p>
    <w:p w:rsidR="00D126BF" w:rsidRPr="00806963" w:rsidRDefault="00D126BF" w:rsidP="00D126BF">
      <w:pPr>
        <w:spacing w:before="280" w:after="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Partiendo de este rigor investigativo, los antecedentes de mi propuesta subrayan una premisa ineludible: el desarrollo rural en Colombia exige una transformación social y económica que solo es viable si se garantiza el acceso universal a servicios de agua y saneamiento básico. Como señalan Caicedo et al. (2022), dicha infraestructura constituye el soporte esencial para el progreso en el campo. Por ello, mi objetivo es desarrollar modelos para la optimización de sistemas alternos mediante tecnologías adaptativas, diseñados específicamente para las particularidades de la ruralidad dispersa.</w:t>
      </w:r>
    </w:p>
    <w:p w:rsidR="00D126BF" w:rsidRPr="00806963" w:rsidRDefault="00D126BF" w:rsidP="00D126BF">
      <w:pPr>
        <w:spacing w:before="280" w:after="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Esta intervención es urgente si consideramos las cifras del Ministerio de Vivienda (2024): mientras el 56 % de las áreas urbanas consumen agua apta para el consumo humano, en las zonas rurales este indicador cae drásticamente al 9,7 %. Esta brecha social histórica, cuya disparidad es aún más profunda en saneamiento básico, no solo representa una deuda con el campo colombiano, sino un obstáculo crítico para el cumplimiento del Objetivo de Desarrollo Sostenible (ODS) 6. Mi propuesta, por tanto, se posiciona como una respuesta técnica y ética para garantizar la gestión sostenible del recurso hídrico en los territorios con mayores carencias.</w:t>
      </w:r>
    </w:p>
    <w:p w:rsidR="00D126BF" w:rsidRPr="00806963" w:rsidRDefault="00D126BF" w:rsidP="00D126BF">
      <w:pPr>
        <w:spacing w:before="280" w:after="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Bajo este enfoque, mi propuesta de investigación se orienta a la implementación de tecnologías emergentes que mejoren la disponibilidad, calidad y accesibilidad del agua en la ruralidad dispersa. Para lograrlo, capitalizaré los resultados obtenidos en el proyecto de Barranca de Lebrija con el propósito de desarrollar un modelo matemático para la optimización de alcantarillados simplificados. Si bien esta alternativa cuenta con el aval de la Resolución 0844 de 2018, la literatura técnica y el marco normativo vigentes aún presentan limitaciones frente a los desafíos críticos que impone nuestra geografía.</w:t>
      </w:r>
    </w:p>
    <w:p w:rsidR="00D126BF" w:rsidRPr="00806963" w:rsidRDefault="00D126BF" w:rsidP="00D126BF">
      <w:pPr>
        <w:spacing w:before="280" w:after="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Específicamente, en municipios con alta influencia de ciénagas, la carga freática impone presiones hidrostáticas que comprometen la estanqueidad de las juntas y aumentan el riesgo de falla estructural por flotabilidad. Asimismo, la baja energía específica de estos sistemas en climas tropicales potencia la corrosión biogénica, un fenómeno subestimado en la regulación nacional. En respuesta, mi investigación desarrollará un algoritmo de decisión multicriterio capaz de determinar pendientes mínimas que equilibren la autolimpieza con la mitigación de infiltraciones. Esta herramienta interdisciplinar permitirá optimizar variables críticas: desde la profundidad de excavación en niveles freáticos altos, hasta la velocidad de flujo requerida para minimizar la acumulación de gases y gases sulfhídricos.</w:t>
      </w:r>
    </w:p>
    <w:p w:rsidR="00D126BF" w:rsidRDefault="00D126BF" w:rsidP="00D126BF">
      <w:pPr>
        <w:spacing w:before="280" w:after="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A su vez, para mejorar el acceso al agua potable en comunidades rurales, especialmente en regiones vulnerables como la ecorregión de La Mojana, resulta imperativo implementar infraestructuras adaptadas a las amenazas climáticas. Como señalan Cardona-Urrea et al. (2025), los asentamientos en valles inundables requieren soluciones que garanticen la continuidad de los servicios ante eventos extremos. Finalmente, la sostenibilidad de estas intervenciones depende de una gestión hídrica con enfoque de género que involucre activamente a las mujeres en la toma de decisiones. Siguiendo a Matla et al. (2025), las propuestas deben incluir capacitación en gestión del riesgo y acceso a mecanismos de financiación para fortalecer la autonomía de las organizaciones locales de mujeres. Al integrar el conocimiento tradicional femenino sobre el ciclo del agua con políticas públicas de saneamiento preventivo, es posible transformar el "paisaje hídrico" rural hacia uno más resiliente y equitativo (Nicolas-Artero et al., 2025; Xu, 2025).</w:t>
      </w:r>
    </w:p>
    <w:p w:rsidR="00BB28CC" w:rsidRDefault="00BB28CC" w:rsidP="00D126BF">
      <w:pPr>
        <w:spacing w:before="280" w:after="280" w:line="276" w:lineRule="auto"/>
        <w:rPr>
          <w:rFonts w:ascii="Arial Narrow" w:eastAsia="Arial Narrow" w:hAnsi="Arial Narrow" w:cs="Arial Narrow"/>
          <w:sz w:val="22"/>
          <w:szCs w:val="22"/>
        </w:rPr>
      </w:pPr>
    </w:p>
    <w:p w:rsidR="00BB28CC" w:rsidRPr="00806963" w:rsidRDefault="00BB28CC" w:rsidP="00D126BF">
      <w:pPr>
        <w:spacing w:before="280" w:after="280" w:line="276" w:lineRule="auto"/>
        <w:rPr>
          <w:rFonts w:ascii="Arial Narrow" w:eastAsia="Arial Narrow" w:hAnsi="Arial Narrow" w:cs="Arial Narrow"/>
          <w:sz w:val="22"/>
          <w:szCs w:val="22"/>
        </w:rPr>
      </w:pPr>
    </w:p>
    <w:p w:rsidR="00D126BF" w:rsidRPr="00EF713D" w:rsidRDefault="00D126BF" w:rsidP="00D126BF">
      <w:pPr>
        <w:spacing w:before="280" w:line="276" w:lineRule="auto"/>
        <w:rPr>
          <w:rFonts w:ascii="Arial Narrow" w:eastAsia="Arial Narrow" w:hAnsi="Arial Narrow" w:cs="Arial Narrow"/>
          <w:b/>
          <w:bCs/>
          <w:sz w:val="22"/>
          <w:szCs w:val="22"/>
        </w:rPr>
      </w:pPr>
      <w:r w:rsidRPr="00EF713D">
        <w:rPr>
          <w:rFonts w:ascii="Arial Narrow" w:eastAsia="Arial Narrow" w:hAnsi="Arial Narrow" w:cs="Arial Narrow"/>
          <w:b/>
          <w:bCs/>
          <w:sz w:val="22"/>
          <w:szCs w:val="22"/>
        </w:rPr>
        <w:lastRenderedPageBreak/>
        <w:t>Propuesta en el componente de extensión: Ingeniería de Agua y Saneamiento In-situ</w:t>
      </w:r>
    </w:p>
    <w:p w:rsidR="00D126BF" w:rsidRPr="00806963" w:rsidRDefault="00D126BF" w:rsidP="00D126BF">
      <w:pPr>
        <w:spacing w:before="280" w:after="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La rigurosidad técnica de la investigación alcanza su máximo potencial cuando se traduce en beneficios tangibles para el territorio. En el ámbito universitario, entiendo la extensión como un diálogo permanente entre la academia y la sociedad; un espacio donde el conocimiento técnico adquiere su verdadera dimensión ética y política. Bajo esta premisa, mi propuesta para este componente se fundamenta en un modelo de Ingeniería de Agua y Saneamiento In-situ, orientado a transformar realidades locales a partir de la transferencia de conocimiento aplicado.</w:t>
      </w:r>
    </w:p>
    <w:p w:rsidR="00D126BF" w:rsidRPr="00806963" w:rsidRDefault="00D126BF" w:rsidP="00D126BF">
      <w:pPr>
        <w:spacing w:before="280" w:after="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Este enfoque trasciende la entrega de productos técnicos para priorizar la apropiación social del conocimiento y el fortalecimiento de los entes territoriales. Un ejemplo concreto de esta visión es el proyecto que lidero en Barranca de Lebrija, el cual ha sido el eje para conformar una mesa técnica con el Grupo de Proyectos Diferenciales y Comunitarios del Ministerio de Vivienda. Gracias a esta sinergia entre la Alcaldía, la comunidad y la Universidad Nacional de Colombia, hemos consolidado una formulación técnica rigurosa que viabiliza la asignación de recursos públicos, garantizando así que la ciencia se traduzca en infraestructura vital para el territorio.</w:t>
      </w:r>
    </w:p>
    <w:p w:rsidR="00D126BF" w:rsidRPr="00806963" w:rsidRDefault="00D126BF" w:rsidP="00D126BF">
      <w:pPr>
        <w:spacing w:before="280" w:after="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Mi compromiso como docente de tiempo completo es escalar este modelo de gestión para transformarlo en una estrategia permanente del Departamento. Para ello, me propongo liderar la formalización de convenios de cooperación con municipios que presentan los mayores rezagos en el ODS 6, convirtiendo a estos territorios en escenarios de práctica integral donde nuestros estudiantes de pregrado y posgrado intervengan bajo la tutela académica de la Universidad Nacional de Colombia. En este esquema, la Institución se posiciona como el garante técnico que viabiliza proyectos para su financiación a través del Sistema General de Regalías o el Presupuesto General de la Nación, asegurando el cumplimiento de los estándares de calidad que el país demanda.</w:t>
      </w:r>
    </w:p>
    <w:p w:rsidR="00D126BF" w:rsidRPr="00806963" w:rsidRDefault="00D126BF" w:rsidP="00D126BF">
      <w:pPr>
        <w:spacing w:before="280" w:after="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Esta visión se consolida con el empoderamiento comunitario. A partir de los resultados de mi investigación sobre alcantarillados simplificados, implementaré programas de transferencia tecnológica dirigidos a las Juntas Administradoras de Acueductos Rurales (JAAR). El propósito fundamental es asegurar que las comunidades trasciendan la recepción de la obra física y adquieran capacidades técnicas para la operación, el mantenimiento y la gestión de riesgos. De este modo, se garantiza la sostenibilidad operativa y social del servicio de agua y saneamiento, transformando la infraestructura en un motor de bienestar duradero para el país.</w:t>
      </w:r>
    </w:p>
    <w:p w:rsidR="00D126BF" w:rsidRPr="00806963" w:rsidRDefault="00D126BF" w:rsidP="00D126BF">
      <w:pPr>
        <w:spacing w:before="280" w:after="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Complementando esta visión de sostenibilidad, mi experiencia como especialista hidrosanitaria en interventorías —como la realizada por la Universidad para el Museo Afro del Ministerio de Cultura— me permite proponer una línea de acción estratégica: la creación de una "Escuela de Veeduría Técnica y Ética". Considero que la Universidad Nacional de Colombia debe seguir consolidandose como el referente técnico y ético en la supervisión de la infraestructura pública del país. En este sentido, propongo que la sección de Saneamiento Básico lidere procesos de auditoría y acompañamiento especializado en obras de acueducto y alcantarillado en regiones críticas. El objetivo es asegurar que la inversión estatal trascienda la ejecución física y se traduzca en sistemas funcionales, íntegros y duraderos, respaldados por el sello de excelencia que caracteriza a nuestra Institución.</w:t>
      </w:r>
    </w:p>
    <w:p w:rsidR="00D126BF" w:rsidRPr="00806963" w:rsidRDefault="00D126BF" w:rsidP="00D126BF">
      <w:pPr>
        <w:spacing w:before="280" w:after="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t>En conclusión, mi aspiración a esta plaza de dedicación tiempo completo representa la evolución natural de un compromiso de casi una década con la Universidad Nacional de Colombia. He transitado el camino académico desde la cátedra, lo que me ha permitido comprender profundamente las necesidades de nuestros estudiantes y poner mi capacidad técnica al servicio de las comunidades más vulnerables a través de la extensión solidaria. La propuesta aquí presentada integra las funciones misionales en una visión sistémica: una docencia que emplea proyectos reales para formar ingenieros con conciencia social; una investigación que genera modelos matemáticos adaptados a las complejidades de nuestro entorno; y una extensión que impulsa el desarrollo rural mediante el saneamiento básico</w:t>
      </w:r>
    </w:p>
    <w:p w:rsidR="00D126BF" w:rsidRDefault="00D126BF" w:rsidP="00D126BF">
      <w:pPr>
        <w:spacing w:before="280" w:after="280" w:line="276" w:lineRule="auto"/>
        <w:rPr>
          <w:rFonts w:ascii="Arial Narrow" w:eastAsia="Arial Narrow" w:hAnsi="Arial Narrow" w:cs="Arial Narrow"/>
          <w:sz w:val="22"/>
          <w:szCs w:val="22"/>
        </w:rPr>
      </w:pPr>
      <w:r w:rsidRPr="00806963">
        <w:rPr>
          <w:rFonts w:ascii="Arial Narrow" w:eastAsia="Arial Narrow" w:hAnsi="Arial Narrow" w:cs="Arial Narrow"/>
          <w:sz w:val="22"/>
          <w:szCs w:val="22"/>
        </w:rPr>
        <w:lastRenderedPageBreak/>
        <w:t>Mi perfil integra esta experiencia en territorio con competencias en coordinación académica y metodologías e-learning, herramientas clave para aportar a la renovación curricular y a la creación de programas de posgrado en el área de saneamiento. Mi compromiso es con una universidad que trascienda la producción de ciencia de alto impacto para transformarla en bienestar social. Estoy preparada para asumir el reto de transformar la realidad hídrica del país, respaldada por la excelencia académica y el rigor técnico que solo la Universidad Nacional de Colombia puede ofrecer a la sociedad.</w:t>
      </w:r>
    </w:p>
    <w:p w:rsidR="00214324" w:rsidRDefault="00214324" w:rsidP="00D126BF">
      <w:pPr>
        <w:spacing w:before="280" w:after="280" w:line="276" w:lineRule="auto"/>
        <w:rPr>
          <w:rFonts w:ascii="Arial Narrow" w:eastAsia="Arial Narrow" w:hAnsi="Arial Narrow" w:cs="Arial Narrow"/>
          <w:sz w:val="22"/>
          <w:szCs w:val="22"/>
        </w:rPr>
      </w:pPr>
    </w:p>
    <w:p w:rsidR="00214324" w:rsidRPr="00806963" w:rsidRDefault="00214324" w:rsidP="00D126BF">
      <w:pPr>
        <w:spacing w:before="280" w:after="280" w:line="276" w:lineRule="auto"/>
        <w:rPr>
          <w:rFonts w:ascii="Arial Narrow" w:eastAsia="Arial Narrow" w:hAnsi="Arial Narrow" w:cs="Arial Narrow"/>
          <w:sz w:val="22"/>
          <w:szCs w:val="22"/>
        </w:rPr>
      </w:pPr>
    </w:p>
    <w:p w:rsidR="00D126BF" w:rsidRPr="00806963" w:rsidRDefault="00D126BF" w:rsidP="00D126BF">
      <w:pPr>
        <w:spacing w:before="280" w:after="280" w:line="276" w:lineRule="auto"/>
        <w:rPr>
          <w:rFonts w:ascii="Arial Narrow" w:eastAsia="Arial Narrow" w:hAnsi="Arial Narrow" w:cs="Arial Narrow"/>
          <w:sz w:val="22"/>
          <w:szCs w:val="22"/>
        </w:rPr>
      </w:pPr>
    </w:p>
    <w:p w:rsidR="00D126BF" w:rsidRPr="00806963" w:rsidRDefault="00D126BF" w:rsidP="00D126BF">
      <w:pPr>
        <w:spacing w:before="280" w:after="280" w:line="276" w:lineRule="auto"/>
        <w:rPr>
          <w:rFonts w:ascii="Arial Narrow" w:eastAsia="Arial Narrow" w:hAnsi="Arial Narrow" w:cs="Arial Narrow"/>
          <w:sz w:val="22"/>
          <w:szCs w:val="22"/>
        </w:rPr>
      </w:pPr>
    </w:p>
    <w:p w:rsidR="00D126BF" w:rsidRPr="00806963" w:rsidRDefault="00D126BF" w:rsidP="00D126BF">
      <w:pPr>
        <w:spacing w:before="280" w:after="280" w:line="276" w:lineRule="auto"/>
        <w:rPr>
          <w:rFonts w:ascii="Arial Narrow" w:eastAsia="Arial Narrow" w:hAnsi="Arial Narrow" w:cs="Arial Narrow"/>
          <w:sz w:val="22"/>
          <w:szCs w:val="22"/>
        </w:rPr>
      </w:pPr>
    </w:p>
    <w:p w:rsidR="00D126BF" w:rsidRPr="00806963" w:rsidRDefault="00D126BF" w:rsidP="00D126BF">
      <w:pPr>
        <w:spacing w:before="280" w:after="280" w:line="276" w:lineRule="auto"/>
        <w:rPr>
          <w:rFonts w:ascii="Arial Narrow" w:eastAsia="Arial Narrow" w:hAnsi="Arial Narrow" w:cs="Arial Narrow"/>
          <w:sz w:val="22"/>
          <w:szCs w:val="22"/>
        </w:rPr>
      </w:pPr>
    </w:p>
    <w:p w:rsidR="00D126BF" w:rsidRPr="00806963" w:rsidRDefault="00D126BF" w:rsidP="00D126BF">
      <w:pPr>
        <w:spacing w:before="280" w:after="280" w:line="276" w:lineRule="auto"/>
        <w:rPr>
          <w:rFonts w:ascii="Arial Narrow" w:eastAsia="Arial Narrow" w:hAnsi="Arial Narrow" w:cs="Arial Narrow"/>
          <w:sz w:val="22"/>
          <w:szCs w:val="22"/>
        </w:rPr>
      </w:pPr>
    </w:p>
    <w:p w:rsidR="00D126BF" w:rsidRPr="00806963" w:rsidRDefault="00D126BF" w:rsidP="00D126BF">
      <w:pPr>
        <w:spacing w:before="280" w:after="280" w:line="276" w:lineRule="auto"/>
        <w:rPr>
          <w:rFonts w:ascii="Arial Narrow" w:eastAsia="Arial Narrow" w:hAnsi="Arial Narrow" w:cs="Arial Narrow"/>
          <w:sz w:val="22"/>
          <w:szCs w:val="22"/>
        </w:rPr>
      </w:pPr>
    </w:p>
    <w:p w:rsidR="00D126BF" w:rsidRPr="00806963" w:rsidRDefault="00D126BF" w:rsidP="00D126BF">
      <w:pPr>
        <w:spacing w:before="280" w:after="280" w:line="276" w:lineRule="auto"/>
        <w:rPr>
          <w:rFonts w:ascii="Arial Narrow" w:eastAsia="Arial Narrow" w:hAnsi="Arial Narrow" w:cs="Arial Narrow"/>
          <w:sz w:val="22"/>
          <w:szCs w:val="22"/>
        </w:rPr>
      </w:pPr>
    </w:p>
    <w:p w:rsidR="00D126BF" w:rsidRPr="00806963" w:rsidRDefault="00D126BF" w:rsidP="00D126BF">
      <w:pPr>
        <w:spacing w:before="280" w:after="280" w:line="276" w:lineRule="auto"/>
        <w:rPr>
          <w:rFonts w:ascii="Arial Narrow" w:eastAsia="Arial Narrow" w:hAnsi="Arial Narrow" w:cs="Arial Narrow"/>
          <w:sz w:val="22"/>
          <w:szCs w:val="22"/>
        </w:rPr>
      </w:pPr>
    </w:p>
    <w:p w:rsidR="00D126BF" w:rsidRPr="00806963" w:rsidRDefault="00D126BF" w:rsidP="00D126BF">
      <w:pPr>
        <w:spacing w:before="280" w:after="280" w:line="276" w:lineRule="auto"/>
        <w:rPr>
          <w:rFonts w:ascii="Arial Narrow" w:eastAsia="Arial Narrow" w:hAnsi="Arial Narrow" w:cs="Arial Narrow"/>
          <w:sz w:val="22"/>
          <w:szCs w:val="22"/>
        </w:rPr>
      </w:pPr>
    </w:p>
    <w:p w:rsidR="00D126BF" w:rsidRPr="00806963" w:rsidRDefault="00D126BF" w:rsidP="00D126BF">
      <w:pPr>
        <w:spacing w:before="280" w:after="280" w:line="276" w:lineRule="auto"/>
        <w:rPr>
          <w:rFonts w:ascii="Arial Narrow" w:eastAsia="Arial Narrow" w:hAnsi="Arial Narrow" w:cs="Arial Narrow"/>
          <w:sz w:val="22"/>
          <w:szCs w:val="22"/>
        </w:rPr>
      </w:pPr>
    </w:p>
    <w:p w:rsidR="00D126BF" w:rsidRPr="00806963" w:rsidRDefault="00D126BF" w:rsidP="00D126BF">
      <w:pPr>
        <w:spacing w:before="280" w:after="280" w:line="276" w:lineRule="auto"/>
        <w:rPr>
          <w:rFonts w:ascii="Arial Narrow" w:eastAsia="Arial Narrow" w:hAnsi="Arial Narrow" w:cs="Arial Narrow"/>
          <w:sz w:val="22"/>
          <w:szCs w:val="22"/>
        </w:rPr>
      </w:pPr>
    </w:p>
    <w:p w:rsidR="00D126BF" w:rsidRPr="00806963" w:rsidRDefault="00D126BF" w:rsidP="00D126BF">
      <w:pPr>
        <w:spacing w:before="280" w:after="280" w:line="276" w:lineRule="auto"/>
        <w:rPr>
          <w:rFonts w:ascii="Arial Narrow" w:eastAsia="Arial Narrow" w:hAnsi="Arial Narrow" w:cs="Arial Narrow"/>
          <w:sz w:val="22"/>
          <w:szCs w:val="22"/>
        </w:rPr>
      </w:pPr>
    </w:p>
    <w:p w:rsidR="00D126BF" w:rsidRPr="00806963" w:rsidRDefault="00D126BF" w:rsidP="00D126BF">
      <w:pPr>
        <w:spacing w:before="280" w:after="280" w:line="276" w:lineRule="auto"/>
        <w:rPr>
          <w:rFonts w:ascii="Arial Narrow" w:eastAsia="Arial Narrow" w:hAnsi="Arial Narrow" w:cs="Arial Narrow"/>
          <w:sz w:val="22"/>
          <w:szCs w:val="22"/>
        </w:rPr>
      </w:pPr>
    </w:p>
    <w:p w:rsidR="00D126BF" w:rsidRPr="00806963" w:rsidRDefault="00D126BF" w:rsidP="00D126BF">
      <w:pPr>
        <w:spacing w:before="280" w:after="280" w:line="276" w:lineRule="auto"/>
        <w:rPr>
          <w:rFonts w:ascii="Arial Narrow" w:eastAsia="Arial Narrow" w:hAnsi="Arial Narrow" w:cs="Arial Narrow"/>
          <w:sz w:val="22"/>
          <w:szCs w:val="22"/>
        </w:rPr>
      </w:pPr>
    </w:p>
    <w:p w:rsidR="00D126BF" w:rsidRPr="00806963" w:rsidRDefault="00D126BF" w:rsidP="00D126BF">
      <w:pPr>
        <w:spacing w:before="280" w:after="280" w:line="276" w:lineRule="auto"/>
        <w:rPr>
          <w:rFonts w:ascii="Arial Narrow" w:eastAsia="Arial Narrow" w:hAnsi="Arial Narrow" w:cs="Arial Narrow"/>
          <w:sz w:val="22"/>
          <w:szCs w:val="22"/>
        </w:rPr>
      </w:pPr>
    </w:p>
    <w:p w:rsidR="00D126BF" w:rsidRPr="00806963" w:rsidRDefault="00D126BF" w:rsidP="00D126BF">
      <w:pPr>
        <w:spacing w:before="280" w:after="280" w:line="276" w:lineRule="auto"/>
        <w:rPr>
          <w:rFonts w:ascii="Arial Narrow" w:eastAsia="Arial Narrow" w:hAnsi="Arial Narrow" w:cs="Arial Narrow"/>
          <w:sz w:val="22"/>
          <w:szCs w:val="22"/>
        </w:rPr>
      </w:pPr>
    </w:p>
    <w:p w:rsidR="00D126BF" w:rsidRPr="00806963" w:rsidRDefault="00D126BF" w:rsidP="00D126BF">
      <w:pPr>
        <w:spacing w:before="280" w:after="280" w:line="276" w:lineRule="auto"/>
        <w:rPr>
          <w:rFonts w:ascii="Arial Narrow" w:eastAsia="Arial Narrow" w:hAnsi="Arial Narrow" w:cs="Arial Narrow"/>
          <w:sz w:val="22"/>
          <w:szCs w:val="22"/>
        </w:rPr>
      </w:pPr>
    </w:p>
    <w:p w:rsidR="00D126BF" w:rsidRPr="00806963" w:rsidRDefault="00D126BF" w:rsidP="00D126BF">
      <w:pPr>
        <w:spacing w:before="280" w:after="280" w:line="276" w:lineRule="auto"/>
        <w:rPr>
          <w:rFonts w:ascii="Arial Narrow" w:eastAsia="Arial Narrow" w:hAnsi="Arial Narrow" w:cs="Arial Narrow"/>
          <w:sz w:val="22"/>
          <w:szCs w:val="22"/>
        </w:rPr>
      </w:pPr>
    </w:p>
    <w:p w:rsidR="00D126BF" w:rsidRPr="002C137B" w:rsidRDefault="00D126BF" w:rsidP="00D126BF">
      <w:pPr>
        <w:keepNext/>
        <w:keepLines/>
        <w:pBdr>
          <w:top w:val="nil"/>
          <w:left w:val="nil"/>
          <w:bottom w:val="nil"/>
          <w:right w:val="nil"/>
          <w:between w:val="nil"/>
        </w:pBdr>
        <w:spacing w:before="480" w:line="276" w:lineRule="auto"/>
        <w:rPr>
          <w:rFonts w:ascii="Arial Narrow" w:eastAsia="Arial Narrow" w:hAnsi="Arial Narrow" w:cs="Arial"/>
          <w:b/>
          <w:bCs/>
          <w:color w:val="000000"/>
          <w:sz w:val="22"/>
          <w:szCs w:val="22"/>
        </w:rPr>
      </w:pPr>
      <w:r w:rsidRPr="002C137B">
        <w:rPr>
          <w:rFonts w:ascii="Arial Narrow" w:eastAsia="Arial Narrow" w:hAnsi="Arial Narrow" w:cs="Arial"/>
          <w:b/>
          <w:bCs/>
          <w:color w:val="000000"/>
          <w:sz w:val="22"/>
          <w:szCs w:val="22"/>
        </w:rPr>
        <w:lastRenderedPageBreak/>
        <w:t>Bibliografía</w:t>
      </w:r>
    </w:p>
    <w:p w:rsidR="00D126BF" w:rsidRPr="002C137B" w:rsidRDefault="00D126BF" w:rsidP="00D126BF">
      <w:pPr>
        <w:numPr>
          <w:ilvl w:val="0"/>
          <w:numId w:val="1"/>
        </w:numPr>
        <w:pBdr>
          <w:top w:val="nil"/>
          <w:left w:val="nil"/>
          <w:bottom w:val="nil"/>
          <w:right w:val="nil"/>
          <w:between w:val="nil"/>
        </w:pBdr>
        <w:rPr>
          <w:rFonts w:ascii="Arial Narrow" w:eastAsia="Arial Narrow" w:hAnsi="Arial Narrow" w:cs="Arial"/>
          <w:color w:val="000000"/>
          <w:sz w:val="22"/>
          <w:szCs w:val="22"/>
        </w:rPr>
      </w:pPr>
      <w:r w:rsidRPr="002C137B">
        <w:rPr>
          <w:rFonts w:ascii="Arial Narrow" w:eastAsia="Arial Narrow" w:hAnsi="Arial Narrow" w:cs="Arial"/>
          <w:color w:val="000000"/>
          <w:sz w:val="22"/>
          <w:szCs w:val="22"/>
        </w:rPr>
        <w:t>Caicedo, M. A., Urazán, C. F., Ayala, L. E., &amp; Ramirez, J. C. (2022). Condiciones de infraestructura para el desarrollo rural sostenible en Colombia. Bogotá: Ediciones Unisalle. doi:10.19052/9786287510357</w:t>
      </w:r>
    </w:p>
    <w:p w:rsidR="00D126BF" w:rsidRPr="002C137B" w:rsidRDefault="00D126BF" w:rsidP="00D126BF">
      <w:pPr>
        <w:numPr>
          <w:ilvl w:val="0"/>
          <w:numId w:val="1"/>
        </w:numPr>
        <w:rPr>
          <w:rFonts w:ascii="Arial Narrow" w:eastAsia="Arial Narrow" w:hAnsi="Arial Narrow" w:cs="Arial"/>
          <w:sz w:val="22"/>
          <w:szCs w:val="22"/>
        </w:rPr>
      </w:pPr>
      <w:r w:rsidRPr="002C137B">
        <w:rPr>
          <w:rFonts w:ascii="Arial Narrow" w:eastAsia="Arial Narrow" w:hAnsi="Arial Narrow" w:cs="Arial"/>
          <w:sz w:val="22"/>
          <w:szCs w:val="22"/>
        </w:rPr>
        <w:t xml:space="preserve">Cardona-Urrea, S., Gómez, J. M., Ivarsson, E. y Espinet Alegre, X. (2025). </w:t>
      </w:r>
      <w:r w:rsidRPr="002C137B">
        <w:rPr>
          <w:rFonts w:ascii="Arial Narrow" w:eastAsia="Arial Narrow" w:hAnsi="Arial Narrow" w:cs="Arial"/>
          <w:sz w:val="22"/>
          <w:szCs w:val="22"/>
          <w:lang w:val="en-US"/>
        </w:rPr>
        <w:t xml:space="preserve">Evaluating climate impacts on geographical accessibility to basic services in rural Colombia. </w:t>
      </w:r>
      <w:r w:rsidRPr="002C137B">
        <w:rPr>
          <w:rFonts w:ascii="Arial Narrow" w:eastAsia="Arial Narrow" w:hAnsi="Arial Narrow" w:cs="Arial"/>
          <w:sz w:val="22"/>
          <w:szCs w:val="22"/>
        </w:rPr>
        <w:t>Este estudio se encuentra en la revista Transportation Research Part D.</w:t>
      </w:r>
    </w:p>
    <w:p w:rsidR="00D126BF" w:rsidRPr="002C137B" w:rsidRDefault="00D126BF" w:rsidP="00D126BF">
      <w:pPr>
        <w:numPr>
          <w:ilvl w:val="0"/>
          <w:numId w:val="1"/>
        </w:numPr>
        <w:pBdr>
          <w:top w:val="nil"/>
          <w:left w:val="nil"/>
          <w:bottom w:val="nil"/>
          <w:right w:val="nil"/>
          <w:between w:val="nil"/>
        </w:pBdr>
        <w:rPr>
          <w:rFonts w:ascii="Arial Narrow" w:eastAsia="Arial Narrow" w:hAnsi="Arial Narrow" w:cs="Arial"/>
          <w:color w:val="000000"/>
          <w:sz w:val="22"/>
          <w:szCs w:val="22"/>
        </w:rPr>
      </w:pPr>
      <w:r w:rsidRPr="002C137B">
        <w:rPr>
          <w:rFonts w:ascii="Arial Narrow" w:eastAsia="Arial Narrow" w:hAnsi="Arial Narrow" w:cs="Arial"/>
          <w:color w:val="000000"/>
          <w:sz w:val="22"/>
          <w:szCs w:val="22"/>
        </w:rPr>
        <w:t>CDKN, A. C. (2017). Alianza Clima y Desarrollo. Obtenido de CDKN: http://cdkn.org/introduccion-2/?loclang=es_es</w:t>
      </w:r>
    </w:p>
    <w:p w:rsidR="00D126BF" w:rsidRPr="002C137B" w:rsidRDefault="00D126BF" w:rsidP="00D126BF">
      <w:pPr>
        <w:numPr>
          <w:ilvl w:val="0"/>
          <w:numId w:val="1"/>
        </w:numPr>
        <w:pBdr>
          <w:top w:val="nil"/>
          <w:left w:val="nil"/>
          <w:bottom w:val="nil"/>
          <w:right w:val="nil"/>
          <w:between w:val="nil"/>
        </w:pBdr>
        <w:rPr>
          <w:rFonts w:ascii="Arial Narrow" w:eastAsia="Arial Narrow" w:hAnsi="Arial Narrow" w:cs="Arial"/>
          <w:color w:val="000000"/>
          <w:sz w:val="22"/>
          <w:szCs w:val="22"/>
        </w:rPr>
      </w:pPr>
      <w:r w:rsidRPr="002C137B">
        <w:rPr>
          <w:rFonts w:ascii="Arial Narrow" w:eastAsia="Arial Narrow" w:hAnsi="Arial Narrow" w:cs="Arial"/>
          <w:color w:val="000000"/>
          <w:sz w:val="22"/>
          <w:szCs w:val="22"/>
        </w:rPr>
        <w:t>Colombia, U. N. (2013). Aporte de universidades, fundamental para posconflicto en Colombia. Recuperado el 2017, de La academia, y en especial la Universidad Nacional de Colombia, tiene un papel determinante en el entendimiento de lo que será el posconflicto en Colombia: http://agenciadenoticias.unal.edu.co/detalle/article/aporte-de-universidades-fundamental-para-posconflicto-en-colombia.html</w:t>
      </w:r>
    </w:p>
    <w:p w:rsidR="00D126BF" w:rsidRPr="002C137B" w:rsidRDefault="00D126BF" w:rsidP="00D126BF">
      <w:pPr>
        <w:numPr>
          <w:ilvl w:val="0"/>
          <w:numId w:val="1"/>
        </w:numPr>
        <w:pBdr>
          <w:top w:val="nil"/>
          <w:left w:val="nil"/>
          <w:bottom w:val="nil"/>
          <w:right w:val="nil"/>
          <w:between w:val="nil"/>
        </w:pBdr>
        <w:rPr>
          <w:rFonts w:ascii="Arial Narrow" w:eastAsia="Arial Narrow" w:hAnsi="Arial Narrow" w:cs="Arial"/>
          <w:color w:val="000000"/>
          <w:sz w:val="22"/>
          <w:szCs w:val="22"/>
        </w:rPr>
      </w:pPr>
      <w:r w:rsidRPr="002C137B">
        <w:rPr>
          <w:rFonts w:ascii="Arial Narrow" w:eastAsia="Arial Narrow" w:hAnsi="Arial Narrow" w:cs="Arial"/>
          <w:color w:val="000000"/>
          <w:sz w:val="22"/>
          <w:szCs w:val="22"/>
        </w:rPr>
        <w:t xml:space="preserve">Colombia, U. N. (15 de Mayo de 2020). Retos de la educación virtual en el país. Obtenido de </w:t>
      </w:r>
      <w:hyperlink r:id="rId7">
        <w:r w:rsidRPr="002C137B">
          <w:rPr>
            <w:rFonts w:ascii="Arial Narrow" w:eastAsia="Arial Narrow" w:hAnsi="Arial Narrow" w:cs="Arial"/>
            <w:color w:val="0563C1"/>
            <w:sz w:val="22"/>
            <w:szCs w:val="22"/>
            <w:u w:val="single"/>
          </w:rPr>
          <w:t>https://scda.medellin.unal.edu.co/noticias/facultad/3163-retos-de-la-educacion-virtual-en-el-pais</w:t>
        </w:r>
      </w:hyperlink>
    </w:p>
    <w:p w:rsidR="00D126BF" w:rsidRPr="002C137B" w:rsidRDefault="00D126BF" w:rsidP="00D126BF">
      <w:pPr>
        <w:numPr>
          <w:ilvl w:val="0"/>
          <w:numId w:val="1"/>
        </w:numPr>
        <w:pBdr>
          <w:top w:val="nil"/>
          <w:left w:val="nil"/>
          <w:bottom w:val="nil"/>
          <w:right w:val="nil"/>
          <w:between w:val="nil"/>
        </w:pBdr>
        <w:rPr>
          <w:rFonts w:ascii="Arial Narrow" w:eastAsia="Arial Narrow" w:hAnsi="Arial Narrow" w:cs="Arial"/>
          <w:color w:val="000000"/>
          <w:sz w:val="22"/>
          <w:szCs w:val="22"/>
        </w:rPr>
      </w:pPr>
      <w:r w:rsidRPr="002C137B">
        <w:rPr>
          <w:rFonts w:ascii="Arial Narrow" w:eastAsia="Arial Narrow" w:hAnsi="Arial Narrow" w:cs="Arial"/>
          <w:color w:val="000000"/>
          <w:sz w:val="22"/>
          <w:szCs w:val="22"/>
        </w:rPr>
        <w:t xml:space="preserve">DANE. (19 de Septiembre de 2025). Encuesta Nacional de Calidad de Vida - ECV - 2024. Obtenido de </w:t>
      </w:r>
      <w:hyperlink r:id="rId8">
        <w:r w:rsidRPr="002C137B">
          <w:rPr>
            <w:rFonts w:ascii="Arial Narrow" w:eastAsia="Arial Narrow" w:hAnsi="Arial Narrow" w:cs="Arial"/>
            <w:color w:val="0563C1"/>
            <w:sz w:val="22"/>
            <w:szCs w:val="22"/>
            <w:u w:val="single"/>
          </w:rPr>
          <w:t>https://microdatos.dane.gov.co/index.php/catalog/861</w:t>
        </w:r>
      </w:hyperlink>
    </w:p>
    <w:p w:rsidR="00D126BF" w:rsidRPr="002C137B" w:rsidRDefault="00D126BF" w:rsidP="00D126BF">
      <w:pPr>
        <w:numPr>
          <w:ilvl w:val="0"/>
          <w:numId w:val="1"/>
        </w:numPr>
        <w:pBdr>
          <w:top w:val="nil"/>
          <w:left w:val="nil"/>
          <w:bottom w:val="nil"/>
          <w:right w:val="nil"/>
          <w:between w:val="nil"/>
        </w:pBdr>
        <w:rPr>
          <w:rFonts w:ascii="Arial Narrow" w:eastAsia="Arial Narrow" w:hAnsi="Arial Narrow" w:cs="Arial"/>
          <w:color w:val="000000"/>
          <w:sz w:val="22"/>
          <w:szCs w:val="22"/>
        </w:rPr>
      </w:pPr>
      <w:r w:rsidRPr="002C137B">
        <w:rPr>
          <w:rFonts w:ascii="Arial Narrow" w:eastAsia="Arial Narrow" w:hAnsi="Arial Narrow" w:cs="Arial"/>
          <w:color w:val="000000"/>
          <w:sz w:val="22"/>
          <w:szCs w:val="22"/>
        </w:rPr>
        <w:t>DNP. (14 de Octubre de 2025). CONPES 4165. Obtenido de DECLARACIÓN DE IMPORTANCIA ESTRATÉGICA DEL PROYECTO DE INVERSIÓN INCREMENTO DEL ACCESO AL AGUA Y DEL SANEAMIENTO BÁSICO PARA LA SOSTENIBILIDAD Y LA EQUIDAD TERRITORIAL A NIVEL NACIONAL (BPIN 202500000025366) -PARA FINANCIAR PROYECTOS ESTRATÉGICOS EN TERRI: chrome-extension://efaidnbmnnnibpcajpcglclefindmkaj/https://colaboracion.dnp.gov.co/CDT/Conpes/Econ%C3%B3micos/4165.pdf</w:t>
      </w:r>
    </w:p>
    <w:p w:rsidR="00D126BF" w:rsidRPr="002C137B" w:rsidRDefault="00D126BF" w:rsidP="00D126BF">
      <w:pPr>
        <w:numPr>
          <w:ilvl w:val="0"/>
          <w:numId w:val="1"/>
        </w:numPr>
        <w:pBdr>
          <w:top w:val="nil"/>
          <w:left w:val="nil"/>
          <w:bottom w:val="nil"/>
          <w:right w:val="nil"/>
          <w:between w:val="nil"/>
        </w:pBdr>
        <w:rPr>
          <w:rFonts w:ascii="Arial Narrow" w:eastAsia="Arial Narrow" w:hAnsi="Arial Narrow" w:cs="Arial"/>
          <w:color w:val="000000"/>
          <w:sz w:val="22"/>
          <w:szCs w:val="22"/>
          <w:lang w:val="en-US"/>
        </w:rPr>
      </w:pPr>
      <w:r w:rsidRPr="002C137B">
        <w:rPr>
          <w:rFonts w:ascii="Arial Narrow" w:eastAsia="Arial Narrow" w:hAnsi="Arial Narrow" w:cs="Arial"/>
          <w:color w:val="000000"/>
          <w:sz w:val="22"/>
          <w:szCs w:val="22"/>
          <w:lang w:val="en-US"/>
        </w:rPr>
        <w:t xml:space="preserve">EPA. (s.f.). EPANET. Obtenido de Application for Modeling Drinking Water Distribution Systems: </w:t>
      </w:r>
      <w:hyperlink r:id="rId9">
        <w:r w:rsidRPr="002C137B">
          <w:rPr>
            <w:rFonts w:ascii="Arial Narrow" w:eastAsia="Arial Narrow" w:hAnsi="Arial Narrow" w:cs="Arial"/>
            <w:color w:val="0563C1"/>
            <w:sz w:val="22"/>
            <w:szCs w:val="22"/>
            <w:u w:val="single"/>
            <w:lang w:val="en-US"/>
          </w:rPr>
          <w:t>https://www.epa.gov/water-research/epanet</w:t>
        </w:r>
      </w:hyperlink>
    </w:p>
    <w:p w:rsidR="00D126BF" w:rsidRPr="002C137B" w:rsidRDefault="00D126BF" w:rsidP="00D126BF">
      <w:pPr>
        <w:numPr>
          <w:ilvl w:val="0"/>
          <w:numId w:val="1"/>
        </w:numPr>
        <w:pBdr>
          <w:top w:val="nil"/>
          <w:left w:val="nil"/>
          <w:bottom w:val="nil"/>
          <w:right w:val="nil"/>
          <w:between w:val="nil"/>
        </w:pBdr>
        <w:rPr>
          <w:rFonts w:ascii="Arial Narrow" w:eastAsia="Arial Narrow" w:hAnsi="Arial Narrow" w:cs="Arial"/>
          <w:color w:val="000000"/>
          <w:sz w:val="22"/>
          <w:szCs w:val="22"/>
        </w:rPr>
      </w:pPr>
      <w:r w:rsidRPr="002C137B">
        <w:rPr>
          <w:rFonts w:ascii="Arial Narrow" w:eastAsia="Arial Narrow" w:hAnsi="Arial Narrow" w:cs="Arial"/>
          <w:color w:val="000000"/>
          <w:sz w:val="22"/>
          <w:szCs w:val="22"/>
          <w:lang w:val="en-US"/>
        </w:rPr>
        <w:t xml:space="preserve">EPA. (s.f.). Storm Water Management Model (SWMM). </w:t>
      </w:r>
      <w:r w:rsidRPr="002C137B">
        <w:rPr>
          <w:rFonts w:ascii="Arial Narrow" w:eastAsia="Arial Narrow" w:hAnsi="Arial Narrow" w:cs="Arial"/>
          <w:color w:val="000000"/>
          <w:sz w:val="22"/>
          <w:szCs w:val="22"/>
        </w:rPr>
        <w:t xml:space="preserve">Obtenido de </w:t>
      </w:r>
      <w:hyperlink r:id="rId10">
        <w:r w:rsidRPr="002C137B">
          <w:rPr>
            <w:rFonts w:ascii="Arial Narrow" w:eastAsia="Arial Narrow" w:hAnsi="Arial Narrow" w:cs="Arial"/>
            <w:color w:val="0563C1"/>
            <w:sz w:val="22"/>
            <w:szCs w:val="22"/>
            <w:u w:val="single"/>
          </w:rPr>
          <w:t>https://www.epa.gov/water-research/storm-water-management-model-swmm</w:t>
        </w:r>
      </w:hyperlink>
    </w:p>
    <w:p w:rsidR="00D126BF" w:rsidRPr="002C137B" w:rsidRDefault="00D126BF" w:rsidP="00D126BF">
      <w:pPr>
        <w:numPr>
          <w:ilvl w:val="0"/>
          <w:numId w:val="1"/>
        </w:numPr>
        <w:rPr>
          <w:rFonts w:ascii="Arial Narrow" w:eastAsia="Arial Narrow" w:hAnsi="Arial Narrow" w:cs="Arial"/>
          <w:sz w:val="22"/>
          <w:szCs w:val="22"/>
        </w:rPr>
      </w:pPr>
      <w:r w:rsidRPr="002C137B">
        <w:rPr>
          <w:rFonts w:ascii="Arial Narrow" w:eastAsia="Arial Narrow" w:hAnsi="Arial Narrow" w:cs="Arial"/>
          <w:sz w:val="22"/>
          <w:szCs w:val="22"/>
        </w:rPr>
        <w:t xml:space="preserve">Kosoe, E. A. y Osumanu, I. K. (2025). </w:t>
      </w:r>
      <w:r w:rsidRPr="002C137B">
        <w:rPr>
          <w:rFonts w:ascii="Arial Narrow" w:eastAsia="Arial Narrow" w:hAnsi="Arial Narrow" w:cs="Arial"/>
          <w:sz w:val="22"/>
          <w:szCs w:val="22"/>
          <w:lang w:val="en-US"/>
        </w:rPr>
        <w:t xml:space="preserve">Spatial distribution and accessibility of potable water in rural and small-town water systems. </w:t>
      </w:r>
      <w:r w:rsidRPr="002C137B">
        <w:rPr>
          <w:rFonts w:ascii="Arial Narrow" w:eastAsia="Arial Narrow" w:hAnsi="Arial Narrow" w:cs="Arial"/>
          <w:sz w:val="22"/>
          <w:szCs w:val="22"/>
        </w:rPr>
        <w:t>Este artículo de investigación fue publicado en la revista Sustainable Futures.</w:t>
      </w:r>
    </w:p>
    <w:p w:rsidR="00D126BF" w:rsidRPr="002C137B" w:rsidRDefault="00D126BF" w:rsidP="00D126BF">
      <w:pPr>
        <w:numPr>
          <w:ilvl w:val="0"/>
          <w:numId w:val="1"/>
        </w:numPr>
        <w:rPr>
          <w:rFonts w:ascii="Arial Narrow" w:eastAsia="Arial Narrow" w:hAnsi="Arial Narrow" w:cs="Arial"/>
          <w:sz w:val="22"/>
          <w:szCs w:val="22"/>
          <w:lang w:val="en-US"/>
        </w:rPr>
      </w:pPr>
      <w:r w:rsidRPr="002C137B">
        <w:rPr>
          <w:rFonts w:ascii="Arial Narrow" w:eastAsia="Arial Narrow" w:hAnsi="Arial Narrow" w:cs="Arial"/>
          <w:sz w:val="22"/>
          <w:szCs w:val="22"/>
        </w:rPr>
        <w:t xml:space="preserve">Matla, H. M. D., Funk, C., Gopinath, P. P. y Sathyan, A. R. (2025). </w:t>
      </w:r>
      <w:r w:rsidRPr="002C137B">
        <w:rPr>
          <w:rFonts w:ascii="Arial Narrow" w:eastAsia="Arial Narrow" w:hAnsi="Arial Narrow" w:cs="Arial"/>
          <w:sz w:val="22"/>
          <w:szCs w:val="22"/>
          <w:lang w:val="en-US"/>
        </w:rPr>
        <w:t>Flood vulnerability of rural women – An indicator-based approach. El trabajo fue publicado en International Journal of Disaster Risk Reduction.</w:t>
      </w:r>
    </w:p>
    <w:p w:rsidR="00D126BF" w:rsidRPr="002C137B" w:rsidRDefault="00D126BF" w:rsidP="00D126BF">
      <w:pPr>
        <w:numPr>
          <w:ilvl w:val="0"/>
          <w:numId w:val="1"/>
        </w:numPr>
        <w:pBdr>
          <w:top w:val="nil"/>
          <w:left w:val="nil"/>
          <w:bottom w:val="nil"/>
          <w:right w:val="nil"/>
          <w:between w:val="nil"/>
        </w:pBdr>
        <w:rPr>
          <w:rFonts w:ascii="Arial Narrow" w:eastAsia="Arial Narrow" w:hAnsi="Arial Narrow" w:cs="Arial"/>
          <w:color w:val="000000"/>
          <w:sz w:val="22"/>
          <w:szCs w:val="22"/>
        </w:rPr>
      </w:pPr>
      <w:r w:rsidRPr="002C137B">
        <w:rPr>
          <w:rFonts w:ascii="Arial Narrow" w:eastAsia="Arial Narrow" w:hAnsi="Arial Narrow" w:cs="Arial"/>
          <w:color w:val="000000"/>
          <w:sz w:val="22"/>
          <w:szCs w:val="22"/>
        </w:rPr>
        <w:t xml:space="preserve">MinCiencias. (2024). CvLac. Obtenido de Investigador Asociado (I) con vigencia hasta la publicación de los resultados de la siguiente convocatoria: </w:t>
      </w:r>
      <w:hyperlink r:id="rId11">
        <w:r w:rsidRPr="002C137B">
          <w:rPr>
            <w:rFonts w:ascii="Arial Narrow" w:eastAsia="Arial Narrow" w:hAnsi="Arial Narrow" w:cs="Arial"/>
            <w:color w:val="0563C1"/>
            <w:sz w:val="22"/>
            <w:szCs w:val="22"/>
            <w:u w:val="single"/>
          </w:rPr>
          <w:t>https://scienti.minciencias.gov.co/cvlac/visualizador/generarCurriculoCv.do?cod_rh=0001466936</w:t>
        </w:r>
      </w:hyperlink>
    </w:p>
    <w:p w:rsidR="00D126BF" w:rsidRPr="002C137B" w:rsidRDefault="00D126BF" w:rsidP="00D126BF">
      <w:pPr>
        <w:numPr>
          <w:ilvl w:val="0"/>
          <w:numId w:val="1"/>
        </w:numPr>
        <w:pBdr>
          <w:top w:val="nil"/>
          <w:left w:val="nil"/>
          <w:bottom w:val="nil"/>
          <w:right w:val="nil"/>
          <w:between w:val="nil"/>
        </w:pBdr>
        <w:rPr>
          <w:rFonts w:ascii="Arial Narrow" w:eastAsia="Arial Narrow" w:hAnsi="Arial Narrow" w:cs="Arial"/>
          <w:color w:val="000000"/>
          <w:sz w:val="22"/>
          <w:szCs w:val="22"/>
        </w:rPr>
      </w:pPr>
      <w:r w:rsidRPr="002C137B">
        <w:rPr>
          <w:rFonts w:ascii="Arial Narrow" w:eastAsia="Arial Narrow" w:hAnsi="Arial Narrow" w:cs="Arial"/>
          <w:color w:val="000000"/>
          <w:sz w:val="22"/>
          <w:szCs w:val="22"/>
        </w:rPr>
        <w:t>Ministerio de Vivienda, C. y. (2018). Resolución 0844. Obtenido de chrome-extension://efaidnbmnnnibpcajpcglclefindmkaj/https://www.minvivienda.gov.co/sites/default/files/documentos/0844-2018.pdf</w:t>
      </w:r>
    </w:p>
    <w:p w:rsidR="00D126BF" w:rsidRPr="002C137B" w:rsidRDefault="00D126BF" w:rsidP="00D126BF">
      <w:pPr>
        <w:numPr>
          <w:ilvl w:val="0"/>
          <w:numId w:val="1"/>
        </w:numPr>
        <w:pBdr>
          <w:top w:val="nil"/>
          <w:left w:val="nil"/>
          <w:bottom w:val="nil"/>
          <w:right w:val="nil"/>
          <w:between w:val="nil"/>
        </w:pBdr>
        <w:rPr>
          <w:rFonts w:ascii="Arial Narrow" w:eastAsia="Arial Narrow" w:hAnsi="Arial Narrow" w:cs="Arial"/>
          <w:color w:val="000000"/>
          <w:sz w:val="22"/>
          <w:szCs w:val="22"/>
        </w:rPr>
      </w:pPr>
      <w:r w:rsidRPr="002C137B">
        <w:rPr>
          <w:rFonts w:ascii="Arial Narrow" w:eastAsia="Arial Narrow" w:hAnsi="Arial Narrow" w:cs="Arial"/>
          <w:color w:val="000000"/>
          <w:sz w:val="22"/>
          <w:szCs w:val="22"/>
        </w:rPr>
        <w:t xml:space="preserve">Ministerio de Vivienda, C. y. (2024). 280 municipios de Colombia registraron en 2024 un riesgo alto en el uso de recursos del Sistema General de Participación para Agua Potable y Saneamiento. Obtenido de </w:t>
      </w:r>
      <w:hyperlink r:id="rId12">
        <w:r w:rsidRPr="002C137B">
          <w:rPr>
            <w:rFonts w:ascii="Arial Narrow" w:eastAsia="Arial Narrow" w:hAnsi="Arial Narrow" w:cs="Arial"/>
            <w:color w:val="0563C1"/>
            <w:sz w:val="22"/>
            <w:szCs w:val="22"/>
            <w:u w:val="single"/>
          </w:rPr>
          <w:t>https://minvivienda.gov.co/sala-de-prensa/280-municipios-de-colombia-registraron-en-2024-un-riesgo-alto-en-el-uso-de-recursos-del-sistema-general-de-participacion-para-agua-potable-y</w:t>
        </w:r>
      </w:hyperlink>
    </w:p>
    <w:p w:rsidR="00D126BF" w:rsidRPr="002C137B" w:rsidRDefault="00D126BF" w:rsidP="00D126BF">
      <w:pPr>
        <w:numPr>
          <w:ilvl w:val="0"/>
          <w:numId w:val="1"/>
        </w:numPr>
        <w:rPr>
          <w:rFonts w:ascii="Arial Narrow" w:eastAsia="Arial Narrow" w:hAnsi="Arial Narrow" w:cs="Arial"/>
          <w:sz w:val="22"/>
          <w:szCs w:val="22"/>
        </w:rPr>
      </w:pPr>
      <w:r w:rsidRPr="002C137B">
        <w:rPr>
          <w:rFonts w:ascii="Arial Narrow" w:eastAsia="Arial Narrow" w:hAnsi="Arial Narrow" w:cs="Arial"/>
          <w:sz w:val="22"/>
          <w:szCs w:val="22"/>
        </w:rPr>
        <w:t xml:space="preserve">Nicolas-Artero, C., Fuster-Farfán, X. y Huaico-Malhue, A. (2025). </w:t>
      </w:r>
      <w:r w:rsidRPr="002C137B">
        <w:rPr>
          <w:rFonts w:ascii="Arial Narrow" w:eastAsia="Arial Narrow" w:hAnsi="Arial Narrow" w:cs="Arial"/>
          <w:sz w:val="22"/>
          <w:szCs w:val="22"/>
          <w:lang w:val="en-US"/>
        </w:rPr>
        <w:t xml:space="preserve">Interconnected water scarcities and environmental amenities migration in rural Chile. </w:t>
      </w:r>
      <w:r w:rsidRPr="002C137B">
        <w:rPr>
          <w:rFonts w:ascii="Arial Narrow" w:eastAsia="Arial Narrow" w:hAnsi="Arial Narrow" w:cs="Arial"/>
          <w:sz w:val="22"/>
          <w:szCs w:val="22"/>
        </w:rPr>
        <w:t>Esta investigación aparece en el Journal of Rural Studies.</w:t>
      </w:r>
    </w:p>
    <w:p w:rsidR="00D126BF" w:rsidRPr="002C137B" w:rsidRDefault="00D126BF" w:rsidP="00D126BF">
      <w:pPr>
        <w:numPr>
          <w:ilvl w:val="0"/>
          <w:numId w:val="1"/>
        </w:numPr>
        <w:pBdr>
          <w:top w:val="nil"/>
          <w:left w:val="nil"/>
          <w:bottom w:val="nil"/>
          <w:right w:val="nil"/>
          <w:between w:val="nil"/>
        </w:pBdr>
        <w:rPr>
          <w:rFonts w:ascii="Arial Narrow" w:eastAsia="Arial Narrow" w:hAnsi="Arial Narrow" w:cs="Arial"/>
          <w:sz w:val="22"/>
          <w:szCs w:val="22"/>
        </w:rPr>
      </w:pPr>
      <w:r w:rsidRPr="002C137B">
        <w:rPr>
          <w:rFonts w:ascii="Arial Narrow" w:eastAsia="Arial Narrow" w:hAnsi="Arial Narrow" w:cs="Arial"/>
          <w:sz w:val="22"/>
          <w:szCs w:val="22"/>
          <w:lang w:val="en-US"/>
        </w:rPr>
        <w:t xml:space="preserve">Xu, D. (2025). Rural-urban inequality in drinking water accessibility as a socioeconomic outcome in Nigeria. </w:t>
      </w:r>
      <w:r w:rsidRPr="002C137B">
        <w:rPr>
          <w:rFonts w:ascii="Arial Narrow" w:eastAsia="Arial Narrow" w:hAnsi="Arial Narrow" w:cs="Arial"/>
          <w:sz w:val="22"/>
          <w:szCs w:val="22"/>
        </w:rPr>
        <w:t>Este análisis se encuentra disponible en la revista Utilities Policy</w:t>
      </w:r>
    </w:p>
    <w:p w:rsidR="00E828A1" w:rsidRDefault="00E828A1"/>
    <w:sectPr w:rsidR="00E828A1">
      <w:headerReference w:type="default" r:id="rId13"/>
      <w:footerReference w:type="default" r:id="rId14"/>
      <w:footerReference w:type="first" r:id="rId15"/>
      <w:pgSz w:w="11906" w:h="16838"/>
      <w:pgMar w:top="2088" w:right="1133" w:bottom="1418" w:left="1418" w:header="964"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2539D" w:rsidRDefault="0002539D" w:rsidP="00D126BF">
      <w:r>
        <w:separator/>
      </w:r>
    </w:p>
  </w:endnote>
  <w:endnote w:type="continuationSeparator" w:id="0">
    <w:p w:rsidR="0002539D" w:rsidRDefault="0002539D" w:rsidP="00D12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altName w:val="Calibri"/>
    <w:panose1 w:val="020F0502020204030204"/>
    <w:charset w:val="00"/>
    <w:family w:val="swiss"/>
    <w:pitch w:val="variable"/>
    <w:sig w:usb0="E4002EFF" w:usb1="C200247B" w:usb2="00000009" w:usb3="00000000" w:csb0="000001FF" w:csb1="00000000"/>
  </w:font>
  <w:font w:name="Poppins">
    <w:panose1 w:val="00000500000000000000"/>
    <w:charset w:val="00"/>
    <w:family w:val="auto"/>
    <w:pitch w:val="variable"/>
    <w:sig w:usb0="00008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11C67" w:rsidRDefault="00311C67">
    <w:pPr>
      <w:pBdr>
        <w:top w:val="nil"/>
        <w:left w:val="nil"/>
        <w:bottom w:val="nil"/>
        <w:right w:val="nil"/>
        <w:between w:val="nil"/>
      </w:pBdr>
      <w:tabs>
        <w:tab w:val="center" w:pos="4252"/>
        <w:tab w:val="right" w:pos="8504"/>
      </w:tabs>
      <w:jc w:val="right"/>
      <w:rPr>
        <w:rFonts w:ascii="Helvetica Neue" w:eastAsia="Helvetica Neue" w:hAnsi="Helvetica Neue" w:cs="Helvetica Neue"/>
        <w:color w:val="002060"/>
        <w:sz w:val="20"/>
        <w:szCs w:val="20"/>
      </w:rPr>
    </w:pPr>
  </w:p>
  <w:p w:rsidR="00311C67" w:rsidRDefault="00311C67">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11C67" w:rsidRDefault="00311C67">
    <w:pPr>
      <w:pBdr>
        <w:top w:val="nil"/>
        <w:left w:val="nil"/>
        <w:bottom w:val="nil"/>
        <w:right w:val="nil"/>
        <w:between w:val="nil"/>
      </w:pBdr>
      <w:tabs>
        <w:tab w:val="center" w:pos="4252"/>
        <w:tab w:val="right" w:pos="8504"/>
      </w:tabs>
      <w:jc w:val="right"/>
      <w:rPr>
        <w:rFonts w:ascii="Helvetica Neue" w:eastAsia="Helvetica Neue" w:hAnsi="Helvetica Neue" w:cs="Helvetica Neue"/>
        <w:color w:val="002060"/>
        <w:sz w:val="20"/>
        <w:szCs w:val="20"/>
      </w:rPr>
    </w:pPr>
  </w:p>
  <w:p w:rsidR="00311C67" w:rsidRDefault="00311C67">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2539D" w:rsidRDefault="0002539D" w:rsidP="00D126BF">
      <w:r>
        <w:separator/>
      </w:r>
    </w:p>
  </w:footnote>
  <w:footnote w:type="continuationSeparator" w:id="0">
    <w:p w:rsidR="0002539D" w:rsidRDefault="0002539D" w:rsidP="00D126BF">
      <w:r>
        <w:continuationSeparator/>
      </w:r>
    </w:p>
  </w:footnote>
  <w:footnote w:id="1">
    <w:p w:rsidR="00D126BF" w:rsidRDefault="00D126BF" w:rsidP="00D126BF">
      <w:pPr>
        <w:pBdr>
          <w:top w:val="nil"/>
          <w:left w:val="nil"/>
          <w:bottom w:val="nil"/>
          <w:right w:val="nil"/>
          <w:between w:val="nil"/>
        </w:pBdr>
        <w:rPr>
          <w:color w:val="000000"/>
          <w:sz w:val="18"/>
          <w:szCs w:val="18"/>
        </w:rPr>
      </w:pPr>
      <w:r>
        <w:rPr>
          <w:vertAlign w:val="superscript"/>
        </w:rPr>
        <w:footnoteRef/>
      </w:r>
      <w:r>
        <w:rPr>
          <w:rFonts w:ascii="Arial Narrow" w:eastAsia="Arial Narrow" w:hAnsi="Arial Narrow" w:cs="Arial Narrow"/>
          <w:color w:val="000000"/>
          <w:sz w:val="18"/>
          <w:szCs w:val="18"/>
        </w:rPr>
        <w:t xml:space="preserve"> Plataforma en la cual las Entidades Estatales deben publicar los Documentos de los procesos de contratación, desde la planeación del contrato hasta su liquidación. También permite a las Entidades Estatales y al sector privado tener una comunicación abierta y reglada sobre los Procesos de Contratación del estado.</w:t>
      </w:r>
    </w:p>
  </w:footnote>
  <w:footnote w:id="2">
    <w:p w:rsidR="00D126BF" w:rsidRDefault="00D126BF" w:rsidP="00D126BF">
      <w:pPr>
        <w:pBdr>
          <w:top w:val="nil"/>
          <w:left w:val="nil"/>
          <w:bottom w:val="nil"/>
          <w:right w:val="nil"/>
          <w:between w:val="nil"/>
        </w:pBdr>
        <w:rPr>
          <w:color w:val="000000"/>
        </w:rPr>
      </w:pPr>
      <w:r>
        <w:rPr>
          <w:vertAlign w:val="superscript"/>
        </w:rPr>
        <w:footnoteRef/>
      </w:r>
      <w:r>
        <w:rPr>
          <w:color w:val="000000"/>
        </w:rPr>
        <w:t xml:space="preserve"> </w:t>
      </w:r>
      <w:r>
        <w:rPr>
          <w:rFonts w:ascii="Arial Narrow" w:eastAsia="Arial Narrow" w:hAnsi="Arial Narrow" w:cs="Arial Narrow"/>
          <w:color w:val="000000"/>
          <w:sz w:val="18"/>
          <w:szCs w:val="18"/>
        </w:rPr>
        <w:t>EPANET: Software libre para modelar sistemas de distribución de agua potable (EPA, EPANET, s.f.)</w:t>
      </w:r>
    </w:p>
  </w:footnote>
  <w:footnote w:id="3">
    <w:p w:rsidR="00D126BF" w:rsidRDefault="00D126BF" w:rsidP="00D126BF">
      <w:pPr>
        <w:pBdr>
          <w:top w:val="nil"/>
          <w:left w:val="nil"/>
          <w:bottom w:val="nil"/>
          <w:right w:val="nil"/>
          <w:between w:val="nil"/>
        </w:pBdr>
        <w:rPr>
          <w:color w:val="000000"/>
        </w:rPr>
      </w:pPr>
      <w:r>
        <w:rPr>
          <w:vertAlign w:val="superscript"/>
        </w:rPr>
        <w:footnoteRef/>
      </w:r>
      <w:r>
        <w:rPr>
          <w:color w:val="000000"/>
        </w:rPr>
        <w:t xml:space="preserve"> </w:t>
      </w:r>
      <w:r>
        <w:rPr>
          <w:rFonts w:ascii="Arial Narrow" w:eastAsia="Arial Narrow" w:hAnsi="Arial Narrow" w:cs="Arial Narrow"/>
          <w:color w:val="000000"/>
          <w:sz w:val="18"/>
          <w:szCs w:val="18"/>
        </w:rPr>
        <w:t>EPA SWMM: Software libre para simular la escorrentía, el caudal y la calidad del agua en sistemas de alcantarillado (EPA, Storm Water Management Model (SWMM), s.f.)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11C67" w:rsidRDefault="00311C67"/>
  <w:p w:rsidR="00311C67" w:rsidRDefault="00311C67"/>
  <w:p w:rsidR="00311C67" w:rsidRDefault="00311C67">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1592C"/>
    <w:multiLevelType w:val="multilevel"/>
    <w:tmpl w:val="68FACC2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3F82152C"/>
    <w:multiLevelType w:val="hybridMultilevel"/>
    <w:tmpl w:val="EDD254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68966967">
    <w:abstractNumId w:val="0"/>
  </w:num>
  <w:num w:numId="2" w16cid:durableId="18710701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6BF"/>
    <w:rsid w:val="0002539D"/>
    <w:rsid w:val="001E0A6B"/>
    <w:rsid w:val="001F2F1F"/>
    <w:rsid w:val="00214324"/>
    <w:rsid w:val="00276293"/>
    <w:rsid w:val="00311C67"/>
    <w:rsid w:val="003173D6"/>
    <w:rsid w:val="00321D1F"/>
    <w:rsid w:val="00542E4A"/>
    <w:rsid w:val="00671078"/>
    <w:rsid w:val="006712F7"/>
    <w:rsid w:val="00833A12"/>
    <w:rsid w:val="00853487"/>
    <w:rsid w:val="009C07C3"/>
    <w:rsid w:val="009D532C"/>
    <w:rsid w:val="00B46D27"/>
    <w:rsid w:val="00BB28CC"/>
    <w:rsid w:val="00D126BF"/>
    <w:rsid w:val="00E828A1"/>
    <w:rsid w:val="00EE150F"/>
    <w:rsid w:val="00F209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CE1EA"/>
  <w15:chartTrackingRefBased/>
  <w15:docId w15:val="{4207EB92-959D-144F-9AC2-A9603557A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6BF"/>
    <w:pPr>
      <w:jc w:val="both"/>
    </w:pPr>
    <w:rPr>
      <w:rFonts w:ascii="Poppins" w:eastAsia="Poppins" w:hAnsi="Poppins" w:cs="Poppins"/>
      <w:kern w:val="0"/>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126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crodatos.dane.gov.co/index.php/catalog/861"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cda.medellin.unal.edu.co/noticias/facultad/3163-retos-de-la-educacion-virtual-en-el-pais" TargetMode="External"/><Relationship Id="rId12" Type="http://schemas.openxmlformats.org/officeDocument/2006/relationships/hyperlink" Target="https://minvivienda.gov.co/sala-de-prensa/280-municipios-de-colombia-registraron-en-2024-un-riesgo-alto-en-el-uso-de-recursos-del-sistema-general-de-participacion-para-agua-potable-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ienti.minciencias.gov.co/cvlac/visualizador/generarCurriculoCv.do?cod_rh=000146693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epa.gov/water-research/storm-water-management-model-swmm" TargetMode="External"/><Relationship Id="rId4" Type="http://schemas.openxmlformats.org/officeDocument/2006/relationships/webSettings" Target="webSettings.xml"/><Relationship Id="rId9" Type="http://schemas.openxmlformats.org/officeDocument/2006/relationships/hyperlink" Target="https://www.epa.gov/water-research/epanet"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3387</Words>
  <Characters>20424</Characters>
  <Application>Microsoft Office Word</Application>
  <DocSecurity>0</DocSecurity>
  <Lines>296</Lines>
  <Paragraphs>75</Paragraphs>
  <ScaleCrop>false</ScaleCrop>
  <Company/>
  <LinksUpToDate>false</LinksUpToDate>
  <CharactersWithSpaces>23736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CAICEDO LONDOÑO MARÍA ALEJANDRA</dc:creator>
  <cp:keywords/>
  <dc:description/>
  <cp:lastModifiedBy>CAICEDO LONDOÑO MARÍA ALEJANDRA</cp:lastModifiedBy>
  <cp:revision>2</cp:revision>
  <dcterms:created xsi:type="dcterms:W3CDTF">2026-03-19T00:20:00Z</dcterms:created>
  <dcterms:modified xsi:type="dcterms:W3CDTF">2026-03-19T00:20:00Z</dcterms:modified>
</cp:coreProperties>
</file>