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A9F68" w14:textId="78C2D9EC" w:rsidR="00EE19BF" w:rsidRPr="00EE19BF" w:rsidRDefault="00EE19BF" w:rsidP="00EE19BF">
      <w:pPr>
        <w:jc w:val="center"/>
        <w:rPr>
          <w:rFonts w:ascii="Arial" w:hAnsi="Arial" w:cs="Arial"/>
          <w:b/>
          <w:bCs/>
          <w:sz w:val="24"/>
          <w:szCs w:val="24"/>
        </w:rPr>
      </w:pPr>
      <w:r w:rsidRPr="00EE19BF">
        <w:rPr>
          <w:rFonts w:ascii="Arial" w:hAnsi="Arial" w:cs="Arial"/>
          <w:b/>
          <w:bCs/>
          <w:sz w:val="24"/>
          <w:szCs w:val="24"/>
        </w:rPr>
        <w:t>ENSAYO ACADÉMICO</w:t>
      </w:r>
    </w:p>
    <w:p w14:paraId="171AAC42" w14:textId="77777777" w:rsidR="00EE19BF" w:rsidRPr="00EE19BF" w:rsidRDefault="00EE19BF" w:rsidP="00EE19BF">
      <w:pPr>
        <w:jc w:val="both"/>
        <w:rPr>
          <w:rFonts w:ascii="Arial" w:hAnsi="Arial" w:cs="Arial"/>
          <w:b/>
          <w:bCs/>
          <w:sz w:val="24"/>
          <w:szCs w:val="24"/>
        </w:rPr>
      </w:pPr>
    </w:p>
    <w:p w14:paraId="39ED67F1" w14:textId="6867A431" w:rsidR="00EE19BF" w:rsidRPr="00EE19BF" w:rsidRDefault="00EE19BF" w:rsidP="00EE19BF">
      <w:pPr>
        <w:jc w:val="both"/>
        <w:rPr>
          <w:rFonts w:ascii="Arial" w:hAnsi="Arial" w:cs="Arial"/>
          <w:sz w:val="24"/>
          <w:szCs w:val="24"/>
        </w:rPr>
      </w:pPr>
      <w:r w:rsidRPr="00EE19BF">
        <w:rPr>
          <w:rFonts w:ascii="Arial" w:hAnsi="Arial" w:cs="Arial"/>
          <w:b/>
          <w:bCs/>
          <w:sz w:val="24"/>
          <w:szCs w:val="24"/>
        </w:rPr>
        <w:t xml:space="preserve">TÍTULO: </w:t>
      </w:r>
      <w:r w:rsidRPr="00EE19BF">
        <w:rPr>
          <w:rFonts w:ascii="Arial" w:hAnsi="Arial" w:cs="Arial"/>
          <w:sz w:val="24"/>
          <w:szCs w:val="24"/>
        </w:rPr>
        <w:t>Comportamiento viscoelástico de polímeros</w:t>
      </w:r>
    </w:p>
    <w:p w14:paraId="4E3A07F3" w14:textId="7E1BC008" w:rsidR="00EE19BF" w:rsidRPr="006D5E2E" w:rsidRDefault="006D5E2E" w:rsidP="00EE19BF">
      <w:pPr>
        <w:jc w:val="both"/>
        <w:rPr>
          <w:rFonts w:ascii="Arial" w:hAnsi="Arial" w:cs="Arial"/>
          <w:sz w:val="24"/>
          <w:szCs w:val="24"/>
        </w:rPr>
      </w:pPr>
      <w:r>
        <w:rPr>
          <w:rFonts w:ascii="Arial" w:hAnsi="Arial" w:cs="Arial"/>
          <w:b/>
          <w:bCs/>
          <w:sz w:val="24"/>
          <w:szCs w:val="24"/>
        </w:rPr>
        <w:t xml:space="preserve">Autor: </w:t>
      </w:r>
      <w:r>
        <w:rPr>
          <w:rFonts w:ascii="Arial" w:hAnsi="Arial" w:cs="Arial"/>
          <w:sz w:val="24"/>
          <w:szCs w:val="24"/>
        </w:rPr>
        <w:t>Manuel Alberto Guzmán Sánchez</w:t>
      </w:r>
    </w:p>
    <w:p w14:paraId="00726F95" w14:textId="4C1F2A46" w:rsidR="00EE19BF" w:rsidRPr="00EE19BF" w:rsidRDefault="00EE19BF" w:rsidP="00EE19BF">
      <w:pPr>
        <w:jc w:val="both"/>
        <w:rPr>
          <w:rFonts w:ascii="Arial" w:hAnsi="Arial" w:cs="Arial"/>
          <w:b/>
          <w:bCs/>
          <w:sz w:val="24"/>
          <w:szCs w:val="24"/>
        </w:rPr>
      </w:pPr>
      <w:r>
        <w:rPr>
          <w:rFonts w:ascii="Arial" w:hAnsi="Arial" w:cs="Arial"/>
          <w:b/>
          <w:bCs/>
          <w:sz w:val="24"/>
          <w:szCs w:val="24"/>
        </w:rPr>
        <w:t>Introducción</w:t>
      </w:r>
    </w:p>
    <w:p w14:paraId="152FDE16" w14:textId="20DE5928" w:rsidR="00EE19BF" w:rsidRDefault="00EE19BF" w:rsidP="00EE19BF">
      <w:pPr>
        <w:jc w:val="both"/>
        <w:rPr>
          <w:rFonts w:ascii="Arial" w:hAnsi="Arial" w:cs="Arial"/>
          <w:sz w:val="24"/>
          <w:szCs w:val="24"/>
        </w:rPr>
      </w:pPr>
      <w:r w:rsidRPr="00EE19BF">
        <w:rPr>
          <w:rFonts w:ascii="Arial" w:hAnsi="Arial" w:cs="Arial"/>
          <w:sz w:val="24"/>
          <w:szCs w:val="24"/>
        </w:rPr>
        <w:t xml:space="preserve">Las propiedades viscoelásticas se deben a la combinación de la respuesta dual como sólido elástico y fluido viscoso de los </w:t>
      </w:r>
      <w:r>
        <w:rPr>
          <w:rFonts w:ascii="Arial" w:hAnsi="Arial" w:cs="Arial"/>
          <w:sz w:val="24"/>
          <w:szCs w:val="24"/>
        </w:rPr>
        <w:t>polímeros</w:t>
      </w:r>
      <w:r w:rsidRPr="00EE19BF">
        <w:rPr>
          <w:rFonts w:ascii="Arial" w:hAnsi="Arial" w:cs="Arial"/>
          <w:sz w:val="24"/>
          <w:szCs w:val="24"/>
        </w:rPr>
        <w:t xml:space="preserve">. Este comportamiento produce propiedades mecánicas dependientes del tiempo; en consecuencia, se observan fenómenos como amortiguamiento, relajación de </w:t>
      </w:r>
      <w:r>
        <w:rPr>
          <w:rFonts w:ascii="Arial" w:hAnsi="Arial" w:cs="Arial"/>
          <w:sz w:val="24"/>
          <w:szCs w:val="24"/>
        </w:rPr>
        <w:t>esfuerzos</w:t>
      </w:r>
      <w:r w:rsidRPr="00EE19BF">
        <w:rPr>
          <w:rFonts w:ascii="Arial" w:hAnsi="Arial" w:cs="Arial"/>
          <w:sz w:val="24"/>
          <w:szCs w:val="24"/>
        </w:rPr>
        <w:t>, fluencia, disipación de energía, histéresis y tasa de deformación.</w:t>
      </w:r>
      <w:r>
        <w:rPr>
          <w:rFonts w:ascii="Arial" w:hAnsi="Arial" w:cs="Arial"/>
          <w:sz w:val="24"/>
          <w:szCs w:val="24"/>
        </w:rPr>
        <w:t xml:space="preserve"> </w:t>
      </w:r>
      <w:r w:rsidRPr="00EE19BF">
        <w:rPr>
          <w:rFonts w:ascii="Arial" w:hAnsi="Arial" w:cs="Arial"/>
          <w:sz w:val="24"/>
          <w:szCs w:val="24"/>
        </w:rPr>
        <w:t xml:space="preserve">Los </w:t>
      </w:r>
      <w:r>
        <w:rPr>
          <w:rFonts w:ascii="Arial" w:hAnsi="Arial" w:cs="Arial"/>
          <w:sz w:val="24"/>
          <w:szCs w:val="24"/>
        </w:rPr>
        <w:t>elastómeros en particular</w:t>
      </w:r>
      <w:r w:rsidRPr="00EE19BF">
        <w:rPr>
          <w:rFonts w:ascii="Arial" w:hAnsi="Arial" w:cs="Arial"/>
          <w:sz w:val="24"/>
          <w:szCs w:val="24"/>
        </w:rPr>
        <w:t xml:space="preserve"> se pueden utilizar </w:t>
      </w:r>
      <w:r>
        <w:rPr>
          <w:rFonts w:ascii="Arial" w:hAnsi="Arial" w:cs="Arial"/>
          <w:sz w:val="24"/>
          <w:szCs w:val="24"/>
        </w:rPr>
        <w:t>como</w:t>
      </w:r>
      <w:r w:rsidRPr="00EE19BF">
        <w:rPr>
          <w:rFonts w:ascii="Arial" w:hAnsi="Arial" w:cs="Arial"/>
          <w:sz w:val="24"/>
          <w:szCs w:val="24"/>
        </w:rPr>
        <w:t xml:space="preserve"> disipadores pasivos de energía en estructuras y maquinaria debido a su alta rigidez vertical, flexibilidad lateral, simplicidad y bajos requisitos de mantenimiento en comparación con sistemas de aislamiento alternativos. </w:t>
      </w:r>
      <w:r>
        <w:rPr>
          <w:rFonts w:ascii="Arial" w:hAnsi="Arial" w:cs="Arial"/>
          <w:sz w:val="24"/>
          <w:szCs w:val="24"/>
        </w:rPr>
        <w:t>Por otro lado, l</w:t>
      </w:r>
      <w:r w:rsidRPr="00EE19BF">
        <w:rPr>
          <w:rFonts w:ascii="Arial" w:hAnsi="Arial" w:cs="Arial"/>
          <w:sz w:val="24"/>
          <w:szCs w:val="24"/>
        </w:rPr>
        <w:t xml:space="preserve">os resultados experimentales son esenciales para evaluar las propiedades de amortiguación para caracterizar el material o para fines de validación del modelo. </w:t>
      </w:r>
      <w:r>
        <w:rPr>
          <w:rFonts w:ascii="Arial" w:hAnsi="Arial" w:cs="Arial"/>
          <w:sz w:val="24"/>
          <w:szCs w:val="24"/>
        </w:rPr>
        <w:t>Adicionalmente, l</w:t>
      </w:r>
      <w:r w:rsidRPr="00EE19BF">
        <w:rPr>
          <w:rFonts w:ascii="Arial" w:hAnsi="Arial" w:cs="Arial"/>
          <w:sz w:val="24"/>
          <w:szCs w:val="24"/>
        </w:rPr>
        <w:t xml:space="preserve">as propiedades de amortiguación están relacionadas con la energía disipada debido a procesos como la movilidad molecular, la rotura y reformación de la red transitoria de </w:t>
      </w:r>
      <w:r>
        <w:rPr>
          <w:rFonts w:ascii="Arial" w:hAnsi="Arial" w:cs="Arial"/>
          <w:sz w:val="24"/>
          <w:szCs w:val="24"/>
        </w:rPr>
        <w:t>la</w:t>
      </w:r>
      <w:r w:rsidR="00B914E3">
        <w:rPr>
          <w:rFonts w:ascii="Arial" w:hAnsi="Arial" w:cs="Arial"/>
          <w:sz w:val="24"/>
          <w:szCs w:val="24"/>
        </w:rPr>
        <w:t>s</w:t>
      </w:r>
      <w:r>
        <w:rPr>
          <w:rFonts w:ascii="Arial" w:hAnsi="Arial" w:cs="Arial"/>
          <w:sz w:val="24"/>
          <w:szCs w:val="24"/>
        </w:rPr>
        <w:t xml:space="preserve"> carga</w:t>
      </w:r>
      <w:r w:rsidR="00B914E3">
        <w:rPr>
          <w:rFonts w:ascii="Arial" w:hAnsi="Arial" w:cs="Arial"/>
          <w:sz w:val="24"/>
          <w:szCs w:val="24"/>
        </w:rPr>
        <w:t>s</w:t>
      </w:r>
      <w:r w:rsidRPr="00EE19BF">
        <w:rPr>
          <w:rFonts w:ascii="Arial" w:hAnsi="Arial" w:cs="Arial"/>
          <w:sz w:val="24"/>
          <w:szCs w:val="24"/>
        </w:rPr>
        <w:t xml:space="preserve"> y el deslizamiento de las moléculas de</w:t>
      </w:r>
      <w:r w:rsidR="00B914E3">
        <w:rPr>
          <w:rFonts w:ascii="Arial" w:hAnsi="Arial" w:cs="Arial"/>
          <w:sz w:val="24"/>
          <w:szCs w:val="24"/>
        </w:rPr>
        <w:t xml:space="preserve">l polímero </w:t>
      </w:r>
      <w:r w:rsidRPr="00EE19BF">
        <w:rPr>
          <w:rFonts w:ascii="Arial" w:hAnsi="Arial" w:cs="Arial"/>
          <w:sz w:val="24"/>
          <w:szCs w:val="24"/>
        </w:rPr>
        <w:t>bajo altas amplitudes de deformación; sin embargo, parte de la energía disipada se transforma en calor, deteriorando las propiedades del material. La rigidez dependiente del tiempo y la disipación de energía debido a cargas cíclicas son otros fenómenos inherentes al comportamiento viscoelástico de los elastómeros. Comprender estas propiedades de</w:t>
      </w:r>
      <w:r w:rsidR="00B914E3">
        <w:rPr>
          <w:rFonts w:ascii="Arial" w:hAnsi="Arial" w:cs="Arial"/>
          <w:sz w:val="24"/>
          <w:szCs w:val="24"/>
        </w:rPr>
        <w:t xml:space="preserve"> los polímeros </w:t>
      </w:r>
      <w:r w:rsidRPr="00EE19BF">
        <w:rPr>
          <w:rFonts w:ascii="Arial" w:hAnsi="Arial" w:cs="Arial"/>
          <w:sz w:val="24"/>
          <w:szCs w:val="24"/>
        </w:rPr>
        <w:t>juega un papel importante entre los ingenieros estructurales y los tecnólogos en la selección de los compuestos de caucho.</w:t>
      </w:r>
    </w:p>
    <w:p w14:paraId="147B6A2D" w14:textId="3205704B" w:rsidR="00B914E3" w:rsidRDefault="00B914E3" w:rsidP="00EE19BF">
      <w:pPr>
        <w:jc w:val="both"/>
        <w:rPr>
          <w:rFonts w:ascii="Arial" w:hAnsi="Arial" w:cs="Arial"/>
          <w:sz w:val="24"/>
          <w:szCs w:val="24"/>
        </w:rPr>
      </w:pPr>
      <w:r>
        <w:rPr>
          <w:rFonts w:ascii="Arial" w:hAnsi="Arial" w:cs="Arial"/>
          <w:b/>
          <w:bCs/>
          <w:sz w:val="24"/>
          <w:szCs w:val="24"/>
        </w:rPr>
        <w:t>Elasticidad y viscosidad</w:t>
      </w:r>
    </w:p>
    <w:p w14:paraId="25376ED1" w14:textId="29C0EE06" w:rsidR="00B914E3" w:rsidRDefault="00B914E3" w:rsidP="00EE19BF">
      <w:pPr>
        <w:jc w:val="both"/>
        <w:rPr>
          <w:rFonts w:ascii="Arial" w:hAnsi="Arial" w:cs="Arial"/>
          <w:sz w:val="24"/>
          <w:szCs w:val="24"/>
        </w:rPr>
      </w:pPr>
      <w:r>
        <w:rPr>
          <w:rFonts w:ascii="Arial" w:hAnsi="Arial" w:cs="Arial"/>
          <w:sz w:val="24"/>
          <w:szCs w:val="24"/>
        </w:rPr>
        <w:t>L</w:t>
      </w:r>
      <w:r w:rsidRPr="00B914E3">
        <w:rPr>
          <w:rFonts w:ascii="Arial" w:hAnsi="Arial" w:cs="Arial"/>
          <w:sz w:val="24"/>
          <w:szCs w:val="24"/>
        </w:rPr>
        <w:t xml:space="preserve">a deformación resultante de una determinada fuerza o carga externa (tracción, compresión, corte o torsión) dependerá de las propiedades del material. Puede ser reversible (deformación elástica o recuperable, es decir, las fuerzas interatómicas restauran los átomos a sus posiciones de equilibrio originales), o irreversible (deformación viscosa, plástica o permanente, o flujo), </w:t>
      </w:r>
      <w:r>
        <w:rPr>
          <w:rFonts w:ascii="Arial" w:hAnsi="Arial" w:cs="Arial"/>
          <w:sz w:val="24"/>
          <w:szCs w:val="24"/>
        </w:rPr>
        <w:t>y</w:t>
      </w:r>
      <w:r w:rsidRPr="00B914E3">
        <w:rPr>
          <w:rFonts w:ascii="Arial" w:hAnsi="Arial" w:cs="Arial"/>
          <w:sz w:val="24"/>
          <w:szCs w:val="24"/>
        </w:rPr>
        <w:t xml:space="preserve"> puede comprender tanto una parte recuperable como una permanente.</w:t>
      </w:r>
    </w:p>
    <w:p w14:paraId="1A6C226B" w14:textId="590F16FE" w:rsidR="00B914E3" w:rsidRDefault="00B914E3" w:rsidP="00EE19BF">
      <w:pPr>
        <w:jc w:val="both"/>
        <w:rPr>
          <w:rFonts w:ascii="Arial" w:hAnsi="Arial" w:cs="Arial"/>
          <w:sz w:val="24"/>
          <w:szCs w:val="24"/>
        </w:rPr>
      </w:pPr>
      <w:r w:rsidRPr="00B914E3">
        <w:rPr>
          <w:rFonts w:ascii="Arial" w:hAnsi="Arial" w:cs="Arial"/>
          <w:sz w:val="24"/>
          <w:szCs w:val="24"/>
        </w:rPr>
        <w:t>Un material que está sujeto a deformaciones irreversibles, experimenta cambios de forma después de que se elimina la acción de fuerzas externas. Sin embargo, cabe señalar que esta definición es amplia porque cubre todos los tipos de materiales reales; por ejemplo, los metales podrían considerarse líquidos porque durante algunas operaciones de procesamiento, como el punzonado, el trefilado o el laminado de acero</w:t>
      </w:r>
      <w:r>
        <w:rPr>
          <w:rFonts w:ascii="Arial" w:hAnsi="Arial" w:cs="Arial"/>
          <w:sz w:val="24"/>
          <w:szCs w:val="24"/>
        </w:rPr>
        <w:t>, es decir,</w:t>
      </w:r>
      <w:r w:rsidRPr="00B914E3">
        <w:rPr>
          <w:rFonts w:ascii="Arial" w:hAnsi="Arial" w:cs="Arial"/>
          <w:sz w:val="24"/>
          <w:szCs w:val="24"/>
        </w:rPr>
        <w:t xml:space="preserve"> se crean deformaciones irrecuperables. Estos ejemplos muestran que la definición de líquidos abarca dos tipos diferentes de comportamiento: viscosos y plásticos. En el primer caso, se pueden detectar deformaciones (o flujo) irrecuperables ante cualquier tensión, independientemente de lo pequeña que sea. En el último caso, las </w:t>
      </w:r>
      <w:r w:rsidRPr="00B914E3">
        <w:rPr>
          <w:rFonts w:ascii="Arial" w:hAnsi="Arial" w:cs="Arial"/>
          <w:sz w:val="24"/>
          <w:szCs w:val="24"/>
        </w:rPr>
        <w:lastRenderedPageBreak/>
        <w:t>deformaciones irrecuperables aparecen sólo cuando la tensión aumenta a un cierto nivel, lo que se denomina límite elástico o límite elástico [1].</w:t>
      </w:r>
    </w:p>
    <w:p w14:paraId="3A04B0B8" w14:textId="6307E79D" w:rsidR="001479AD" w:rsidRDefault="001479AD" w:rsidP="00EE19BF">
      <w:pPr>
        <w:jc w:val="both"/>
        <w:rPr>
          <w:rFonts w:ascii="Arial" w:hAnsi="Arial" w:cs="Arial"/>
          <w:b/>
          <w:bCs/>
          <w:sz w:val="24"/>
          <w:szCs w:val="24"/>
        </w:rPr>
      </w:pPr>
      <w:r>
        <w:rPr>
          <w:rFonts w:ascii="Arial" w:hAnsi="Arial" w:cs="Arial"/>
          <w:b/>
          <w:bCs/>
          <w:sz w:val="24"/>
          <w:szCs w:val="24"/>
        </w:rPr>
        <w:t>Modelos y métodos de caracterización</w:t>
      </w:r>
    </w:p>
    <w:p w14:paraId="37EB6605" w14:textId="3400FDC4" w:rsidR="001479AD" w:rsidRDefault="001479AD" w:rsidP="00EE19BF">
      <w:pPr>
        <w:jc w:val="both"/>
        <w:rPr>
          <w:rFonts w:ascii="Arial" w:hAnsi="Arial" w:cs="Arial"/>
          <w:sz w:val="24"/>
          <w:szCs w:val="24"/>
        </w:rPr>
      </w:pPr>
      <w:r w:rsidRPr="001479AD">
        <w:rPr>
          <w:rFonts w:ascii="Arial" w:hAnsi="Arial" w:cs="Arial"/>
          <w:sz w:val="24"/>
          <w:szCs w:val="24"/>
        </w:rPr>
        <w:t>Existen varias formas de describir</w:t>
      </w:r>
      <w:r>
        <w:rPr>
          <w:rFonts w:ascii="Arial" w:hAnsi="Arial" w:cs="Arial"/>
          <w:sz w:val="24"/>
          <w:szCs w:val="24"/>
        </w:rPr>
        <w:t xml:space="preserve"> o modelar</w:t>
      </w:r>
      <w:r w:rsidRPr="001479AD">
        <w:rPr>
          <w:rFonts w:ascii="Arial" w:hAnsi="Arial" w:cs="Arial"/>
          <w:sz w:val="24"/>
          <w:szCs w:val="24"/>
        </w:rPr>
        <w:t xml:space="preserve"> el comportamiento viscoelástic</w:t>
      </w:r>
      <w:r>
        <w:rPr>
          <w:rFonts w:ascii="Arial" w:hAnsi="Arial" w:cs="Arial"/>
          <w:sz w:val="24"/>
          <w:szCs w:val="24"/>
        </w:rPr>
        <w:t>o</w:t>
      </w:r>
      <w:r w:rsidRPr="001479AD">
        <w:rPr>
          <w:rFonts w:ascii="Arial" w:hAnsi="Arial" w:cs="Arial"/>
          <w:sz w:val="24"/>
          <w:szCs w:val="24"/>
        </w:rPr>
        <w:t>. El primero se basa en el principio de superposición de Boltzmann y a veces se le llama representación integral de la viscoelasticidad lineal porque define una ecuación integral. El segundo, conduce a una ecuación diferencial lineal y se llama representación diferencial, utiliza conjuntos de resortes (</w:t>
      </w:r>
      <w:proofErr w:type="spellStart"/>
      <w:r w:rsidRPr="001479AD">
        <w:rPr>
          <w:rFonts w:ascii="Arial" w:hAnsi="Arial" w:cs="Arial"/>
          <w:sz w:val="24"/>
          <w:szCs w:val="24"/>
        </w:rPr>
        <w:t>hookeanos</w:t>
      </w:r>
      <w:proofErr w:type="spellEnd"/>
      <w:r w:rsidRPr="001479AD">
        <w:rPr>
          <w:rFonts w:ascii="Arial" w:hAnsi="Arial" w:cs="Arial"/>
          <w:sz w:val="24"/>
          <w:szCs w:val="24"/>
        </w:rPr>
        <w:t>) y elementos viscosos (newtonianos) como modelos. El tercer método se basa en suposiciones sobre las propias moléculas</w:t>
      </w:r>
      <w:r>
        <w:rPr>
          <w:rFonts w:ascii="Arial" w:hAnsi="Arial" w:cs="Arial"/>
          <w:sz w:val="24"/>
          <w:szCs w:val="24"/>
        </w:rPr>
        <w:t xml:space="preserve"> [2-5].</w:t>
      </w:r>
    </w:p>
    <w:p w14:paraId="196AC9D6" w14:textId="1CEF9B59" w:rsidR="001479AD" w:rsidRDefault="001479AD" w:rsidP="00EE19BF">
      <w:pPr>
        <w:jc w:val="both"/>
        <w:rPr>
          <w:rFonts w:ascii="Arial" w:hAnsi="Arial" w:cs="Arial"/>
          <w:sz w:val="24"/>
          <w:szCs w:val="24"/>
        </w:rPr>
      </w:pPr>
      <w:r>
        <w:rPr>
          <w:rFonts w:ascii="Arial" w:hAnsi="Arial" w:cs="Arial"/>
          <w:sz w:val="24"/>
          <w:szCs w:val="24"/>
        </w:rPr>
        <w:t>Por otro lado, l</w:t>
      </w:r>
      <w:r w:rsidRPr="001479AD">
        <w:rPr>
          <w:rFonts w:ascii="Arial" w:hAnsi="Arial" w:cs="Arial"/>
          <w:sz w:val="24"/>
          <w:szCs w:val="24"/>
        </w:rPr>
        <w:t xml:space="preserve">os resultados experimentales son fundamentales para evaluar el comportamiento viscoelástico para caracterizar el material o con fines de validación del modelo. Se realizan dos tipos principales de experimentos en materiales viscoelásticos: transitorios y dinámicos. Los experimentos transitorios implican deformar el material y seguir su respuesta en el tiempo. Hay dos experimentos transitorios: fluencia y relajación del </w:t>
      </w:r>
      <w:r w:rsidR="006A43BE">
        <w:rPr>
          <w:rFonts w:ascii="Arial" w:hAnsi="Arial" w:cs="Arial"/>
          <w:sz w:val="24"/>
          <w:szCs w:val="24"/>
        </w:rPr>
        <w:t>esfuerzo</w:t>
      </w:r>
      <w:r w:rsidRPr="001479AD">
        <w:rPr>
          <w:rFonts w:ascii="Arial" w:hAnsi="Arial" w:cs="Arial"/>
          <w:sz w:val="24"/>
          <w:szCs w:val="24"/>
        </w:rPr>
        <w:t xml:space="preserve">. En el primero, se carga material y se observa el cambio de deformación con el tiempo. En </w:t>
      </w:r>
      <w:r w:rsidR="006A43BE">
        <w:rPr>
          <w:rFonts w:ascii="Arial" w:hAnsi="Arial" w:cs="Arial"/>
          <w:sz w:val="24"/>
          <w:szCs w:val="24"/>
        </w:rPr>
        <w:t>el</w:t>
      </w:r>
      <w:r w:rsidRPr="001479AD">
        <w:rPr>
          <w:rFonts w:ascii="Arial" w:hAnsi="Arial" w:cs="Arial"/>
          <w:sz w:val="24"/>
          <w:szCs w:val="24"/>
        </w:rPr>
        <w:t xml:space="preserve"> </w:t>
      </w:r>
      <w:r w:rsidR="006A43BE">
        <w:rPr>
          <w:rFonts w:ascii="Arial" w:hAnsi="Arial" w:cs="Arial"/>
          <w:sz w:val="24"/>
          <w:szCs w:val="24"/>
        </w:rPr>
        <w:t>segundo</w:t>
      </w:r>
      <w:r w:rsidRPr="001479AD">
        <w:rPr>
          <w:rFonts w:ascii="Arial" w:hAnsi="Arial" w:cs="Arial"/>
          <w:sz w:val="24"/>
          <w:szCs w:val="24"/>
        </w:rPr>
        <w:t xml:space="preserve">, se deforma el material y se mide la fuerza necesaria para mantener esa deformación en un valor constante; con el tiempo, las moléculas del material se mueven entre sí. Por tanto, la </w:t>
      </w:r>
      <w:r w:rsidR="006A43BE">
        <w:rPr>
          <w:rFonts w:ascii="Arial" w:hAnsi="Arial" w:cs="Arial"/>
          <w:sz w:val="24"/>
          <w:szCs w:val="24"/>
        </w:rPr>
        <w:t>carga</w:t>
      </w:r>
      <w:r w:rsidRPr="001479AD">
        <w:rPr>
          <w:rFonts w:ascii="Arial" w:hAnsi="Arial" w:cs="Arial"/>
          <w:sz w:val="24"/>
          <w:szCs w:val="24"/>
        </w:rPr>
        <w:t xml:space="preserve"> necesaria para mantener el material en deformación constante disminuye con el tiempo y se dice que se relaja.</w:t>
      </w:r>
    </w:p>
    <w:p w14:paraId="7C0C47A8" w14:textId="17798562" w:rsidR="006A43BE" w:rsidRDefault="006A43BE" w:rsidP="00EE19BF">
      <w:pPr>
        <w:jc w:val="both"/>
        <w:rPr>
          <w:rFonts w:ascii="Arial" w:hAnsi="Arial" w:cs="Arial"/>
          <w:sz w:val="24"/>
          <w:szCs w:val="24"/>
        </w:rPr>
      </w:pPr>
      <w:r w:rsidRPr="006A43BE">
        <w:rPr>
          <w:rFonts w:ascii="Arial" w:hAnsi="Arial" w:cs="Arial"/>
          <w:sz w:val="24"/>
          <w:szCs w:val="24"/>
        </w:rPr>
        <w:t xml:space="preserve">En experimentos dinámicos, la </w:t>
      </w:r>
      <w:r>
        <w:rPr>
          <w:rFonts w:ascii="Arial" w:hAnsi="Arial" w:cs="Arial"/>
          <w:sz w:val="24"/>
          <w:szCs w:val="24"/>
        </w:rPr>
        <w:t>carga</w:t>
      </w:r>
      <w:r w:rsidRPr="006A43BE">
        <w:rPr>
          <w:rFonts w:ascii="Arial" w:hAnsi="Arial" w:cs="Arial"/>
          <w:sz w:val="24"/>
          <w:szCs w:val="24"/>
        </w:rPr>
        <w:t xml:space="preserve"> o la deformación (generalmente deformación) se varían cíclicamente (generalmente de manera sinusoidal por conveniencia matemática) con el tiempo, y la respuesta se mide a diferentes frecuencias de deformación.</w:t>
      </w:r>
      <w:r>
        <w:rPr>
          <w:rFonts w:ascii="Arial" w:hAnsi="Arial" w:cs="Arial"/>
          <w:sz w:val="24"/>
          <w:szCs w:val="24"/>
        </w:rPr>
        <w:t xml:space="preserve"> Ensayos estandarizados como el análisis dinámico-mecánico (DMA) y </w:t>
      </w:r>
      <w:proofErr w:type="spellStart"/>
      <w:r>
        <w:rPr>
          <w:rFonts w:ascii="Arial" w:hAnsi="Arial" w:cs="Arial"/>
          <w:sz w:val="24"/>
          <w:szCs w:val="24"/>
        </w:rPr>
        <w:t>reometría</w:t>
      </w:r>
      <w:proofErr w:type="spellEnd"/>
      <w:r>
        <w:rPr>
          <w:rFonts w:ascii="Arial" w:hAnsi="Arial" w:cs="Arial"/>
          <w:sz w:val="24"/>
          <w:szCs w:val="24"/>
        </w:rPr>
        <w:t xml:space="preserve"> de vulcanización (MDR) son ejemplos de ensayos dinámicos.</w:t>
      </w:r>
    </w:p>
    <w:p w14:paraId="6934A80F" w14:textId="494D064F" w:rsidR="006A43BE" w:rsidRDefault="006A43BE" w:rsidP="00EE19BF">
      <w:pPr>
        <w:jc w:val="both"/>
        <w:rPr>
          <w:rFonts w:ascii="Arial" w:hAnsi="Arial" w:cs="Arial"/>
          <w:sz w:val="24"/>
          <w:szCs w:val="24"/>
        </w:rPr>
      </w:pPr>
      <w:r w:rsidRPr="006A43BE">
        <w:rPr>
          <w:rFonts w:ascii="Arial" w:hAnsi="Arial" w:cs="Arial"/>
          <w:sz w:val="24"/>
          <w:szCs w:val="24"/>
        </w:rPr>
        <w:t xml:space="preserve">Experimentalmente, es preferible aplicar </w:t>
      </w:r>
      <w:r>
        <w:rPr>
          <w:rFonts w:ascii="Arial" w:hAnsi="Arial" w:cs="Arial"/>
          <w:sz w:val="24"/>
          <w:szCs w:val="24"/>
        </w:rPr>
        <w:t>cargas</w:t>
      </w:r>
      <w:r w:rsidRPr="006A43BE">
        <w:rPr>
          <w:rFonts w:ascii="Arial" w:hAnsi="Arial" w:cs="Arial"/>
          <w:sz w:val="24"/>
          <w:szCs w:val="24"/>
        </w:rPr>
        <w:t xml:space="preserve"> o deformaciones escalonadas (fluencia y relajación de </w:t>
      </w:r>
      <w:r>
        <w:rPr>
          <w:rFonts w:ascii="Arial" w:hAnsi="Arial" w:cs="Arial"/>
          <w:sz w:val="24"/>
          <w:szCs w:val="24"/>
        </w:rPr>
        <w:t>esfuerzos</w:t>
      </w:r>
      <w:r w:rsidRPr="006A43BE">
        <w:rPr>
          <w:rFonts w:ascii="Arial" w:hAnsi="Arial" w:cs="Arial"/>
          <w:sz w:val="24"/>
          <w:szCs w:val="24"/>
        </w:rPr>
        <w:t>, respectivamente) en lugar de una rampa (en la que se aplican tasas de tensión o deformación constantes) porque el efecto del tiempo está aislado de cualquier no linealidad</w:t>
      </w:r>
      <w:r>
        <w:rPr>
          <w:rFonts w:ascii="Arial" w:hAnsi="Arial" w:cs="Arial"/>
          <w:sz w:val="24"/>
          <w:szCs w:val="24"/>
        </w:rPr>
        <w:t xml:space="preserve"> [6]</w:t>
      </w:r>
      <w:r w:rsidRPr="006A43BE">
        <w:rPr>
          <w:rFonts w:ascii="Arial" w:hAnsi="Arial" w:cs="Arial"/>
          <w:sz w:val="24"/>
          <w:szCs w:val="24"/>
        </w:rPr>
        <w:t>.</w:t>
      </w:r>
    </w:p>
    <w:p w14:paraId="228EC31C" w14:textId="0A904EF1" w:rsidR="006A43BE" w:rsidRDefault="005D7078" w:rsidP="00EE19BF">
      <w:pPr>
        <w:jc w:val="both"/>
        <w:rPr>
          <w:rFonts w:ascii="Arial" w:hAnsi="Arial" w:cs="Arial"/>
          <w:b/>
          <w:bCs/>
          <w:sz w:val="24"/>
          <w:szCs w:val="24"/>
        </w:rPr>
      </w:pPr>
      <w:r>
        <w:rPr>
          <w:rFonts w:ascii="Arial" w:hAnsi="Arial" w:cs="Arial"/>
          <w:b/>
          <w:bCs/>
          <w:sz w:val="24"/>
          <w:szCs w:val="24"/>
        </w:rPr>
        <w:t>Aplicaciones</w:t>
      </w:r>
    </w:p>
    <w:p w14:paraId="4F1A55FF" w14:textId="2D642EDD" w:rsidR="005D7078" w:rsidRDefault="005D7078" w:rsidP="00EE19BF">
      <w:pPr>
        <w:jc w:val="both"/>
        <w:rPr>
          <w:rFonts w:ascii="Arial" w:hAnsi="Arial" w:cs="Arial"/>
          <w:sz w:val="24"/>
          <w:szCs w:val="24"/>
        </w:rPr>
      </w:pPr>
      <w:r w:rsidRPr="005D7078">
        <w:rPr>
          <w:rFonts w:ascii="Arial" w:hAnsi="Arial" w:cs="Arial"/>
          <w:sz w:val="24"/>
          <w:szCs w:val="24"/>
        </w:rPr>
        <w:t xml:space="preserve">Los </w:t>
      </w:r>
      <w:r>
        <w:rPr>
          <w:rFonts w:ascii="Arial" w:hAnsi="Arial" w:cs="Arial"/>
          <w:sz w:val="24"/>
          <w:szCs w:val="24"/>
        </w:rPr>
        <w:t>apoyos</w:t>
      </w:r>
      <w:r w:rsidRPr="005D7078">
        <w:rPr>
          <w:rFonts w:ascii="Arial" w:hAnsi="Arial" w:cs="Arial"/>
          <w:sz w:val="24"/>
          <w:szCs w:val="24"/>
        </w:rPr>
        <w:t xml:space="preserve"> de caucho reforzados con acero están compuestos por capas de caucho natural o </w:t>
      </w:r>
      <w:proofErr w:type="spellStart"/>
      <w:r w:rsidRPr="005D7078">
        <w:rPr>
          <w:rFonts w:ascii="Arial" w:hAnsi="Arial" w:cs="Arial"/>
          <w:sz w:val="24"/>
          <w:szCs w:val="24"/>
        </w:rPr>
        <w:t>policloropreno</w:t>
      </w:r>
      <w:proofErr w:type="spellEnd"/>
      <w:r w:rsidRPr="005D7078">
        <w:rPr>
          <w:rFonts w:ascii="Arial" w:hAnsi="Arial" w:cs="Arial"/>
          <w:sz w:val="24"/>
          <w:szCs w:val="24"/>
        </w:rPr>
        <w:t xml:space="preserve"> entre </w:t>
      </w:r>
      <w:r>
        <w:rPr>
          <w:rFonts w:ascii="Arial" w:hAnsi="Arial" w:cs="Arial"/>
          <w:sz w:val="24"/>
          <w:szCs w:val="24"/>
        </w:rPr>
        <w:t>láminas</w:t>
      </w:r>
      <w:r w:rsidRPr="005D7078">
        <w:rPr>
          <w:rFonts w:ascii="Arial" w:hAnsi="Arial" w:cs="Arial"/>
          <w:sz w:val="24"/>
          <w:szCs w:val="24"/>
        </w:rPr>
        <w:t xml:space="preserve"> de acero y se utilizan en estructuras de ingeniería civil, como puentes y viaductos, como sistemas de aislamiento. Estos dispositivos soportan grandes cargas estáticas combinadas con desplazamientos horizontales debidos a movimientos térmicos de la estructura, viento, actividad sísmica y vibraciones debidas al tráfico. Se caracterizan por su capacidad de amortiguación, rigidez vertical, flexibilidad horizontal, bajo costo y requerimientos de mantenimiento. Y además de cumplir el papel de conectores entre la viga y el pilar y acomodar traslaciones y rotaciones, los apoyos soportan grandes cargas estáticas en compresión debido al peso de la estructura. </w:t>
      </w:r>
    </w:p>
    <w:p w14:paraId="347B899D" w14:textId="5B9CEF88" w:rsidR="005D7078" w:rsidRDefault="005D7078" w:rsidP="00EE19BF">
      <w:pPr>
        <w:jc w:val="both"/>
        <w:rPr>
          <w:rFonts w:ascii="Arial" w:hAnsi="Arial" w:cs="Arial"/>
          <w:sz w:val="24"/>
          <w:szCs w:val="24"/>
        </w:rPr>
      </w:pPr>
      <w:r w:rsidRPr="005D7078">
        <w:rPr>
          <w:rFonts w:ascii="Arial" w:hAnsi="Arial" w:cs="Arial"/>
          <w:sz w:val="24"/>
          <w:szCs w:val="24"/>
        </w:rPr>
        <w:lastRenderedPageBreak/>
        <w:t>Los aisladores de vibraciones se utilizan para proteger a personas o maquinaria de los efectos nocivos de las vibraciones de los motores u otras fuentes. La maquinaria rotativa es la aplicación más exitosa del monitoreo de la salud estructural (SHM) y se basa en el reconocimiento de patrones de espectros de desplazamiento, velocidad o aceleración.</w:t>
      </w:r>
      <w:r>
        <w:rPr>
          <w:rFonts w:ascii="Arial" w:hAnsi="Arial" w:cs="Arial"/>
          <w:sz w:val="24"/>
          <w:szCs w:val="24"/>
        </w:rPr>
        <w:t xml:space="preserve"> </w:t>
      </w:r>
    </w:p>
    <w:p w14:paraId="03EDF206" w14:textId="3110B089" w:rsidR="005D7078" w:rsidRDefault="005D7078" w:rsidP="00EE19BF">
      <w:pPr>
        <w:jc w:val="both"/>
        <w:rPr>
          <w:rFonts w:ascii="Arial" w:hAnsi="Arial" w:cs="Arial"/>
          <w:sz w:val="24"/>
          <w:szCs w:val="24"/>
        </w:rPr>
      </w:pPr>
      <w:r w:rsidRPr="005D7078">
        <w:rPr>
          <w:rFonts w:ascii="Arial" w:hAnsi="Arial" w:cs="Arial"/>
          <w:sz w:val="24"/>
          <w:szCs w:val="24"/>
        </w:rPr>
        <w:t>Varios tipos de sellos y juntas fabricados con caucho evitan el flujo de gas o líquido presurizado a través del espacio entre dos objetos sólidos. La separación puede cambiar con el tiempo y el sello debe ajustar este cambio. Si el espacio cambia demasiado rápido para que lo siga el sello, el fluido presurizado no quedará contenido.</w:t>
      </w:r>
    </w:p>
    <w:p w14:paraId="6E75333A" w14:textId="42B7690F" w:rsidR="00AD65C0" w:rsidRPr="005D7078" w:rsidRDefault="00AD65C0" w:rsidP="00AD65C0">
      <w:pPr>
        <w:jc w:val="both"/>
        <w:rPr>
          <w:rFonts w:ascii="Arial" w:hAnsi="Arial" w:cs="Arial"/>
          <w:sz w:val="24"/>
          <w:szCs w:val="24"/>
        </w:rPr>
      </w:pPr>
      <w:r w:rsidRPr="00AD65C0">
        <w:rPr>
          <w:rFonts w:ascii="Arial" w:hAnsi="Arial" w:cs="Arial"/>
          <w:sz w:val="24"/>
          <w:szCs w:val="24"/>
        </w:rPr>
        <w:t xml:space="preserve">Otras aplicaciones del comportamiento viscoelástico se pueden encontrar en dinámica y estabilidad de satélites, aeronaves, vibración de equipos deportivos (por ejemplo, palos de golf), vibración en instrumentos científicos (por ejemplo, pruebas ultrasónicas), materiales inteligentes (por ejemplo, materiales con memoria de forma, materiales piezoeléctricos), materiales autocurativos, relojes, estabilización de frecuencia, resonadores a </w:t>
      </w:r>
      <w:proofErr w:type="spellStart"/>
      <w:r w:rsidRPr="00AD65C0">
        <w:rPr>
          <w:rFonts w:ascii="Arial" w:hAnsi="Arial" w:cs="Arial"/>
          <w:sz w:val="24"/>
          <w:szCs w:val="24"/>
        </w:rPr>
        <w:t>nanoescala</w:t>
      </w:r>
      <w:proofErr w:type="spellEnd"/>
      <w:r w:rsidRPr="00AD65C0">
        <w:rPr>
          <w:rFonts w:ascii="Arial" w:hAnsi="Arial" w:cs="Arial"/>
          <w:sz w:val="24"/>
          <w:szCs w:val="24"/>
        </w:rPr>
        <w:t xml:space="preserve">, cascos, zapatos, pistas deportivas, </w:t>
      </w:r>
      <w:proofErr w:type="spellStart"/>
      <w:r w:rsidRPr="00AD65C0">
        <w:rPr>
          <w:rFonts w:ascii="Arial" w:hAnsi="Arial" w:cs="Arial"/>
          <w:sz w:val="24"/>
          <w:szCs w:val="24"/>
        </w:rPr>
        <w:t>silly</w:t>
      </w:r>
      <w:proofErr w:type="spellEnd"/>
      <w:r w:rsidRPr="00AD65C0">
        <w:rPr>
          <w:rFonts w:ascii="Arial" w:hAnsi="Arial" w:cs="Arial"/>
          <w:sz w:val="24"/>
          <w:szCs w:val="24"/>
        </w:rPr>
        <w:t xml:space="preserve"> </w:t>
      </w:r>
      <w:proofErr w:type="spellStart"/>
      <w:r w:rsidRPr="00AD65C0">
        <w:rPr>
          <w:rFonts w:ascii="Arial" w:hAnsi="Arial" w:cs="Arial"/>
          <w:sz w:val="24"/>
          <w:szCs w:val="24"/>
        </w:rPr>
        <w:t>putty</w:t>
      </w:r>
      <w:proofErr w:type="spellEnd"/>
      <w:r w:rsidRPr="00AD65C0">
        <w:rPr>
          <w:rFonts w:ascii="Arial" w:hAnsi="Arial" w:cs="Arial"/>
          <w:sz w:val="24"/>
          <w:szCs w:val="24"/>
        </w:rPr>
        <w:t>®</w:t>
      </w:r>
      <w:r>
        <w:rPr>
          <w:rFonts w:ascii="Arial" w:hAnsi="Arial" w:cs="Arial"/>
          <w:sz w:val="24"/>
          <w:szCs w:val="24"/>
        </w:rPr>
        <w:t xml:space="preserve"> [7].</w:t>
      </w:r>
    </w:p>
    <w:p w14:paraId="20336DEA" w14:textId="0DB709DE" w:rsidR="001479AD" w:rsidRPr="006D5E2E" w:rsidRDefault="001479AD" w:rsidP="00EE19BF">
      <w:pPr>
        <w:jc w:val="both"/>
        <w:rPr>
          <w:rFonts w:ascii="Arial" w:hAnsi="Arial" w:cs="Arial"/>
          <w:b/>
          <w:bCs/>
          <w:sz w:val="24"/>
          <w:szCs w:val="24"/>
          <w:lang w:val="en-US"/>
        </w:rPr>
      </w:pPr>
      <w:proofErr w:type="spellStart"/>
      <w:r w:rsidRPr="006D5E2E">
        <w:rPr>
          <w:rFonts w:ascii="Arial" w:hAnsi="Arial" w:cs="Arial"/>
          <w:b/>
          <w:bCs/>
          <w:sz w:val="24"/>
          <w:szCs w:val="24"/>
          <w:lang w:val="en-US"/>
        </w:rPr>
        <w:t>Bibliografía</w:t>
      </w:r>
      <w:proofErr w:type="spellEnd"/>
    </w:p>
    <w:p w14:paraId="6C65757B" w14:textId="26226C22" w:rsidR="001479AD" w:rsidRPr="006D5E2E" w:rsidRDefault="001479AD" w:rsidP="001479AD">
      <w:pPr>
        <w:jc w:val="both"/>
        <w:rPr>
          <w:rFonts w:ascii="Arial" w:hAnsi="Arial" w:cs="Arial"/>
          <w:sz w:val="24"/>
          <w:szCs w:val="24"/>
          <w:lang w:val="en-US"/>
        </w:rPr>
      </w:pPr>
      <w:r w:rsidRPr="001479AD">
        <w:rPr>
          <w:rFonts w:ascii="Arial" w:hAnsi="Arial" w:cs="Arial"/>
          <w:sz w:val="24"/>
          <w:szCs w:val="24"/>
          <w:lang w:val="en-US"/>
        </w:rPr>
        <w:t xml:space="preserve">[1] Malkin A, Isayev A, Rheology: Concepts, Methos, and Applications. </w:t>
      </w:r>
      <w:r w:rsidRPr="006D5E2E">
        <w:rPr>
          <w:rFonts w:ascii="Arial" w:hAnsi="Arial" w:cs="Arial"/>
          <w:sz w:val="24"/>
          <w:szCs w:val="24"/>
          <w:lang w:val="en-US"/>
        </w:rPr>
        <w:t xml:space="preserve">3rd ed. </w:t>
      </w:r>
      <w:proofErr w:type="spellStart"/>
      <w:r w:rsidRPr="006D5E2E">
        <w:rPr>
          <w:rFonts w:ascii="Arial" w:hAnsi="Arial" w:cs="Arial"/>
          <w:sz w:val="24"/>
          <w:szCs w:val="24"/>
          <w:lang w:val="en-US"/>
        </w:rPr>
        <w:t>ChemTech</w:t>
      </w:r>
      <w:proofErr w:type="spellEnd"/>
      <w:r w:rsidRPr="006D5E2E">
        <w:rPr>
          <w:rFonts w:ascii="Arial" w:hAnsi="Arial" w:cs="Arial"/>
          <w:sz w:val="24"/>
          <w:szCs w:val="24"/>
          <w:lang w:val="en-US"/>
        </w:rPr>
        <w:t>; 2017.</w:t>
      </w:r>
    </w:p>
    <w:p w14:paraId="351F542B" w14:textId="77777777" w:rsidR="001479AD" w:rsidRPr="001479AD" w:rsidRDefault="001479AD" w:rsidP="001479AD">
      <w:pPr>
        <w:jc w:val="both"/>
        <w:rPr>
          <w:rFonts w:ascii="Arial" w:hAnsi="Arial" w:cs="Arial"/>
          <w:sz w:val="24"/>
          <w:szCs w:val="24"/>
          <w:lang w:val="en-US"/>
        </w:rPr>
      </w:pPr>
      <w:r w:rsidRPr="001479AD">
        <w:rPr>
          <w:rFonts w:ascii="Arial" w:hAnsi="Arial" w:cs="Arial"/>
          <w:sz w:val="24"/>
          <w:szCs w:val="24"/>
          <w:lang w:val="en-US"/>
        </w:rPr>
        <w:t xml:space="preserve">[2] Vincent J, Structural Biomaterials. 3rd ed. Princeton University Press. 2012. </w:t>
      </w:r>
    </w:p>
    <w:p w14:paraId="0BA19F03" w14:textId="24C7BFBA" w:rsidR="001479AD" w:rsidRPr="001479AD" w:rsidRDefault="001479AD" w:rsidP="001479AD">
      <w:pPr>
        <w:jc w:val="both"/>
        <w:rPr>
          <w:rFonts w:ascii="Arial" w:hAnsi="Arial" w:cs="Arial"/>
          <w:sz w:val="24"/>
          <w:szCs w:val="24"/>
          <w:lang w:val="en-US"/>
        </w:rPr>
      </w:pPr>
      <w:r w:rsidRPr="001479AD">
        <w:rPr>
          <w:rFonts w:ascii="Arial" w:hAnsi="Arial" w:cs="Arial"/>
          <w:sz w:val="24"/>
          <w:szCs w:val="24"/>
          <w:lang w:val="en-US"/>
        </w:rPr>
        <w:t>[</w:t>
      </w:r>
      <w:r>
        <w:rPr>
          <w:rFonts w:ascii="Arial" w:hAnsi="Arial" w:cs="Arial"/>
          <w:sz w:val="24"/>
          <w:szCs w:val="24"/>
          <w:lang w:val="en-US"/>
        </w:rPr>
        <w:t>3</w:t>
      </w:r>
      <w:r w:rsidRPr="001479AD">
        <w:rPr>
          <w:rFonts w:ascii="Arial" w:hAnsi="Arial" w:cs="Arial"/>
          <w:sz w:val="24"/>
          <w:szCs w:val="24"/>
          <w:lang w:val="en-US"/>
        </w:rPr>
        <w:t xml:space="preserve">] Yamaguchi K, Thomas A, Busfield J, Stress relaxation, creep and set recovery of elastomers. International Journal of Non-Linear Mechanics, 68. 2015. https://doi.org/10.1016/j.ijnonlinmec.2014.07.004 </w:t>
      </w:r>
    </w:p>
    <w:p w14:paraId="75B12A0C" w14:textId="5CCE69FB" w:rsidR="001479AD" w:rsidRPr="001479AD" w:rsidRDefault="001479AD" w:rsidP="001479AD">
      <w:pPr>
        <w:jc w:val="both"/>
        <w:rPr>
          <w:rFonts w:ascii="Arial" w:hAnsi="Arial" w:cs="Arial"/>
          <w:sz w:val="24"/>
          <w:szCs w:val="24"/>
          <w:lang w:val="en-US"/>
        </w:rPr>
      </w:pPr>
      <w:r w:rsidRPr="001479AD">
        <w:rPr>
          <w:rFonts w:ascii="Arial" w:hAnsi="Arial" w:cs="Arial"/>
          <w:sz w:val="24"/>
          <w:szCs w:val="24"/>
          <w:lang w:val="en-US"/>
        </w:rPr>
        <w:t>[</w:t>
      </w:r>
      <w:r>
        <w:rPr>
          <w:rFonts w:ascii="Arial" w:hAnsi="Arial" w:cs="Arial"/>
          <w:sz w:val="24"/>
          <w:szCs w:val="24"/>
          <w:lang w:val="en-US"/>
        </w:rPr>
        <w:t>4</w:t>
      </w:r>
      <w:r w:rsidRPr="001479AD">
        <w:rPr>
          <w:rFonts w:ascii="Arial" w:hAnsi="Arial" w:cs="Arial"/>
          <w:sz w:val="24"/>
          <w:szCs w:val="24"/>
          <w:lang w:val="en-US"/>
        </w:rPr>
        <w:t xml:space="preserve">] Dacol V, Caetano E, Correia J, A Combined Exponential-Power-Law Method for Interconversion between Viscoelastic Functions of Polymers and Polymer-Based Materials. Polymers. 21(12). 2020. https://doi.org/10.3390/polym12123001 </w:t>
      </w:r>
    </w:p>
    <w:p w14:paraId="5974CA1E" w14:textId="4649D445" w:rsidR="001479AD" w:rsidRPr="006A43BE" w:rsidRDefault="001479AD" w:rsidP="001479AD">
      <w:pPr>
        <w:jc w:val="both"/>
        <w:rPr>
          <w:rFonts w:ascii="Arial" w:hAnsi="Arial" w:cs="Arial"/>
          <w:sz w:val="24"/>
          <w:szCs w:val="24"/>
          <w:lang w:val="en-US"/>
        </w:rPr>
      </w:pPr>
      <w:r w:rsidRPr="001479AD">
        <w:rPr>
          <w:rFonts w:ascii="Arial" w:hAnsi="Arial" w:cs="Arial"/>
          <w:sz w:val="24"/>
          <w:szCs w:val="24"/>
          <w:lang w:val="en-US"/>
        </w:rPr>
        <w:t>[</w:t>
      </w:r>
      <w:r>
        <w:rPr>
          <w:rFonts w:ascii="Arial" w:hAnsi="Arial" w:cs="Arial"/>
          <w:sz w:val="24"/>
          <w:szCs w:val="24"/>
          <w:lang w:val="en-US"/>
        </w:rPr>
        <w:t>5</w:t>
      </w:r>
      <w:r w:rsidRPr="001479AD">
        <w:rPr>
          <w:rFonts w:ascii="Arial" w:hAnsi="Arial" w:cs="Arial"/>
          <w:sz w:val="24"/>
          <w:szCs w:val="24"/>
          <w:lang w:val="en-US"/>
        </w:rPr>
        <w:t xml:space="preserve">] </w:t>
      </w:r>
      <w:proofErr w:type="spellStart"/>
      <w:r w:rsidRPr="001479AD">
        <w:rPr>
          <w:rFonts w:ascii="Arial" w:hAnsi="Arial" w:cs="Arial"/>
          <w:sz w:val="24"/>
          <w:szCs w:val="24"/>
          <w:lang w:val="en-US"/>
        </w:rPr>
        <w:t>Harban</w:t>
      </w:r>
      <w:proofErr w:type="spellEnd"/>
      <w:r w:rsidRPr="001479AD">
        <w:rPr>
          <w:rFonts w:ascii="Arial" w:hAnsi="Arial" w:cs="Arial"/>
          <w:sz w:val="24"/>
          <w:szCs w:val="24"/>
          <w:lang w:val="en-US"/>
        </w:rPr>
        <w:t xml:space="preserve"> K, </w:t>
      </w:r>
      <w:proofErr w:type="spellStart"/>
      <w:r w:rsidRPr="001479AD">
        <w:rPr>
          <w:rFonts w:ascii="Arial" w:hAnsi="Arial" w:cs="Arial"/>
          <w:sz w:val="24"/>
          <w:szCs w:val="24"/>
          <w:lang w:val="en-US"/>
        </w:rPr>
        <w:t>Turttle</w:t>
      </w:r>
      <w:proofErr w:type="spellEnd"/>
      <w:r w:rsidRPr="001479AD">
        <w:rPr>
          <w:rFonts w:ascii="Arial" w:hAnsi="Arial" w:cs="Arial"/>
          <w:sz w:val="24"/>
          <w:szCs w:val="24"/>
          <w:lang w:val="en-US"/>
        </w:rPr>
        <w:t xml:space="preserve"> M, Modified Hyper-Viscoelastic Constitutive Model for Elastomeric Materials. Challenges in Mechanics of Time-Dependent Materials. 2. 2018. Conference Proceedings of the Society for Experimental Mechanics Series. </w:t>
      </w:r>
      <w:r w:rsidRPr="006A43BE">
        <w:rPr>
          <w:rFonts w:ascii="Arial" w:hAnsi="Arial" w:cs="Arial"/>
          <w:sz w:val="24"/>
          <w:szCs w:val="24"/>
          <w:lang w:val="en-US"/>
        </w:rPr>
        <w:t>Springer, Cham. https://doi.org/10.1007/978-3-319-95053-2_1</w:t>
      </w:r>
      <w:r w:rsidR="006A43BE" w:rsidRPr="006A43BE">
        <w:rPr>
          <w:rFonts w:ascii="Arial" w:hAnsi="Arial" w:cs="Arial"/>
          <w:sz w:val="24"/>
          <w:szCs w:val="24"/>
          <w:lang w:val="en-US"/>
        </w:rPr>
        <w:t>.</w:t>
      </w:r>
    </w:p>
    <w:p w14:paraId="4214CFFF" w14:textId="263DB254" w:rsidR="006A43BE" w:rsidRPr="006A43BE" w:rsidRDefault="006A43BE" w:rsidP="001479AD">
      <w:pPr>
        <w:jc w:val="both"/>
        <w:rPr>
          <w:rFonts w:ascii="Arial" w:hAnsi="Arial" w:cs="Arial"/>
          <w:sz w:val="24"/>
          <w:szCs w:val="24"/>
          <w:lang w:val="en-US"/>
        </w:rPr>
      </w:pPr>
      <w:r w:rsidRPr="006A43BE">
        <w:rPr>
          <w:rFonts w:ascii="Arial" w:hAnsi="Arial" w:cs="Arial"/>
          <w:sz w:val="24"/>
          <w:szCs w:val="24"/>
          <w:lang w:val="en-US"/>
        </w:rPr>
        <w:t>[</w:t>
      </w:r>
      <w:r>
        <w:rPr>
          <w:rFonts w:ascii="Arial" w:hAnsi="Arial" w:cs="Arial"/>
          <w:sz w:val="24"/>
          <w:szCs w:val="24"/>
          <w:lang w:val="en-US"/>
        </w:rPr>
        <w:t>6</w:t>
      </w:r>
      <w:r w:rsidRPr="006A43BE">
        <w:rPr>
          <w:rFonts w:ascii="Arial" w:hAnsi="Arial" w:cs="Arial"/>
          <w:sz w:val="24"/>
          <w:szCs w:val="24"/>
          <w:lang w:val="en-US"/>
        </w:rPr>
        <w:t>] Brinson H, Brinson C. Polymer Engineering Science and Viscoelasticity. An Introduction. Springer. 2nd ed. 2015.</w:t>
      </w:r>
    </w:p>
    <w:p w14:paraId="7FADCE7B" w14:textId="378906D0" w:rsidR="006A43BE" w:rsidRPr="006A43BE" w:rsidRDefault="00AD65C0" w:rsidP="001479AD">
      <w:pPr>
        <w:jc w:val="both"/>
        <w:rPr>
          <w:rFonts w:ascii="Arial" w:hAnsi="Arial" w:cs="Arial"/>
          <w:sz w:val="24"/>
          <w:szCs w:val="24"/>
          <w:lang w:val="en-US"/>
        </w:rPr>
      </w:pPr>
      <w:r>
        <w:rPr>
          <w:rFonts w:ascii="Arial" w:hAnsi="Arial" w:cs="Arial"/>
          <w:sz w:val="24"/>
          <w:szCs w:val="24"/>
          <w:lang w:val="en-US"/>
        </w:rPr>
        <w:t xml:space="preserve">[7] </w:t>
      </w:r>
      <w:r w:rsidRPr="00AD65C0">
        <w:rPr>
          <w:rFonts w:ascii="Arial" w:hAnsi="Arial" w:cs="Arial"/>
          <w:sz w:val="24"/>
          <w:szCs w:val="24"/>
          <w:lang w:val="en-US"/>
        </w:rPr>
        <w:t>Lakes R. Viscoelastic Materials. Cambridge University Press. 2009.</w:t>
      </w:r>
    </w:p>
    <w:sectPr w:rsidR="006A43BE" w:rsidRPr="006A43B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9BF"/>
    <w:rsid w:val="001479AD"/>
    <w:rsid w:val="002A2F95"/>
    <w:rsid w:val="002D7F3A"/>
    <w:rsid w:val="005D7078"/>
    <w:rsid w:val="006A43BE"/>
    <w:rsid w:val="006D5E2E"/>
    <w:rsid w:val="00AD65C0"/>
    <w:rsid w:val="00AF0E77"/>
    <w:rsid w:val="00B914E3"/>
    <w:rsid w:val="00EE19BF"/>
    <w:rsid w:val="00FB30A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B208"/>
  <w15:chartTrackingRefBased/>
  <w15:docId w15:val="{1C4D6E0C-1067-4E57-BBB1-E104CA41F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E1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1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19B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19B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19B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19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19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19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19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19B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19B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19B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19B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19B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19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19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19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19BF"/>
    <w:rPr>
      <w:rFonts w:eastAsiaTheme="majorEastAsia" w:cstheme="majorBidi"/>
      <w:color w:val="272727" w:themeColor="text1" w:themeTint="D8"/>
    </w:rPr>
  </w:style>
  <w:style w:type="paragraph" w:styleId="Ttulo">
    <w:name w:val="Title"/>
    <w:basedOn w:val="Normal"/>
    <w:next w:val="Normal"/>
    <w:link w:val="TtuloCar"/>
    <w:uiPriority w:val="10"/>
    <w:qFormat/>
    <w:rsid w:val="00EE1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19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19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19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19BF"/>
    <w:pPr>
      <w:spacing w:before="160"/>
      <w:jc w:val="center"/>
    </w:pPr>
    <w:rPr>
      <w:i/>
      <w:iCs/>
      <w:color w:val="404040" w:themeColor="text1" w:themeTint="BF"/>
    </w:rPr>
  </w:style>
  <w:style w:type="character" w:customStyle="1" w:styleId="CitaCar">
    <w:name w:val="Cita Car"/>
    <w:basedOn w:val="Fuentedeprrafopredeter"/>
    <w:link w:val="Cita"/>
    <w:uiPriority w:val="29"/>
    <w:rsid w:val="00EE19BF"/>
    <w:rPr>
      <w:i/>
      <w:iCs/>
      <w:color w:val="404040" w:themeColor="text1" w:themeTint="BF"/>
    </w:rPr>
  </w:style>
  <w:style w:type="paragraph" w:styleId="Prrafodelista">
    <w:name w:val="List Paragraph"/>
    <w:basedOn w:val="Normal"/>
    <w:uiPriority w:val="34"/>
    <w:qFormat/>
    <w:rsid w:val="00EE19BF"/>
    <w:pPr>
      <w:ind w:left="720"/>
      <w:contextualSpacing/>
    </w:pPr>
  </w:style>
  <w:style w:type="character" w:styleId="nfasisintenso">
    <w:name w:val="Intense Emphasis"/>
    <w:basedOn w:val="Fuentedeprrafopredeter"/>
    <w:uiPriority w:val="21"/>
    <w:qFormat/>
    <w:rsid w:val="00EE19BF"/>
    <w:rPr>
      <w:i/>
      <w:iCs/>
      <w:color w:val="0F4761" w:themeColor="accent1" w:themeShade="BF"/>
    </w:rPr>
  </w:style>
  <w:style w:type="paragraph" w:styleId="Citadestacada">
    <w:name w:val="Intense Quote"/>
    <w:basedOn w:val="Normal"/>
    <w:next w:val="Normal"/>
    <w:link w:val="CitadestacadaCar"/>
    <w:uiPriority w:val="30"/>
    <w:qFormat/>
    <w:rsid w:val="00EE1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19BF"/>
    <w:rPr>
      <w:i/>
      <w:iCs/>
      <w:color w:val="0F4761" w:themeColor="accent1" w:themeShade="BF"/>
    </w:rPr>
  </w:style>
  <w:style w:type="character" w:styleId="Referenciaintensa">
    <w:name w:val="Intense Reference"/>
    <w:basedOn w:val="Fuentedeprrafopredeter"/>
    <w:uiPriority w:val="32"/>
    <w:qFormat/>
    <w:rsid w:val="00EE19BF"/>
    <w:rPr>
      <w:b/>
      <w:bCs/>
      <w:smallCaps/>
      <w:color w:val="0F4761" w:themeColor="accent1" w:themeShade="BF"/>
      <w:spacing w:val="5"/>
    </w:rPr>
  </w:style>
  <w:style w:type="character" w:styleId="Hipervnculo">
    <w:name w:val="Hyperlink"/>
    <w:basedOn w:val="Fuentedeprrafopredeter"/>
    <w:uiPriority w:val="99"/>
    <w:unhideWhenUsed/>
    <w:rsid w:val="006A43BE"/>
    <w:rPr>
      <w:color w:val="467886" w:themeColor="hyperlink"/>
      <w:u w:val="single"/>
    </w:rPr>
  </w:style>
  <w:style w:type="character" w:styleId="Mencinsinresolver">
    <w:name w:val="Unresolved Mention"/>
    <w:basedOn w:val="Fuentedeprrafopredeter"/>
    <w:uiPriority w:val="99"/>
    <w:semiHidden/>
    <w:unhideWhenUsed/>
    <w:rsid w:val="006A4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5266565">
      <w:bodyDiv w:val="1"/>
      <w:marLeft w:val="0"/>
      <w:marRight w:val="0"/>
      <w:marTop w:val="0"/>
      <w:marBottom w:val="0"/>
      <w:divBdr>
        <w:top w:val="none" w:sz="0" w:space="0" w:color="auto"/>
        <w:left w:val="none" w:sz="0" w:space="0" w:color="auto"/>
        <w:bottom w:val="none" w:sz="0" w:space="0" w:color="auto"/>
        <w:right w:val="none" w:sz="0" w:space="0" w:color="auto"/>
      </w:divBdr>
      <w:divsChild>
        <w:div w:id="1277366610">
          <w:marLeft w:val="0"/>
          <w:marRight w:val="0"/>
          <w:marTop w:val="0"/>
          <w:marBottom w:val="0"/>
          <w:divBdr>
            <w:top w:val="none" w:sz="0" w:space="0" w:color="auto"/>
            <w:left w:val="none" w:sz="0" w:space="0" w:color="auto"/>
            <w:bottom w:val="none" w:sz="0" w:space="0" w:color="auto"/>
            <w:right w:val="none" w:sz="0" w:space="0" w:color="auto"/>
          </w:divBdr>
        </w:div>
        <w:div w:id="1902473759">
          <w:marLeft w:val="0"/>
          <w:marRight w:val="0"/>
          <w:marTop w:val="0"/>
          <w:marBottom w:val="0"/>
          <w:divBdr>
            <w:top w:val="none" w:sz="0" w:space="0" w:color="auto"/>
            <w:left w:val="none" w:sz="0" w:space="0" w:color="auto"/>
            <w:bottom w:val="none" w:sz="0" w:space="0" w:color="auto"/>
            <w:right w:val="none" w:sz="0" w:space="0" w:color="auto"/>
          </w:divBdr>
        </w:div>
        <w:div w:id="843865396">
          <w:marLeft w:val="0"/>
          <w:marRight w:val="0"/>
          <w:marTop w:val="0"/>
          <w:marBottom w:val="0"/>
          <w:divBdr>
            <w:top w:val="none" w:sz="0" w:space="0" w:color="auto"/>
            <w:left w:val="none" w:sz="0" w:space="0" w:color="auto"/>
            <w:bottom w:val="none" w:sz="0" w:space="0" w:color="auto"/>
            <w:right w:val="none" w:sz="0" w:space="0" w:color="auto"/>
          </w:divBdr>
        </w:div>
        <w:div w:id="990063470">
          <w:marLeft w:val="0"/>
          <w:marRight w:val="0"/>
          <w:marTop w:val="0"/>
          <w:marBottom w:val="0"/>
          <w:divBdr>
            <w:top w:val="none" w:sz="0" w:space="0" w:color="auto"/>
            <w:left w:val="none" w:sz="0" w:space="0" w:color="auto"/>
            <w:bottom w:val="none" w:sz="0" w:space="0" w:color="auto"/>
            <w:right w:val="none" w:sz="0" w:space="0" w:color="auto"/>
          </w:divBdr>
        </w:div>
        <w:div w:id="1118335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1142</Words>
  <Characters>7053</Characters>
  <Application>Microsoft Office Word</Application>
  <DocSecurity>0</DocSecurity>
  <Lines>121</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Alberto Guzmán Sánchez</dc:creator>
  <cp:keywords/>
  <dc:description/>
  <cp:lastModifiedBy>Manuel Alberto Guzmán Sánchez</cp:lastModifiedBy>
  <cp:revision>2</cp:revision>
  <dcterms:created xsi:type="dcterms:W3CDTF">2024-06-19T15:25:00Z</dcterms:created>
  <dcterms:modified xsi:type="dcterms:W3CDTF">2024-06-19T16:44:00Z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2024-06-19T16:42:19Z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4fd54588-017b-4710-bf45-733679f8ccef</vt:lpwstr>
  </property>
  <property fmtid="{D5CDD505-2E9C-101B-9397-08002B2CF9AE}" pid="8" name="MSIP_Label_fc111285-cafa-4fc9-8a9a-bd902089b24f_ContentBits">
    <vt:lpwstr>0</vt:lpwstr>
  </property>
</Properties>
</file>