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1DF37" w14:textId="77777777" w:rsidR="00E3636E" w:rsidRPr="00E3636E" w:rsidRDefault="00E3636E" w:rsidP="006E25C5">
      <w:pPr>
        <w:pStyle w:val="Heading2"/>
        <w:jc w:val="both"/>
        <w:rPr>
          <w:sz w:val="24"/>
          <w:szCs w:val="24"/>
        </w:rPr>
      </w:pPr>
      <w:r w:rsidRPr="00E3636E">
        <w:rPr>
          <w:sz w:val="24"/>
          <w:szCs w:val="24"/>
        </w:rPr>
        <w:t>Propuesta académica para la plaza docente C2 en geología y geofísica aplicada del Departamento de Ingeniería Civil y Agrícola</w:t>
      </w:r>
    </w:p>
    <w:p w14:paraId="7F5D0B61" w14:textId="77777777" w:rsidR="00E3636E" w:rsidRPr="00E3636E" w:rsidRDefault="00E3636E" w:rsidP="006E25C5">
      <w:pPr>
        <w:spacing w:after="0" w:line="276" w:lineRule="auto"/>
        <w:jc w:val="both"/>
        <w:rPr>
          <w:rFonts w:ascii="Arial Narrow" w:hAnsi="Arial Narrow"/>
          <w:sz w:val="22"/>
          <w:szCs w:val="22"/>
        </w:rPr>
      </w:pPr>
      <w:r w:rsidRPr="00E3636E">
        <w:rPr>
          <w:rFonts w:ascii="Arial Narrow" w:hAnsi="Arial Narrow"/>
          <w:sz w:val="22"/>
          <w:szCs w:val="22"/>
        </w:rPr>
        <w:t>Mauricio Arboleda Zapata</w:t>
      </w:r>
    </w:p>
    <w:p w14:paraId="2F8A969A" w14:textId="77777777" w:rsidR="00E3636E" w:rsidRPr="00E3636E" w:rsidRDefault="00E3636E" w:rsidP="006E25C5">
      <w:pPr>
        <w:spacing w:after="0" w:line="276" w:lineRule="auto"/>
        <w:jc w:val="both"/>
        <w:rPr>
          <w:rFonts w:ascii="Arial Narrow" w:hAnsi="Arial Narrow"/>
          <w:sz w:val="22"/>
          <w:szCs w:val="22"/>
        </w:rPr>
      </w:pPr>
      <w:r w:rsidRPr="00E3636E">
        <w:rPr>
          <w:rFonts w:ascii="Arial Narrow" w:hAnsi="Arial Narrow"/>
          <w:sz w:val="22"/>
          <w:szCs w:val="22"/>
        </w:rPr>
        <w:t>Departamento de Geociencias, Universidad de Tübingen, Alemania</w:t>
      </w:r>
    </w:p>
    <w:p w14:paraId="72C07047" w14:textId="77777777" w:rsidR="00E3636E" w:rsidRPr="00E3636E" w:rsidRDefault="00E3636E" w:rsidP="006E25C5">
      <w:pPr>
        <w:spacing w:after="0" w:line="276" w:lineRule="auto"/>
        <w:jc w:val="both"/>
        <w:rPr>
          <w:rFonts w:ascii="Arial Narrow" w:hAnsi="Arial Narrow"/>
          <w:sz w:val="22"/>
          <w:szCs w:val="22"/>
        </w:rPr>
      </w:pPr>
      <w:r w:rsidRPr="00E3636E">
        <w:rPr>
          <w:rFonts w:ascii="Arial Narrow" w:hAnsi="Arial Narrow"/>
          <w:sz w:val="22"/>
          <w:szCs w:val="22"/>
        </w:rPr>
        <w:t>15 Febrero, 2026</w:t>
      </w:r>
    </w:p>
    <w:p w14:paraId="5BA047EE" w14:textId="77777777" w:rsidR="00E3636E" w:rsidRPr="00E3636E" w:rsidRDefault="00E3636E" w:rsidP="006E25C5">
      <w:pPr>
        <w:spacing w:line="276" w:lineRule="auto"/>
        <w:jc w:val="both"/>
        <w:rPr>
          <w:rFonts w:ascii="Arial Narrow" w:hAnsi="Arial Narrow"/>
          <w:sz w:val="22"/>
          <w:szCs w:val="22"/>
        </w:rPr>
      </w:pPr>
    </w:p>
    <w:p w14:paraId="2EF46448" w14:textId="77777777" w:rsidR="00E3636E" w:rsidRPr="00E3636E" w:rsidRDefault="00E3636E" w:rsidP="006E25C5">
      <w:pPr>
        <w:pStyle w:val="Heading3"/>
        <w:jc w:val="both"/>
        <w:rPr>
          <w:sz w:val="24"/>
          <w:szCs w:val="24"/>
        </w:rPr>
      </w:pPr>
      <w:r w:rsidRPr="00E3636E">
        <w:rPr>
          <w:sz w:val="24"/>
          <w:szCs w:val="24"/>
        </w:rPr>
        <w:t>1.</w:t>
      </w:r>
      <w:r w:rsidRPr="00E3636E">
        <w:rPr>
          <w:sz w:val="24"/>
          <w:szCs w:val="24"/>
        </w:rPr>
        <w:tab/>
        <w:t>Introducción</w:t>
      </w:r>
    </w:p>
    <w:p w14:paraId="70B7EA6E"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 xml:space="preserve">La población humana en el mundo es actualmente de aproximadamente 8 mil millones de habitantes y, en un escenario optimista, podría alcanzar cerca de 10 mil millones hacia el año 2100 (United Nations, 2022). Este crecimiento poblacional implica la expansión de la infraestructura, incluyendo carreteras, viviendas e industrias, así como una mayor demanda de energía, agua y alimentos, lo que, a su vez, promueve la expansión de las zonas agrícolas y una mayor presión sobre los recursos hídricos (p. ej., para el consumo humano o la generación de energía). Estos procesos se desarrollan en un contexto de cambio climático, lo que introduce retos asociados a la variabilidad hidroclimática. </w:t>
      </w:r>
    </w:p>
    <w:p w14:paraId="5AA97AB7"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 xml:space="preserve">En regiones tropicales como Colombia se ha observado un incremento en la frecuencia e intensidad de los eventos hidrometeorológicos extremos (Rodríguez-Espinosa et al., 2025). Debido a su topografía abrupta, la diversidad litológica y la presencia de espesos perfiles de meteorización, las precipitaciones intensas o prolongadas favorecen la rápida saturación de los suelos en ladera, lo que desencadena movimientos en masa que pueden derivar en flujos de lodos y/o escombros. Estos procesos en cadena han afectado repetidamente a la población y a la infraestructura, como ocurrió en Salgar en 2015 (Velásquez et al., 2020) y en Mocoa (García-Delgado et al., 2019). Adicionalmente, la creciente variabilidad del régimen hidrológico ha resultado en periodos recientes de déficit hídrico, como la sequía de 2024–2025 en la Sabana de Bogotá y sus alrededores, que ocasionó descensos críticos en los niveles de almacenamiento y llevó a racionamientos de agua (Colorado, 2025). En contraste, periodos de precipitación intensa a finales de 2025 y a comienzos de 2026 produjeron una rápida recuperación de los niveles de los embalses, que incluso alcanzaron o superaron su nivel máximo de operación (Colorado, 2026). </w:t>
      </w:r>
    </w:p>
    <w:p w14:paraId="32D5A8F4"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El entendimiento de los procesos que ocurren en el subsuelo, como el flujo de agua subterránea, la consolidación y la distribución de esfuerzos, requiere una caracterización de sus materiales, incluyendo sus estructuras y propiedades petrofísicas. En este contexto, la integración de información geológica, hidrológica y geofísica permite obtener una comprensión espacial y multitemporal de los factores que influyen en procesos desestabilizantes, en la recarga de acuíferos y en el transporte de contaminantes, entre otros. Dado que la información geológica y geofísica suele presentarse con diferentes resoluciones y coberturas espaciales, es necesario adoptar enfoques que integren diversas fuentes de información e incorporen explícitamente la incertidumbre al comunicar los resultados, de modo que se apoye una toma de decisiones consciente del riesgo. Por ello, la formación en geociencias aplicadas a la ingeniería resulta fundamental para preparar profesionales capaces de comprender los procesos geológicos e hidrogeológicos que condicionan la planificación territorial, la gestión del riesgo y el uso sostenible de los recursos naturales.</w:t>
      </w:r>
    </w:p>
    <w:p w14:paraId="49BF76C0"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 xml:space="preserve">Mi perfil académico se ajusta al perfil buscado, ya que mi carrera se ha desarrollado en el campo de la geofísica aplicada a entender procesos estáticos y dinámicos presentes a diferentes escalas espaciales en las áreas de geomorfología, hidrogeología, ingeniería y agricultura. Mi participación en proyectos multidisciplinarios en estas ramas de las geociencias aplicadas me ha ayudado a desarrollar un conocimiento integral que deseo transmitir a las futuras generaciones de ingeniería civil y agrícola. </w:t>
      </w:r>
    </w:p>
    <w:p w14:paraId="513B82FC" w14:textId="77777777" w:rsidR="00E3636E" w:rsidRPr="00E3636E" w:rsidRDefault="00E3636E" w:rsidP="006E25C5">
      <w:pPr>
        <w:pStyle w:val="Heading3"/>
        <w:jc w:val="both"/>
        <w:rPr>
          <w:sz w:val="24"/>
          <w:szCs w:val="24"/>
        </w:rPr>
      </w:pPr>
      <w:r w:rsidRPr="00E3636E">
        <w:rPr>
          <w:sz w:val="24"/>
          <w:szCs w:val="24"/>
        </w:rPr>
        <w:lastRenderedPageBreak/>
        <w:t>2.</w:t>
      </w:r>
      <w:r w:rsidRPr="00E3636E">
        <w:rPr>
          <w:sz w:val="24"/>
          <w:szCs w:val="24"/>
        </w:rPr>
        <w:tab/>
        <w:t xml:space="preserve">Objetivos </w:t>
      </w:r>
    </w:p>
    <w:p w14:paraId="731CD237"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Mi objetivo general es contribuir, como servidor de la Universidad Nacional de Colombia (UNAL), al fortalecimiento de los ejes misionales de docencia, investigación y extensión, articulando mi trabajo académico con la misión del Departamento de Ingeniería Civil y Agrícola de formar profesionales y generar conocimiento aplicado que apoye el desarrollo sostenible del país, particularmente en las áreas relacionadas con la geotecnia,  la gestión de los recursos hídricos y la reducción del riesgo geológico. Para este fin, me enfocaré en los siguientes objetivos específicos:</w:t>
      </w:r>
    </w:p>
    <w:p w14:paraId="33B96B90"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w:t>
      </w:r>
      <w:r w:rsidRPr="00E3636E">
        <w:rPr>
          <w:rFonts w:ascii="Arial Narrow" w:hAnsi="Arial Narrow"/>
          <w:sz w:val="22"/>
          <w:szCs w:val="22"/>
        </w:rPr>
        <w:tab/>
        <w:t>Contribuir a la formación integral de estudiantes de ingeniería civil e ingeniería agrícola mediante la enseñanza de la geología y la geofísica aplicadas a la ingeniería, a la hidrogeología y a la geomorfología. Estos campos proporcionan las bases para la caracterización del subsuelo que condicionan el diseño, la construcción y la operación de obras de infraestructura, sistemas de abastecimiento de agua (p. ej., embalses y acuíferos) y sistemas productivos agrícolas. Se espera que los estudiantes desarrollen la capacidad de integrar información geológica, geofísica e hidrogeológica para evaluar riesgos, apoyar la planificación territorial y sustentar la toma de decisiones en proyectos de ingeniería.</w:t>
      </w:r>
    </w:p>
    <w:p w14:paraId="6B603639"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w:t>
      </w:r>
      <w:r w:rsidRPr="00E3636E">
        <w:rPr>
          <w:rFonts w:ascii="Arial Narrow" w:hAnsi="Arial Narrow"/>
          <w:sz w:val="22"/>
          <w:szCs w:val="22"/>
        </w:rPr>
        <w:tab/>
        <w:t>Desarrollar y participar en proyectos de investigación aplicada y de extensión con impacto social que contribuyan al cumplimiento de la misión del Departamento en áreas como las de recursos hidráulicos y de geotecnia. En este contexto, la geología y la geofísica aplicadas se emplearán como herramientas para la caracterización del subsuelo y la evaluación de la disponibilidad y la dinámica del agua en cuencas, acuíferos y suelos agrícolas. Estas actividades contribuirán a la gestión sostenible del recurso hídrico, a la evaluación de amenazas naturales y a la planificación de infraestructura resiliente, en concordancia con los Objetivos de Desarrollo Sostenible (ODS) 6 (agua limpia y saneamiento), 11 (ciudades y comunidades sostenibles), 13 (acción por el clima) y 15 (vida de los ecosistemas terrestres).</w:t>
      </w:r>
    </w:p>
    <w:p w14:paraId="650D0A69" w14:textId="77777777" w:rsidR="00E3636E" w:rsidRPr="00E3636E" w:rsidRDefault="00E3636E" w:rsidP="006E25C5">
      <w:pPr>
        <w:pStyle w:val="Heading3"/>
        <w:jc w:val="both"/>
        <w:rPr>
          <w:sz w:val="24"/>
          <w:szCs w:val="24"/>
        </w:rPr>
      </w:pPr>
      <w:r w:rsidRPr="00E3636E">
        <w:rPr>
          <w:sz w:val="24"/>
          <w:szCs w:val="24"/>
        </w:rPr>
        <w:t>3.</w:t>
      </w:r>
      <w:r w:rsidRPr="00E3636E">
        <w:rPr>
          <w:sz w:val="24"/>
          <w:szCs w:val="24"/>
        </w:rPr>
        <w:tab/>
        <w:t xml:space="preserve">Propuesta en el componente de Docencia </w:t>
      </w:r>
    </w:p>
    <w:p w14:paraId="405558F4"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Mi propuesta docente se fundamenta en una concepción integral e inclusiva de la enseñanza de la geología y de la geofísica aplicada, orientada principalmente a estudiantes de pregrado y posgrado de ingeniería civil e ingeniería agrícola. Concibo la docencia como un proceso formativo que parte de la enseñanza de los principios fundamentales para que los estudiantes desarrollen criterios técnicos, evalúen críticamente sus propias ideas y resultados, adquieran autonomía y ética profesional y comprendan el impacto social y ambiental de las intervenciones en el territorio.</w:t>
      </w:r>
    </w:p>
    <w:p w14:paraId="25425751"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 xml:space="preserve">Desde mi formación y experiencia profesional, puedo contribuir a la docencia en asignaturas relacionadas con la geología y la geofísica aplicadas a la ingeniería y la agricultura, incluyendo cursos del pensum actual como Geología, Mecánica de Suelos y Geotecnia. Además, podría ofrecer apoyo (incluidas nuevas asignaturas) tales como geología para ingenieros, geomorfología, hidrogeología, hidrogeofísica y geofísica aplicada. Mi enfoque pedagógico se desarrolla de manera progresiva y coherente con el nivel académico de los estudiantes y los prerrequisitos de cada asignatura. En asignaturas de pregrado, priorizo la comprensión del principio físico de los métodos (y su aplicación práctica) y de los procesos, mientras que en cursos de posgrado (como en la maestría de geotecnia, de ingeniería ambiental y de recursos hidráulicos) incorporo un mayor formalismo teórico y práctico, en el que los estudiantes adquieren, además, independencia investigativa. A nivel de doctorado, podría soportar tesis en las que la geofísica aplicada sea un eje central de investigación, con aplicaciones en hidrogeología y geotecnia. </w:t>
      </w:r>
    </w:p>
    <w:p w14:paraId="7D1C8D9F"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 xml:space="preserve">Para lograr esta progresión formativa, es fundamental que los estudiantes adquieran conceptos y herramientas matemáticas, estadísticas y computacionales propios de las geociencias, así como su integración en aplicaciones de ingeniería e hidrogeología. Estas bases permiten comprender los principios físicos de las herramientas de exploración del subsuelo, así como sus alcances y limitaciones. A partir de estos fundamentos, en mi enseñanza </w:t>
      </w:r>
      <w:r w:rsidRPr="00E3636E">
        <w:rPr>
          <w:rFonts w:ascii="Arial Narrow" w:hAnsi="Arial Narrow"/>
          <w:sz w:val="22"/>
          <w:szCs w:val="22"/>
        </w:rPr>
        <w:lastRenderedPageBreak/>
        <w:t>promuevo la integración entre observaciones de campo, información de pozo, métodos indirectos de caracterización y análisis de procesos dinámicos. Pongo especial énfasis en metodologías que permitan establecer relaciones físicas entre parámetros para comprender el comportamiento mecánico de suelos y rocas, así como sus propiedades de transmisión de fluidos, como el agua. Esta estrategia fortalece el componente geológico y geofísico de la formación de los estudiantes y facilita la conexión entre los fundamentos científicos y las problemáticas reales asociadas a la infraestructura, los recursos hídricos, los suelos y la gestión ambiental en contextos urbanos y rurales de Colombia.</w:t>
      </w:r>
    </w:p>
    <w:p w14:paraId="4B720CBD"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En la enseñanza, es esencial que los estudiantes comprendan que los fenómenos geológicos que afectan la ingeniería deben analizarse en su contexto espacial y temporal, más allá del lugar y del momento en que se manifiestan sus efectos. Un claro ejemplo sería el caso de una avenida aluvio-torrencial que ha afectado a un poblado ubicado en un abanico aluvial (p. ej., García-Delgado et al., 2019). La naturaleza de este fenómeno requiere investigaciones a escala de cuenca y no únicamente un análisis limitado al área inmediata de las edificaciones afectadas. Además, se requerirían observaciones a escala de semanas para comprender la evolución de los efectos desencadenantes, como el incremento de la presión de poros en las laderas. Este tipo de problemáticas se aborda con los estudiantes mediante salidas y ejercicios de análisis en campo, donde formulan preguntas técnicas, planifican campañas de adquisición de datos y reconocen las limitaciones inherentes a las observaciones realizadas en condiciones reales, fortaleciendo así el vínculo entre la teoría y la práctica.</w:t>
      </w:r>
    </w:p>
    <w:p w14:paraId="715F91CA" w14:textId="2C2B07A8"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Encuentro crucial que los estudiantes adquieran herramientas para el análisis e interpretación de datos reales o sintéticos que contribuyan a la evaluación crítica de su calidad, consistencia y representatividad. En este proceso, enfatizo el uso reflexivo de herramientas computacionales, así como la adopción de buenas prácticas de documentación y reproducibilidad. El uso de software de código abierto, la reproducibilidad de los análisis y la interpretación crítica de los resultados constituyen elementos centrales del proceso formativo. El modelamiento numérico se introduce como una etapa de integración del conocimiento, en la cual los estudiantes aprenden a construir modelos del subsuelo o del sistema físico estudiado a partir de la información disponible y a evaluar la sensibilidad de los resultados ante las decisiones metodológicas adoptadas. Adicionalmente, promuevo una actitud reflexiva frente al uso de herramientas computacionales y de inteligencia artificial, enfatizando la necesidad de interpretar sus resultados, reconocer sus limitaciones y utilizarlos como apoyo al razonamiento ingenieril, y no como sustitutos del análisis técnico. Finalmente, la comunicación técnica de resultados se aborda como una competencia central que los estudiantes desarrollan durante su periodo formativo. Para ello, promuevo la elaboración de informes (de tipo técnico e investigativo), presentaciones y discusiones técnicas que enfatizan la claridad en la exposición, la justificación de los métodos empleados y la incorporación explícita de la incertidumbre en la toma de decisiones, simulando escenarios propios de la práctica de la ingeniería civil y agrícola.</w:t>
      </w:r>
    </w:p>
    <w:p w14:paraId="7A68D822" w14:textId="77777777" w:rsidR="00E3636E" w:rsidRPr="00E3636E" w:rsidRDefault="00E3636E" w:rsidP="006E25C5">
      <w:pPr>
        <w:pStyle w:val="Heading3"/>
        <w:jc w:val="both"/>
        <w:rPr>
          <w:sz w:val="24"/>
          <w:szCs w:val="24"/>
        </w:rPr>
      </w:pPr>
      <w:r w:rsidRPr="00E3636E">
        <w:rPr>
          <w:sz w:val="24"/>
          <w:szCs w:val="24"/>
        </w:rPr>
        <w:t>4.</w:t>
      </w:r>
      <w:r w:rsidRPr="00E3636E">
        <w:rPr>
          <w:sz w:val="24"/>
          <w:szCs w:val="24"/>
        </w:rPr>
        <w:tab/>
        <w:t>Propuesta en el componente de Investigación</w:t>
      </w:r>
    </w:p>
    <w:p w14:paraId="233883F8"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Mi aporte a la investigación se orientará al desarrollo de investigación aplicada en geofísica para la ingeniería y la hidrogeología. Una de mis líneas de investigación se centraría en el estudio del funcionamiento de los sistemas acuíferos y de los procesos hidrogeológicos en la zona vadosa, lo cual resulta especialmente relevante para la agricultura y las áreas de recarga. En paralelo, otra de mis líneas de investigación se enfocaría en el estudio del flujo de agua en zonas de ladera y su relación con los efectos desestabilizantes. Estas actividades se desarrollarán en estrecha relación con los procesos formativos del Departamento, mediante el acompañamiento de trabajos de grado, tesis de maestría y tesis de doctorado, y promoverán la participación activa de los estudiantes en proyectos de investigación aplicada. En mis procesos de investigación fomentaré la participación inclusiva de estudiantes e investigadores de distintos géneros, procedencias, etnias y contextos culturales.</w:t>
      </w:r>
    </w:p>
    <w:p w14:paraId="4A2B7F0F"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 xml:space="preserve">Debido a su naturaleza interdisciplinaria, esta línea de trabajo requiere la articulación con grupos que abordan distintos componentes del sistema suelo–agua–infraestructura. En este contexto, colaboraré con profesores de la Facultad de Ingeniería y de facultades afines como la Facultad de Ciencias. Particularmente, propongo la </w:t>
      </w:r>
      <w:r w:rsidRPr="00E3636E">
        <w:rPr>
          <w:rFonts w:ascii="Arial Narrow" w:hAnsi="Arial Narrow"/>
          <w:sz w:val="22"/>
          <w:szCs w:val="22"/>
        </w:rPr>
        <w:lastRenderedPageBreak/>
        <w:t>articulación con los grupos GENKI (Geotechnical Engineering Knowledge and Innovation), GIGUN (Grupo de Investigación en Geotecnia), GIREH (Grupo de Investigación en Ingeniería de Recursos Hídricos) y HYDS (Ambiente, Agua, Energía y Sociedad), así como con el semillero de Aguas y Modelación Subterránea (SIAMS).</w:t>
      </w:r>
    </w:p>
    <w:p w14:paraId="01B6449C"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Como antecedente, he tenido la oportunidad de interactuar con el semillero SIAMS durante su visita a la Universidad de Tübingen (Alemania) en 2025, en la que se identificaron oportunidades de colaboración en la aplicación de métodos geofísicos para la caracterización del subsuelo y el soporte de modelos hidrogeológicos. Este tipo de cooperación puede facilitar proyectos conjuntos, la codirección de trabajos de grado y la movilidad académica de estudiantes, contribuyendo a fortalecer la proyección internacional del Departamento. Desde mi experiencia, el trabajo con investigadores formados en distintas escuelas y enfoques metodológicos favorece la construcción de metodologías más robustas y la generación de resultados de mayor impacto científico y aplicado.</w:t>
      </w:r>
    </w:p>
    <w:p w14:paraId="4872C633"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 xml:space="preserve">Para el desarrollo de mis líneas de investigación emplearé métodos geofísicos de superficie (p. ej., métodos geoeléctricos, electromagnéticos y sísmicos) y de pozo (p. ej., resonancia magnética nuclear y rayos gamma)  en contextos urbanos y rurales con el fin de determinar la estructura y las propiedades petrofísicas del subsuelo, utilizables en aplicaciones hidrogeológicas (p. ej., cuantificación de la recarga natural o artificial de acuíferos), ingenieriles (p. ej., estabilidad de laderas y subsidencia) y agrícolas (p. ej., heterogeneidad espacial de los suelos y su influencia en la retención de agua). Los equipos necesarios para la investigación se obtendrán mediante la cooperación con otros grupos de investigación de la universidad (p. ej., el Grupo de Geofísica de la Facultad de Ciencias) o mediante colaboraciones nacionales y/o internacionales. Un componente central será el análisis multitemporal de datos para el monitoreo de procesos dinámicos, como la recarga de acuíferos y la variación del contenido de agua en laderas, particularmente relevantes en escenarios de cambio climático caracterizados por sequías prolongadas y eventos de precipitación extrema. Un componente relevante para comprender mejor los alcances y limitaciones de los métodos geofísicos consistirá en incorporar el modelado sintético de datos, considerando escenarios geológicos realistas informados por equipos multidisciplinarios. </w:t>
      </w:r>
    </w:p>
    <w:p w14:paraId="762A6ED7"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El desarrollo de la investigación aplicada requiere una gestión activa de recursos externos que garantice la continuidad de los proyectos y la formación de estudiantes. En este sentido, promoveré la formulación y la presentación de proyectos de investigación en convocatorias nacionales e internacionales. A nivel nacional, la financiación de esta línea podrá gestionarse mediante convocatorias del Ministerio de Ciencia, Tecnología e Innovación y a través de proyectos del Sistema General de Regalías, en articulación con entidades territoriales y corporaciones autónomas regionales. A nivel internacional, buscaré participar en programas de cooperación y financiación, como el Servicio Alemán de Intercambio Académico (DAAD) y las convocatorias del programa Horizon Europe, aprovechando redes académicas previamente establecidas. De manera complementaria, se promoverán convenios y contratos con entidades del sector público vinculadas a la gestión del agua, la planificación territorial y la reducción del riesgo, de modo que los resultados de la investigación puedan traducirse en aplicaciones prácticas y beneficios directos para la sociedad.</w:t>
      </w:r>
    </w:p>
    <w:p w14:paraId="54EB168E"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En el corto plazo, existen oportunidades para extender un proyecto de monitoreo de laderas en Medellín, Colombia, en cooperación con la Facultad de Minas de la UNAL y el Departamento Administrativo para la Gestión del Riesgo de Antioquia (DAGRAN), en el que participo como investigador externo. Este proyecto permitirá consolidar una base de datos integrada de información hidrogeológica, geofísica y de parámetros geotécnicos, útil para estudiar los procesos de karstificación y la inestabilidad de las laderas.</w:t>
      </w:r>
    </w:p>
    <w:p w14:paraId="59CD2784" w14:textId="77777777" w:rsidR="00E3636E" w:rsidRPr="00E3636E" w:rsidRDefault="00E3636E" w:rsidP="006E25C5">
      <w:pPr>
        <w:pStyle w:val="Heading3"/>
        <w:jc w:val="both"/>
        <w:rPr>
          <w:sz w:val="24"/>
          <w:szCs w:val="24"/>
        </w:rPr>
      </w:pPr>
      <w:r w:rsidRPr="00E3636E">
        <w:rPr>
          <w:sz w:val="24"/>
          <w:szCs w:val="24"/>
        </w:rPr>
        <w:t>5.</w:t>
      </w:r>
      <w:r w:rsidRPr="00E3636E">
        <w:rPr>
          <w:sz w:val="24"/>
          <w:szCs w:val="24"/>
        </w:rPr>
        <w:tab/>
        <w:t xml:space="preserve"> Propuesta en el componente de Extensión</w:t>
      </w:r>
    </w:p>
    <w:p w14:paraId="2E71DC4E" w14:textId="77777777"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 xml:space="preserve">La extensión universitaria constituye un espacio fundamental para articular la academia con la sociedad y las entidades gubernamentales, transfiriendo conocimiento científico y técnico a la solución de problemáticas reales en el territorio colombiano. En concordancia con la vocación de la UNAL de contribuir al desarrollo del país (UNAL, 2023), estas actividades no solo buscan atender necesidades técnicas puntuales, sino también aportar insumos </w:t>
      </w:r>
      <w:r w:rsidRPr="00E3636E">
        <w:rPr>
          <w:rFonts w:ascii="Arial Narrow" w:hAnsi="Arial Narrow"/>
          <w:sz w:val="22"/>
          <w:szCs w:val="22"/>
        </w:rPr>
        <w:lastRenderedPageBreak/>
        <w:t>científicos para la formulación y el fortalecimiento de políticas públicas relacionadas con la gestión del agua, la planificación de infraestructura, la producción agrícola y la reducción del riesgo.</w:t>
      </w:r>
    </w:p>
    <w:p w14:paraId="611D5EA5" w14:textId="77777777" w:rsidR="00E3636E" w:rsidRDefault="00E3636E" w:rsidP="006E25C5">
      <w:pPr>
        <w:spacing w:line="276" w:lineRule="auto"/>
        <w:jc w:val="both"/>
        <w:rPr>
          <w:rFonts w:ascii="Arial Narrow" w:hAnsi="Arial Narrow"/>
          <w:sz w:val="22"/>
          <w:szCs w:val="22"/>
          <w:lang w:val="en-US"/>
        </w:rPr>
      </w:pPr>
      <w:r w:rsidRPr="00E3636E">
        <w:rPr>
          <w:rFonts w:ascii="Arial Narrow" w:hAnsi="Arial Narrow"/>
          <w:sz w:val="22"/>
          <w:szCs w:val="22"/>
        </w:rPr>
        <w:t>Las actividades de extensión podrán desarrollarse mediante proyectos con entidades públicas, asesorías técnicas, cursos de educación continua y actividades de divulgación científica. En particular, la información geológica, hidrogeológica y geofísica puede contribuir a la elaboración de estudios de ordenamiento territorial, planes de gestión del riesgo, planes de gestión de acuíferos, evaluaciones de amenazas por movimientos en masa y planificación de obras civiles y de sistemas productivos agrícolas. Estas acciones se llevan a cabo en paralelo considerando los ODS, especialmente aquellos relacionados con agua limpia y saneamiento, ciudades y comunidades sostenibles, acción por el clima y vida de los ecosistemas terrestres. De esta manera, la universidad puede apoyar la toma de decisiones basada en evidencia en municipios y regiones donde con frecuencia no se dispone de información técnica suficiente. Particularmente, en temas con impacto directo en las comunidades, como la gestión del riesgo geológico y la gestión y protección de acuíferos, resulta esencial promover espacios de participación y de comunicación del conocimiento, tanto de manera presencial como a través de plataformas virtuales. Estas actividades buscan fortalecer el diálogo entre la academia, las autoridades locales y la sociedad, permitiendo que el conocimiento científico no solo sea transferido, sino también apropiado socialmente.</w:t>
      </w:r>
    </w:p>
    <w:p w14:paraId="3A496E2A" w14:textId="3225E24E" w:rsidR="00D27EDF" w:rsidRPr="00D27EDF" w:rsidRDefault="00D27EDF" w:rsidP="006E25C5">
      <w:pPr>
        <w:spacing w:line="276" w:lineRule="auto"/>
        <w:jc w:val="both"/>
        <w:rPr>
          <w:rFonts w:eastAsiaTheme="majorEastAsia" w:cstheme="majorBidi"/>
          <w:color w:val="0F4761" w:themeColor="accent1" w:themeShade="BF"/>
        </w:rPr>
      </w:pPr>
      <w:r w:rsidRPr="00D27EDF">
        <w:rPr>
          <w:rFonts w:eastAsiaTheme="majorEastAsia" w:cstheme="majorBidi"/>
          <w:color w:val="0F4761" w:themeColor="accent1" w:themeShade="BF"/>
          <w:lang w:val="es-ES"/>
        </w:rPr>
        <w:t>6.</w:t>
      </w:r>
      <w:r w:rsidRPr="00D27EDF">
        <w:rPr>
          <w:rFonts w:eastAsiaTheme="majorEastAsia" w:cstheme="majorBidi"/>
          <w:color w:val="0F4761" w:themeColor="accent1" w:themeShade="BF"/>
          <w:lang w:val="es-ES"/>
        </w:rPr>
        <w:tab/>
      </w:r>
      <w:r w:rsidRPr="00D27EDF">
        <w:rPr>
          <w:rFonts w:eastAsiaTheme="majorEastAsia" w:cstheme="majorBidi"/>
          <w:color w:val="0F4761" w:themeColor="accent1" w:themeShade="BF"/>
        </w:rPr>
        <w:t>Conclusion</w:t>
      </w:r>
    </w:p>
    <w:p w14:paraId="3EC4D6A1" w14:textId="5692ED13"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Esta propuesta refleja mi compromiso con la UNAL, mi alma máter, como institución pública fundamental para el desarrollo científico, técnico y social del país. Como egresado, reconozco el valor del patrimonio académico y humano que la Universidad representa, así como su vocación de servicio a la sociedad colombiana. Aspiro a contribuir a la formación de profesionales en ingeniería civil y agrícola capaces de comprender y gestionar el subsuelo desde una perspectiva científica, crítica y socialmente responsable. Considero que, desde la docencia, la investigación aplicada y la extensión, puedo contribuir al fortalecimiento académico del Departamento de Ingeniería Civil y Agrícola y a la construcción de conocimiento útil para la toma de decisiones en el territorio nacional. Del mismo modo, asumo la responsabilidad de ayudar a preservar y proyectar la Universidad hacia las futuras generaciones, manteniendo su carácter público, su excelencia académica y su compromiso con el país.</w:t>
      </w:r>
    </w:p>
    <w:p w14:paraId="206AAD8A" w14:textId="77777777" w:rsidR="00E3636E" w:rsidRPr="00E3636E" w:rsidRDefault="00E3636E" w:rsidP="006E25C5">
      <w:pPr>
        <w:spacing w:line="276" w:lineRule="auto"/>
        <w:jc w:val="both"/>
        <w:rPr>
          <w:rFonts w:ascii="Arial Narrow" w:hAnsi="Arial Narrow"/>
          <w:sz w:val="22"/>
          <w:szCs w:val="22"/>
        </w:rPr>
      </w:pPr>
    </w:p>
    <w:p w14:paraId="379052D0" w14:textId="77777777" w:rsidR="00E3636E" w:rsidRPr="00E3636E" w:rsidRDefault="00E3636E" w:rsidP="006E25C5">
      <w:pPr>
        <w:spacing w:line="276" w:lineRule="auto"/>
        <w:jc w:val="both"/>
        <w:rPr>
          <w:rFonts w:ascii="Arial Narrow" w:hAnsi="Arial Narrow"/>
          <w:sz w:val="22"/>
          <w:szCs w:val="22"/>
        </w:rPr>
      </w:pPr>
    </w:p>
    <w:p w14:paraId="36C5BA93" w14:textId="77777777" w:rsidR="00E3636E" w:rsidRPr="00E3636E" w:rsidRDefault="00E3636E" w:rsidP="006E25C5">
      <w:pPr>
        <w:spacing w:line="276" w:lineRule="auto"/>
        <w:jc w:val="both"/>
        <w:rPr>
          <w:rFonts w:ascii="Arial Narrow" w:hAnsi="Arial Narrow"/>
          <w:sz w:val="22"/>
          <w:szCs w:val="22"/>
        </w:rPr>
      </w:pPr>
    </w:p>
    <w:p w14:paraId="5A93580B" w14:textId="77777777" w:rsidR="00E3636E" w:rsidRPr="00E3636E" w:rsidRDefault="00E3636E" w:rsidP="006E25C5">
      <w:pPr>
        <w:spacing w:line="276" w:lineRule="auto"/>
        <w:jc w:val="both"/>
        <w:rPr>
          <w:rFonts w:ascii="Arial Narrow" w:hAnsi="Arial Narrow"/>
          <w:sz w:val="22"/>
          <w:szCs w:val="22"/>
        </w:rPr>
      </w:pPr>
    </w:p>
    <w:p w14:paraId="61A57224" w14:textId="77777777" w:rsidR="00E3636E" w:rsidRPr="00E3636E" w:rsidRDefault="00E3636E" w:rsidP="006E25C5">
      <w:pPr>
        <w:spacing w:line="276" w:lineRule="auto"/>
        <w:jc w:val="both"/>
        <w:rPr>
          <w:rFonts w:ascii="Arial Narrow" w:hAnsi="Arial Narrow"/>
          <w:sz w:val="22"/>
          <w:szCs w:val="22"/>
        </w:rPr>
      </w:pPr>
    </w:p>
    <w:p w14:paraId="2318A83F" w14:textId="77777777" w:rsidR="00E3636E" w:rsidRPr="00E3636E" w:rsidRDefault="00E3636E" w:rsidP="006E25C5">
      <w:pPr>
        <w:spacing w:line="276" w:lineRule="auto"/>
        <w:jc w:val="both"/>
        <w:rPr>
          <w:rFonts w:ascii="Arial Narrow" w:hAnsi="Arial Narrow"/>
          <w:sz w:val="22"/>
          <w:szCs w:val="22"/>
        </w:rPr>
      </w:pPr>
    </w:p>
    <w:p w14:paraId="03FB3236" w14:textId="77777777" w:rsidR="00E3636E" w:rsidRPr="00E3636E" w:rsidRDefault="00E3636E" w:rsidP="006E25C5">
      <w:pPr>
        <w:spacing w:line="276" w:lineRule="auto"/>
        <w:jc w:val="both"/>
        <w:rPr>
          <w:rFonts w:ascii="Arial Narrow" w:hAnsi="Arial Narrow"/>
          <w:sz w:val="22"/>
          <w:szCs w:val="22"/>
        </w:rPr>
      </w:pPr>
    </w:p>
    <w:p w14:paraId="56C1F35E" w14:textId="77777777" w:rsidR="00E3636E" w:rsidRDefault="00E3636E" w:rsidP="006E25C5">
      <w:pPr>
        <w:spacing w:line="276" w:lineRule="auto"/>
        <w:jc w:val="both"/>
        <w:rPr>
          <w:rFonts w:ascii="Arial Narrow" w:hAnsi="Arial Narrow"/>
          <w:sz w:val="22"/>
          <w:szCs w:val="22"/>
          <w:lang w:val="en-US"/>
        </w:rPr>
      </w:pPr>
    </w:p>
    <w:p w14:paraId="04E76F38" w14:textId="77777777" w:rsidR="00DE66DB" w:rsidRDefault="00DE66DB" w:rsidP="006E25C5">
      <w:pPr>
        <w:spacing w:line="276" w:lineRule="auto"/>
        <w:jc w:val="both"/>
        <w:rPr>
          <w:rFonts w:ascii="Arial Narrow" w:hAnsi="Arial Narrow"/>
          <w:sz w:val="22"/>
          <w:szCs w:val="22"/>
          <w:lang w:val="en-US"/>
        </w:rPr>
      </w:pPr>
    </w:p>
    <w:p w14:paraId="1BF41FF0" w14:textId="77777777" w:rsidR="00DE66DB" w:rsidRDefault="00DE66DB" w:rsidP="006E25C5">
      <w:pPr>
        <w:spacing w:line="276" w:lineRule="auto"/>
        <w:jc w:val="both"/>
        <w:rPr>
          <w:rFonts w:ascii="Arial Narrow" w:hAnsi="Arial Narrow"/>
          <w:sz w:val="22"/>
          <w:szCs w:val="22"/>
          <w:lang w:val="en-US"/>
        </w:rPr>
      </w:pPr>
    </w:p>
    <w:p w14:paraId="039C8490" w14:textId="77777777" w:rsidR="00DE66DB" w:rsidRPr="00DE66DB" w:rsidRDefault="00DE66DB" w:rsidP="006E25C5">
      <w:pPr>
        <w:spacing w:line="276" w:lineRule="auto"/>
        <w:jc w:val="both"/>
        <w:rPr>
          <w:rFonts w:ascii="Arial Narrow" w:hAnsi="Arial Narrow"/>
          <w:sz w:val="22"/>
          <w:szCs w:val="22"/>
          <w:lang w:val="en-US"/>
        </w:rPr>
      </w:pPr>
    </w:p>
    <w:p w14:paraId="69A24E5D" w14:textId="77777777" w:rsidR="00E3636E" w:rsidRPr="00E3636E" w:rsidRDefault="00E3636E" w:rsidP="006E25C5">
      <w:pPr>
        <w:spacing w:line="276" w:lineRule="auto"/>
        <w:jc w:val="both"/>
        <w:rPr>
          <w:rFonts w:ascii="Arial Narrow" w:hAnsi="Arial Narrow"/>
          <w:sz w:val="22"/>
          <w:szCs w:val="22"/>
        </w:rPr>
      </w:pPr>
    </w:p>
    <w:p w14:paraId="12A5313C" w14:textId="77777777" w:rsidR="00E3636E" w:rsidRPr="00E3636E" w:rsidRDefault="00E3636E" w:rsidP="006E25C5">
      <w:pPr>
        <w:spacing w:line="276" w:lineRule="auto"/>
        <w:jc w:val="both"/>
        <w:rPr>
          <w:rFonts w:ascii="Arial Narrow" w:hAnsi="Arial Narrow"/>
          <w:sz w:val="22"/>
          <w:szCs w:val="22"/>
        </w:rPr>
      </w:pPr>
    </w:p>
    <w:p w14:paraId="2282340A" w14:textId="77777777" w:rsidR="00E3636E" w:rsidRPr="00DE66DB" w:rsidRDefault="00E3636E" w:rsidP="006E25C5">
      <w:pPr>
        <w:spacing w:line="276" w:lineRule="auto"/>
        <w:jc w:val="both"/>
        <w:rPr>
          <w:rFonts w:eastAsiaTheme="majorEastAsia" w:cstheme="majorBidi"/>
          <w:color w:val="0F4761" w:themeColor="accent1" w:themeShade="BF"/>
        </w:rPr>
      </w:pPr>
      <w:r w:rsidRPr="00DE66DB">
        <w:rPr>
          <w:rFonts w:eastAsiaTheme="majorEastAsia" w:cstheme="majorBidi"/>
          <w:color w:val="0F4761" w:themeColor="accent1" w:themeShade="BF"/>
        </w:rPr>
        <w:lastRenderedPageBreak/>
        <w:t>Bibliografía</w:t>
      </w:r>
    </w:p>
    <w:p w14:paraId="78132724" w14:textId="6F3733B9"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 xml:space="preserve">Colorado, J. C. (2025, 1 de abril). Los embalses aún no recuperan sus niveles tras casi un año de racionamiento de agua. La República. </w:t>
      </w:r>
      <w:hyperlink r:id="rId4" w:history="1">
        <w:r w:rsidRPr="00E3636E">
          <w:rPr>
            <w:rStyle w:val="Hyperlink"/>
            <w:rFonts w:ascii="Arial Narrow" w:hAnsi="Arial Narrow"/>
            <w:sz w:val="22"/>
            <w:szCs w:val="22"/>
          </w:rPr>
          <w:t>https://www.larepublica.co/economia/los-embalses-aun-no-recuperan-sus-niveles-tras-casi-un-ano-de-racionamiento-de-agua-4099412</w:t>
        </w:r>
      </w:hyperlink>
    </w:p>
    <w:p w14:paraId="4B451093" w14:textId="23644F03"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 xml:space="preserve">Colorado, J. C. (2026, 9 de febrero). La pelea entre el Gobierno y las generadoras por botar el agua de las hidroeléctricas. La República. </w:t>
      </w:r>
      <w:hyperlink r:id="rId5" w:history="1">
        <w:r w:rsidRPr="00E3636E">
          <w:rPr>
            <w:rStyle w:val="Hyperlink"/>
            <w:rFonts w:ascii="Arial Narrow" w:hAnsi="Arial Narrow"/>
            <w:sz w:val="22"/>
            <w:szCs w:val="22"/>
          </w:rPr>
          <w:t>https://www.larepublica.co/economia/embalse-urra-aumenta-descargas-al-rio-sinu-en-medio-de-maximos-de-llenado-de-109-4322802</w:t>
        </w:r>
      </w:hyperlink>
    </w:p>
    <w:p w14:paraId="1F00106D" w14:textId="2CB654EF" w:rsidR="00E3636E" w:rsidRPr="00DE66DB" w:rsidRDefault="00E3636E" w:rsidP="006E25C5">
      <w:pPr>
        <w:spacing w:line="276" w:lineRule="auto"/>
        <w:jc w:val="both"/>
        <w:rPr>
          <w:rFonts w:ascii="Arial Narrow" w:hAnsi="Arial Narrow"/>
          <w:sz w:val="22"/>
          <w:szCs w:val="22"/>
          <w:lang w:val="en-US"/>
        </w:rPr>
      </w:pPr>
      <w:r w:rsidRPr="00E3636E">
        <w:rPr>
          <w:rFonts w:ascii="Arial Narrow" w:hAnsi="Arial Narrow"/>
          <w:sz w:val="22"/>
          <w:szCs w:val="22"/>
        </w:rPr>
        <w:t xml:space="preserve">García-Delgado, H., Machuca, S., &amp; Medina, E. (2019). Dynamic and geomorphic characterizations of the Mocoa debris flow (March 31, 2017, Putumayo Department, southern Colombia). Landslides, 16(3), 597–609. </w:t>
      </w:r>
      <w:hyperlink r:id="rId6" w:history="1">
        <w:r w:rsidRPr="00E3636E">
          <w:rPr>
            <w:rStyle w:val="Hyperlink"/>
            <w:rFonts w:ascii="Arial Narrow" w:hAnsi="Arial Narrow"/>
            <w:sz w:val="22"/>
            <w:szCs w:val="22"/>
          </w:rPr>
          <w:t>https://doi.org/10.1007/s10346-018-01121-3</w:t>
        </w:r>
      </w:hyperlink>
    </w:p>
    <w:p w14:paraId="64A14F30" w14:textId="165ED6E7" w:rsidR="00E3636E" w:rsidRPr="00E3636E" w:rsidRDefault="00E3636E" w:rsidP="006E25C5">
      <w:pPr>
        <w:spacing w:line="276" w:lineRule="auto"/>
        <w:jc w:val="both"/>
        <w:rPr>
          <w:rFonts w:ascii="Arial Narrow" w:hAnsi="Arial Narrow"/>
          <w:sz w:val="22"/>
          <w:szCs w:val="22"/>
          <w:lang w:val="en-US"/>
        </w:rPr>
      </w:pPr>
      <w:r w:rsidRPr="00E3636E">
        <w:rPr>
          <w:rFonts w:ascii="Arial Narrow" w:hAnsi="Arial Narrow"/>
          <w:sz w:val="22"/>
          <w:szCs w:val="22"/>
        </w:rPr>
        <w:t xml:space="preserve">Rodríguez-Espinosa, C. A., Valencia, C. F., Ramírez, C. G., &amp; Valencia, C. D. (2025). Dynamic effect of climate change on flood damage cost in the Andean region of Colombia using an ARDL-ECM model and climate change projections. Sustainable Cities and Society, 125. </w:t>
      </w:r>
      <w:hyperlink r:id="rId7" w:history="1">
        <w:r w:rsidRPr="00E3636E">
          <w:rPr>
            <w:rStyle w:val="Hyperlink"/>
            <w:rFonts w:ascii="Arial Narrow" w:hAnsi="Arial Narrow"/>
            <w:sz w:val="22"/>
            <w:szCs w:val="22"/>
          </w:rPr>
          <w:t>https://doi.org/10.1016/j.scs.2025.106309</w:t>
        </w:r>
      </w:hyperlink>
    </w:p>
    <w:p w14:paraId="2D3D7A39" w14:textId="3EBDF343" w:rsidR="00E3636E" w:rsidRPr="00E3636E" w:rsidRDefault="00E3636E" w:rsidP="006E25C5">
      <w:pPr>
        <w:spacing w:line="276" w:lineRule="auto"/>
        <w:jc w:val="both"/>
        <w:rPr>
          <w:rFonts w:ascii="Arial Narrow" w:hAnsi="Arial Narrow"/>
          <w:sz w:val="22"/>
          <w:szCs w:val="22"/>
        </w:rPr>
      </w:pPr>
      <w:r w:rsidRPr="00E3636E">
        <w:rPr>
          <w:rFonts w:ascii="Arial Narrow" w:hAnsi="Arial Narrow"/>
          <w:sz w:val="22"/>
          <w:szCs w:val="22"/>
        </w:rPr>
        <w:t xml:space="preserve">United Nations, Department of Economic and Social Affairs, Population Division. 2022. World Population Prospects 2022: Summary of Results. New York: United Nations. </w:t>
      </w:r>
      <w:hyperlink r:id="rId8" w:history="1">
        <w:r w:rsidRPr="00E3636E">
          <w:rPr>
            <w:rStyle w:val="Hyperlink"/>
            <w:rFonts w:ascii="Arial Narrow" w:hAnsi="Arial Narrow"/>
            <w:sz w:val="22"/>
            <w:szCs w:val="22"/>
          </w:rPr>
          <w:t>https://www.un.org/development/desa/pd/sites/www.un.org.development.desa.pd/files/wpp2022_summary_of_results.pdf</w:t>
        </w:r>
      </w:hyperlink>
    </w:p>
    <w:p w14:paraId="4A82EC8B" w14:textId="24099DEC" w:rsidR="00E3636E" w:rsidRPr="00DE66DB" w:rsidRDefault="00E3636E" w:rsidP="006E25C5">
      <w:pPr>
        <w:spacing w:line="276" w:lineRule="auto"/>
        <w:jc w:val="both"/>
        <w:rPr>
          <w:rFonts w:ascii="Arial Narrow" w:hAnsi="Arial Narrow"/>
          <w:sz w:val="22"/>
          <w:szCs w:val="22"/>
          <w:lang w:val="en-US"/>
        </w:rPr>
      </w:pPr>
      <w:r w:rsidRPr="00E3636E">
        <w:rPr>
          <w:rFonts w:ascii="Arial Narrow" w:hAnsi="Arial Narrow"/>
          <w:sz w:val="22"/>
          <w:szCs w:val="22"/>
        </w:rPr>
        <w:t xml:space="preserve">Universidad Nacional de Colombia. (2023). Plan Estratégico Institucional 2034. Universidad Nacional de Colombia. </w:t>
      </w:r>
      <w:hyperlink r:id="rId9" w:history="1">
        <w:r w:rsidRPr="00E3636E">
          <w:rPr>
            <w:rStyle w:val="Hyperlink"/>
            <w:rFonts w:ascii="Arial Narrow" w:hAnsi="Arial Narrow"/>
            <w:sz w:val="22"/>
            <w:szCs w:val="22"/>
          </w:rPr>
          <w:t>https://plei2034.unal.edu.co/</w:t>
        </w:r>
      </w:hyperlink>
    </w:p>
    <w:p w14:paraId="1D5BAB09" w14:textId="1FFC1D36" w:rsidR="00E3636E" w:rsidRPr="00DE66DB" w:rsidRDefault="00E3636E" w:rsidP="006E25C5">
      <w:pPr>
        <w:spacing w:line="276" w:lineRule="auto"/>
        <w:jc w:val="both"/>
        <w:rPr>
          <w:rFonts w:ascii="Arial Narrow" w:hAnsi="Arial Narrow"/>
          <w:sz w:val="22"/>
          <w:szCs w:val="22"/>
          <w:lang w:val="en-US"/>
        </w:rPr>
      </w:pPr>
      <w:r w:rsidRPr="00E3636E">
        <w:rPr>
          <w:rFonts w:ascii="Arial Narrow" w:hAnsi="Arial Narrow"/>
          <w:sz w:val="22"/>
          <w:szCs w:val="22"/>
        </w:rPr>
        <w:t xml:space="preserve">Velásquez, N., Hoyos, C. D., Vélez, J. I., &amp; Zapata, E. (2020). Reconstructing the 2015 Salgar flash flood using radar retrievals and a conceptual modeling framework in an ungauged basin. Hydrology and Earth System Sciences, 24(3), 1367–1392. </w:t>
      </w:r>
      <w:hyperlink r:id="rId10" w:history="1">
        <w:r w:rsidRPr="00E3636E">
          <w:rPr>
            <w:rStyle w:val="Hyperlink"/>
            <w:rFonts w:ascii="Arial Narrow" w:hAnsi="Arial Narrow"/>
            <w:sz w:val="22"/>
            <w:szCs w:val="22"/>
          </w:rPr>
          <w:t>https://doi.org/10.5194/hess-24-1367-2020</w:t>
        </w:r>
      </w:hyperlink>
    </w:p>
    <w:p w14:paraId="7793F07A" w14:textId="77777777" w:rsidR="00E3636E" w:rsidRPr="00E3636E" w:rsidRDefault="00E3636E" w:rsidP="006E25C5">
      <w:pPr>
        <w:spacing w:line="276" w:lineRule="auto"/>
        <w:jc w:val="both"/>
        <w:rPr>
          <w:rFonts w:ascii="Arial Narrow" w:hAnsi="Arial Narrow"/>
          <w:sz w:val="22"/>
          <w:szCs w:val="22"/>
          <w:lang w:val="en-US"/>
        </w:rPr>
      </w:pPr>
    </w:p>
    <w:p w14:paraId="1BF33644" w14:textId="77777777" w:rsidR="00F51ECF" w:rsidRPr="00E3636E" w:rsidRDefault="00F51ECF" w:rsidP="006E25C5">
      <w:pPr>
        <w:spacing w:line="276" w:lineRule="auto"/>
        <w:jc w:val="both"/>
        <w:rPr>
          <w:rFonts w:ascii="Arial Narrow" w:hAnsi="Arial Narrow"/>
          <w:sz w:val="22"/>
          <w:szCs w:val="22"/>
        </w:rPr>
      </w:pPr>
    </w:p>
    <w:sectPr w:rsidR="00F51ECF" w:rsidRPr="00E363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ECF"/>
    <w:rsid w:val="00383359"/>
    <w:rsid w:val="006E25C5"/>
    <w:rsid w:val="00D27EDF"/>
    <w:rsid w:val="00DE66DB"/>
    <w:rsid w:val="00DE7CDD"/>
    <w:rsid w:val="00E3636E"/>
    <w:rsid w:val="00F51EC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1F84A"/>
  <w15:chartTrackingRefBased/>
  <w15:docId w15:val="{03EA7764-1E4F-4ACB-807F-A689995BA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E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1E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1E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1E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1E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1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1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1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1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E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1E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1E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1E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1E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1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1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1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1ECF"/>
    <w:rPr>
      <w:rFonts w:eastAsiaTheme="majorEastAsia" w:cstheme="majorBidi"/>
      <w:color w:val="272727" w:themeColor="text1" w:themeTint="D8"/>
    </w:rPr>
  </w:style>
  <w:style w:type="paragraph" w:styleId="Title">
    <w:name w:val="Title"/>
    <w:basedOn w:val="Normal"/>
    <w:next w:val="Normal"/>
    <w:link w:val="TitleChar"/>
    <w:uiPriority w:val="10"/>
    <w:qFormat/>
    <w:rsid w:val="00F51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1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1ECF"/>
    <w:pPr>
      <w:spacing w:before="160"/>
      <w:jc w:val="center"/>
    </w:pPr>
    <w:rPr>
      <w:i/>
      <w:iCs/>
      <w:color w:val="404040" w:themeColor="text1" w:themeTint="BF"/>
    </w:rPr>
  </w:style>
  <w:style w:type="character" w:customStyle="1" w:styleId="QuoteChar">
    <w:name w:val="Quote Char"/>
    <w:basedOn w:val="DefaultParagraphFont"/>
    <w:link w:val="Quote"/>
    <w:uiPriority w:val="29"/>
    <w:rsid w:val="00F51ECF"/>
    <w:rPr>
      <w:i/>
      <w:iCs/>
      <w:color w:val="404040" w:themeColor="text1" w:themeTint="BF"/>
    </w:rPr>
  </w:style>
  <w:style w:type="paragraph" w:styleId="ListParagraph">
    <w:name w:val="List Paragraph"/>
    <w:basedOn w:val="Normal"/>
    <w:uiPriority w:val="34"/>
    <w:qFormat/>
    <w:rsid w:val="00F51ECF"/>
    <w:pPr>
      <w:ind w:left="720"/>
      <w:contextualSpacing/>
    </w:pPr>
  </w:style>
  <w:style w:type="character" w:styleId="IntenseEmphasis">
    <w:name w:val="Intense Emphasis"/>
    <w:basedOn w:val="DefaultParagraphFont"/>
    <w:uiPriority w:val="21"/>
    <w:qFormat/>
    <w:rsid w:val="00F51ECF"/>
    <w:rPr>
      <w:i/>
      <w:iCs/>
      <w:color w:val="0F4761" w:themeColor="accent1" w:themeShade="BF"/>
    </w:rPr>
  </w:style>
  <w:style w:type="paragraph" w:styleId="IntenseQuote">
    <w:name w:val="Intense Quote"/>
    <w:basedOn w:val="Normal"/>
    <w:next w:val="Normal"/>
    <w:link w:val="IntenseQuoteChar"/>
    <w:uiPriority w:val="30"/>
    <w:qFormat/>
    <w:rsid w:val="00F51E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1ECF"/>
    <w:rPr>
      <w:i/>
      <w:iCs/>
      <w:color w:val="0F4761" w:themeColor="accent1" w:themeShade="BF"/>
    </w:rPr>
  </w:style>
  <w:style w:type="character" w:styleId="IntenseReference">
    <w:name w:val="Intense Reference"/>
    <w:basedOn w:val="DefaultParagraphFont"/>
    <w:uiPriority w:val="32"/>
    <w:qFormat/>
    <w:rsid w:val="00F51ECF"/>
    <w:rPr>
      <w:b/>
      <w:bCs/>
      <w:smallCaps/>
      <w:color w:val="0F4761" w:themeColor="accent1" w:themeShade="BF"/>
      <w:spacing w:val="5"/>
    </w:rPr>
  </w:style>
  <w:style w:type="character" w:styleId="Hyperlink">
    <w:name w:val="Hyperlink"/>
    <w:basedOn w:val="DefaultParagraphFont"/>
    <w:uiPriority w:val="99"/>
    <w:unhideWhenUsed/>
    <w:rsid w:val="00E3636E"/>
    <w:rPr>
      <w:color w:val="467886" w:themeColor="hyperlink"/>
      <w:u w:val="single"/>
    </w:rPr>
  </w:style>
  <w:style w:type="character" w:styleId="UnresolvedMention">
    <w:name w:val="Unresolved Mention"/>
    <w:basedOn w:val="DefaultParagraphFont"/>
    <w:uiPriority w:val="99"/>
    <w:semiHidden/>
    <w:unhideWhenUsed/>
    <w:rsid w:val="00E363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development/desa/pd/sites/www.un.org.development.desa.pd/files/wpp2022_summary_of_results.pdf" TargetMode="External"/><Relationship Id="rId3" Type="http://schemas.openxmlformats.org/officeDocument/2006/relationships/webSettings" Target="webSettings.xml"/><Relationship Id="rId7" Type="http://schemas.openxmlformats.org/officeDocument/2006/relationships/hyperlink" Target="https://doi.org/10.1016/j.scs.2025.10630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0346-018-01121-3" TargetMode="External"/><Relationship Id="rId11" Type="http://schemas.openxmlformats.org/officeDocument/2006/relationships/fontTable" Target="fontTable.xml"/><Relationship Id="rId5" Type="http://schemas.openxmlformats.org/officeDocument/2006/relationships/hyperlink" Target="https://www.larepublica.co/economia/embalse-urra-aumenta-descargas-al-rio-sinu-en-medio-de-maximos-de-llenado-de-109-4322802" TargetMode="External"/><Relationship Id="rId10" Type="http://schemas.openxmlformats.org/officeDocument/2006/relationships/hyperlink" Target="https://doi.org/10.5194/hess-24-1367-2020" TargetMode="External"/><Relationship Id="rId4" Type="http://schemas.openxmlformats.org/officeDocument/2006/relationships/hyperlink" Target="https://www.larepublica.co/economia/los-embalses-aun-no-recuperan-sus-niveles-tras-casi-un-ano-de-racionamiento-de-agua-4099412" TargetMode="External"/><Relationship Id="rId9" Type="http://schemas.openxmlformats.org/officeDocument/2006/relationships/hyperlink" Target="https://plei2034.unal.edu.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3196</Words>
  <Characters>19437</Characters>
  <Application>Microsoft Office Word</Application>
  <DocSecurity>0</DocSecurity>
  <Lines>246</Lines>
  <Paragraphs>45</Paragraphs>
  <ScaleCrop>false</ScaleCrop>
  <Company/>
  <LinksUpToDate>false</LinksUpToDate>
  <CharactersWithSpaces>22588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Mauricio Arboleda Zapata</dc:creator>
  <cp:keywords/>
  <dc:description/>
  <cp:lastModifiedBy>Mauricio Arboleda Zapata</cp:lastModifiedBy>
  <cp:revision>7</cp:revision>
  <dcterms:created xsi:type="dcterms:W3CDTF">2026-02-15T19:20:00Z</dcterms:created>
  <dcterms:modified xsi:type="dcterms:W3CDTF">2026-02-15T19:25:00Z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2ecc685f-8607-4373-b1ca-9b8955bed74a</vt:lpwstr>
  </property>
</Properties>
</file>