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spacing w:lineRule="auto" w:line="276" w:before="0" w:after="0"/>
        <w:jc w:val="center"/>
        <w:rPr/>
      </w:pPr>
      <w:r>
        <w:rPr>
          <w:rStyle w:val="StrongEmphasis"/>
          <w:rFonts w:ascii="Arial Narrow" w:hAnsi="Arial Narrow"/>
          <w:b/>
          <w:sz w:val="22"/>
          <w:szCs w:val="22"/>
          <w:lang w:val="es-CO"/>
        </w:rPr>
        <w:t>Ensayo perfil E4</w:t>
      </w:r>
    </w:p>
    <w:p>
      <w:pPr>
        <w:pStyle w:val="Heading2"/>
        <w:spacing w:lineRule="auto" w:line="276" w:before="0" w:after="0"/>
        <w:jc w:val="center"/>
        <w:rPr/>
      </w:pPr>
      <w:r>
        <w:rPr>
          <w:rStyle w:val="StrongEmphasis"/>
          <w:rFonts w:ascii="Arial Narrow" w:hAnsi="Arial Narrow"/>
          <w:b/>
          <w:sz w:val="22"/>
          <w:szCs w:val="22"/>
          <w:lang w:val="es-CO"/>
        </w:rPr>
        <w:br/>
      </w:r>
      <w:r>
        <w:rPr>
          <w:rStyle w:val="StrongEmphasis"/>
          <w:rFonts w:eastAsia="Noto Serif CJK SC" w:ascii="Arial Narrow" w:hAnsi="Arial Narrow"/>
          <w:b/>
          <w:sz w:val="22"/>
          <w:szCs w:val="22"/>
          <w:lang w:val="es-CO"/>
        </w:rPr>
        <w:t>Título:</w:t>
      </w:r>
      <w:r>
        <w:rPr>
          <w:rStyle w:val="StrongEmphasis"/>
          <w:rFonts w:eastAsia="Noto Serif CJK SC" w:ascii="Arial Narrow" w:hAnsi="Arial Narrow"/>
          <w:b w:val="false"/>
          <w:bCs w:val="false"/>
          <w:sz w:val="22"/>
          <w:szCs w:val="22"/>
          <w:lang w:val="es-CO"/>
        </w:rPr>
        <w:t xml:space="preserve"> Modelación Física y Numérica de Sistemas Fluviales y Costeros: Aportes para la Gestión del Riesgo y el Diseño de Infraestructura Sostenible.</w:t>
      </w:r>
    </w:p>
    <w:p>
      <w:pPr>
        <w:pStyle w:val="TextBody"/>
        <w:spacing w:lineRule="auto" w:line="276" w:before="0" w:after="0"/>
        <w:jc w:val="center"/>
        <w:rPr>
          <w:rFonts w:ascii="Arial Narrow" w:hAnsi="Arial Narrow" w:eastAsia="Noto Serif CJK SC"/>
          <w:b w:val="false"/>
          <w:b w:val="false"/>
          <w:bCs w:val="false"/>
          <w:sz w:val="22"/>
          <w:szCs w:val="22"/>
          <w:lang w:val="es-CO"/>
        </w:rPr>
      </w:pPr>
      <w:r>
        <w:rPr>
          <w:rFonts w:eastAsia="Noto Serif CJK SC" w:ascii="Arial Narrow" w:hAnsi="Arial Narrow"/>
          <w:b w:val="false"/>
          <w:bCs w:val="false"/>
          <w:sz w:val="22"/>
          <w:szCs w:val="22"/>
          <w:lang w:val="es-CO"/>
        </w:rPr>
      </w:r>
    </w:p>
    <w:p>
      <w:pPr>
        <w:pStyle w:val="TextBody"/>
        <w:spacing w:lineRule="auto" w:line="276" w:before="0" w:after="0"/>
        <w:jc w:val="left"/>
        <w:rPr/>
      </w:pPr>
      <w:r>
        <w:rPr>
          <w:rStyle w:val="StrongEmphasis"/>
          <w:rFonts w:ascii="Arial Narrow" w:hAnsi="Arial Narrow"/>
          <w:sz w:val="22"/>
          <w:szCs w:val="22"/>
          <w:lang w:val="es-CO"/>
        </w:rPr>
        <w:t>Por: Mario Germ</w:t>
      </w:r>
      <w:r>
        <w:rPr>
          <w:rStyle w:val="StrongEmphasis"/>
          <w:rFonts w:ascii="Arial Narrow" w:hAnsi="Arial Narrow"/>
          <w:b/>
          <w:bCs/>
          <w:sz w:val="22"/>
          <w:szCs w:val="22"/>
          <w:lang w:val="es-CO"/>
        </w:rPr>
        <w:t>á</w:t>
      </w:r>
      <w:r>
        <w:rPr>
          <w:rStyle w:val="StrongEmphasis"/>
          <w:rFonts w:ascii="Arial Narrow" w:hAnsi="Arial Narrow"/>
          <w:sz w:val="22"/>
          <w:szCs w:val="22"/>
          <w:lang w:val="es-CO"/>
        </w:rPr>
        <w:t>n Trujillo-Vela</w:t>
      </w:r>
    </w:p>
    <w:p>
      <w:pPr>
        <w:pStyle w:val="TextBody"/>
        <w:spacing w:lineRule="auto" w:line="276" w:before="0" w:after="0"/>
        <w:jc w:val="left"/>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a) Justificación</w:t>
      </w:r>
    </w:p>
    <w:p>
      <w:pPr>
        <w:pStyle w:val="TextBody"/>
        <w:spacing w:lineRule="auto" w:line="276" w:before="0" w:after="0"/>
        <w:jc w:val="both"/>
        <w:rPr>
          <w:lang w:val="es-CO"/>
        </w:rPr>
      </w:pPr>
      <w:r>
        <w:rPr>
          <w:lang w:val="es-CO"/>
        </w:rPr>
      </w:r>
    </w:p>
    <w:p>
      <w:pPr>
        <w:pStyle w:val="TextBody"/>
        <w:spacing w:lineRule="auto" w:line="276" w:before="0" w:after="0"/>
        <w:jc w:val="both"/>
        <w:rPr>
          <w:rFonts w:ascii="Arial Narrow" w:hAnsi="Arial Narrow"/>
          <w:sz w:val="22"/>
          <w:szCs w:val="22"/>
        </w:rPr>
      </w:pPr>
      <w:r>
        <w:rPr>
          <w:rFonts w:ascii="Arial Narrow" w:hAnsi="Arial Narrow"/>
          <w:sz w:val="22"/>
          <w:szCs w:val="22"/>
          <w:lang w:val="es-CO"/>
        </w:rPr>
        <w:t>Los ríos de montaña en Colombia concentran una parte significativa de la infraestructura vial estratégica del país, incluyendo carreteras principales, dobles calzadas y puentes que acompañan valles estrechos y laderas inestables. En estos contextos, la interacción entre procesos hidrológicos intensos, dinámica fluvial, transporte de sedimentos y remoción en masa da lugar a amenazas como flujos de detritos, crecientes repentinas, erosión lateral y socavación que comprometen la integridad de la infraestructura y la seguridad de las comunidades. El diseño, operación y mantenimiento de obras en ríos de montaña requiere, por tanto, combinar la hidráulica fluvial clásica con metodologías avanzadas de modelación de flujos multifase y procesos gravitacionales.</w:t>
      </w:r>
    </w:p>
    <w:p>
      <w:pPr>
        <w:pStyle w:val="TextBody"/>
        <w:spacing w:lineRule="auto" w:line="276" w:before="0" w:after="0"/>
        <w:jc w:val="both"/>
        <w:rPr>
          <w:rFonts w:ascii="Arial Narrow" w:hAnsi="Arial Narrow"/>
          <w:sz w:val="22"/>
          <w:szCs w:val="22"/>
        </w:rPr>
      </w:pPr>
      <w:r>
        <w:rPr/>
      </w:r>
    </w:p>
    <w:p>
      <w:pPr>
        <w:pStyle w:val="TextBody"/>
        <w:spacing w:lineRule="auto" w:line="276" w:before="0" w:after="0"/>
        <w:jc w:val="both"/>
        <w:rPr/>
      </w:pPr>
      <w:r>
        <w:rPr>
          <w:rFonts w:ascii="Arial Narrow" w:hAnsi="Arial Narrow"/>
          <w:sz w:val="22"/>
          <w:szCs w:val="22"/>
          <w:lang w:val="es-CO"/>
        </w:rPr>
        <w:t xml:space="preserve">La hidráulica de ríos y la ingeniería costera han evolucionado hacia un enfoque integrado que combina la experimentación física en laboratorio con la modelación numérica de alta resolución. Mi trayectoria investigativa, centrada en la modelación multifase de flujos complejos (e.g., deslizamientos, flujos de detritos y avalanchas granulares) y el desarrollo y uso de acoplamientos numéricos innovadores (e.g., métodos espectrales, SPH-DEM), me ha dotado de herramientas conceptuales y computacionales para abordar estos desafíos. Adicionalmente, he contribuido a la elaboración de manuales técnicos como el </w:t>
      </w:r>
      <w:r>
        <w:rPr>
          <w:rStyle w:val="Emphasis"/>
          <w:rFonts w:ascii="Arial Narrow" w:hAnsi="Arial Narrow"/>
          <w:sz w:val="22"/>
          <w:szCs w:val="22"/>
          <w:lang w:val="es-CO"/>
        </w:rPr>
        <w:t>Manual de Estabilidad de Taludes</w:t>
      </w:r>
      <w:r>
        <w:rPr>
          <w:rFonts w:ascii="Arial Narrow" w:hAnsi="Arial Narrow"/>
          <w:sz w:val="22"/>
          <w:szCs w:val="22"/>
          <w:lang w:val="es-CO"/>
        </w:rPr>
        <w:t xml:space="preserve"> (</w:t>
      </w:r>
      <w:r>
        <w:rPr>
          <w:rFonts w:ascii="Arial Narrow" w:hAnsi="Arial Narrow"/>
          <w:b w:val="false"/>
          <w:bCs w:val="false"/>
          <w:sz w:val="22"/>
          <w:szCs w:val="22"/>
          <w:lang w:val="es-CO"/>
        </w:rPr>
        <w:t>Jiménez-Ochoa</w:t>
      </w:r>
      <w:r>
        <w:rPr>
          <w:rFonts w:ascii="Arial Narrow" w:hAnsi="Arial Narrow"/>
          <w:sz w:val="22"/>
          <w:szCs w:val="22"/>
          <w:lang w:val="es-CO"/>
        </w:rPr>
        <w:t xml:space="preserve"> et al., 2025) y el </w:t>
      </w:r>
      <w:r>
        <w:rPr>
          <w:rStyle w:val="Emphasis"/>
          <w:rFonts w:ascii="Arial Narrow" w:hAnsi="Arial Narrow"/>
          <w:sz w:val="22"/>
          <w:szCs w:val="22"/>
          <w:lang w:val="es-CO"/>
        </w:rPr>
        <w:t>Manual de análisis y diseño geotécnico de cimentaciones para obras de infraestructura carretera en Colombia</w:t>
      </w:r>
      <w:r>
        <w:rPr>
          <w:rStyle w:val="Emphasis"/>
          <w:rFonts w:ascii="Arial Narrow" w:hAnsi="Arial Narrow"/>
          <w:i w:val="false"/>
          <w:iCs w:val="false"/>
          <w:sz w:val="22"/>
          <w:szCs w:val="22"/>
          <w:lang w:val="es-CO"/>
        </w:rPr>
        <w:t xml:space="preserve"> (en elaboración)</w:t>
      </w:r>
      <w:r>
        <w:rPr>
          <w:rFonts w:ascii="Arial Narrow" w:hAnsi="Arial Narrow"/>
          <w:sz w:val="22"/>
          <w:szCs w:val="22"/>
          <w:lang w:val="es-CO"/>
        </w:rPr>
        <w:t>, ambos del INVÍAS, lo que me ha permitido integrar la perspectiva geotécnica en el análisis de amenazas fluviales que afectan la infraestructura de transporte</w:t>
      </w:r>
      <w:r>
        <w:rPr>
          <w:rStyle w:val="StrongEmphasis"/>
          <w:rFonts w:ascii="Arial Narrow" w:hAnsi="Arial Narrow"/>
          <w:b w:val="false"/>
          <w:bCs w:val="false"/>
          <w:sz w:val="22"/>
          <w:szCs w:val="22"/>
          <w:lang w:val="es-CO"/>
        </w:rPr>
        <w:t>, y me ha confrontado directamente con las necesidades reales del sector</w:t>
      </w:r>
      <w:r>
        <w:rPr>
          <w:rFonts w:ascii="Arial Narrow" w:hAnsi="Arial Narrow"/>
          <w:b w:val="false"/>
          <w:bCs w:val="false"/>
          <w:sz w:val="22"/>
          <w:szCs w:val="22"/>
          <w:lang w:val="es-CO"/>
        </w:rPr>
        <w:t>.</w:t>
      </w:r>
    </w:p>
    <w:p>
      <w:pPr>
        <w:pStyle w:val="TextBody"/>
        <w:spacing w:lineRule="auto" w:line="276" w:before="0" w:after="0"/>
        <w:jc w:val="both"/>
        <w:rPr>
          <w:rFonts w:ascii="Arial Narrow" w:hAnsi="Arial Narrow"/>
          <w:b w:val="false"/>
          <w:b w:val="false"/>
          <w:bCs w:val="false"/>
          <w:sz w:val="22"/>
          <w:szCs w:val="22"/>
          <w:lang w:val="es-CO"/>
        </w:rPr>
      </w:pPr>
      <w:r>
        <w:rPr/>
      </w:r>
    </w:p>
    <w:p>
      <w:pPr>
        <w:pStyle w:val="TextBody"/>
        <w:spacing w:lineRule="auto" w:line="276" w:before="0" w:after="0"/>
        <w:jc w:val="both"/>
        <w:rPr>
          <w:rFonts w:ascii="Arial Narrow" w:hAnsi="Arial Narrow"/>
          <w:sz w:val="22"/>
          <w:szCs w:val="22"/>
        </w:rPr>
      </w:pPr>
      <w:r>
        <w:rPr>
          <w:rFonts w:ascii="Arial Narrow" w:hAnsi="Arial Narrow"/>
          <w:sz w:val="22"/>
          <w:szCs w:val="22"/>
          <w:lang w:val="es-CO"/>
        </w:rPr>
        <w:t>Considero que, en el marco de la Universidad Nacional de Colombia, esta experiencia puede traducirse en una contribución relevante a la formación de ingenieros capaces de analizar y diseñar obras hidráulicas en ríos de montaña con una visión integral de riesgo, en la consolidación de líneas de investigación en morfodinámica fluvial y procesos torrenciales, y en la generación de capacidades aplicadas para entidades responsables de la infraestructura vial y de la gestión del riesgo en el país.</w:t>
      </w:r>
    </w:p>
    <w:p>
      <w:pPr>
        <w:pStyle w:val="TextBody"/>
        <w:spacing w:lineRule="auto" w:line="276" w:before="0" w:after="0"/>
        <w:jc w:val="both"/>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b) Objetivos</w:t>
      </w:r>
    </w:p>
    <w:p>
      <w:pPr>
        <w:pStyle w:val="TextBody"/>
        <w:spacing w:lineRule="auto" w:line="276" w:before="0" w:after="0"/>
        <w:jc w:val="both"/>
        <w:rPr>
          <w:rStyle w:val="StrongEmphasis"/>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Objetivo general</w:t>
      </w:r>
    </w:p>
    <w:p>
      <w:pPr>
        <w:pStyle w:val="TextBody"/>
        <w:spacing w:lineRule="auto" w:line="276" w:before="0" w:after="0"/>
        <w:jc w:val="both"/>
        <w:rPr>
          <w:lang w:val="es-CO"/>
        </w:rPr>
      </w:pPr>
      <w:r>
        <w:rPr>
          <w:lang w:val="es-CO"/>
        </w:rPr>
      </w:r>
    </w:p>
    <w:p>
      <w:pPr>
        <w:pStyle w:val="TextBody"/>
        <w:spacing w:lineRule="auto" w:line="276" w:before="0" w:after="0"/>
        <w:jc w:val="both"/>
        <w:rPr>
          <w:rFonts w:ascii="Arial Narrow" w:hAnsi="Arial Narrow"/>
          <w:sz w:val="22"/>
          <w:szCs w:val="22"/>
        </w:rPr>
      </w:pPr>
      <w:r>
        <w:rPr>
          <w:rFonts w:ascii="Arial Narrow" w:hAnsi="Arial Narrow"/>
          <w:sz w:val="22"/>
          <w:szCs w:val="22"/>
          <w:lang w:val="es-CO"/>
        </w:rPr>
        <w:t>Desarrollar una línea académica e investigativa en hidráulica fluvial orientada al análisis y diseño de obras en ríos de montaña, fundamentada en la modelación avanzada de procesos fluviales y de remoción en masa que afectan la infraestructura vial y las comunidades.</w:t>
      </w:r>
    </w:p>
    <w:p>
      <w:pPr>
        <w:pStyle w:val="TextBody"/>
        <w:spacing w:lineRule="auto" w:line="276" w:before="0" w:after="0"/>
        <w:jc w:val="both"/>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Objetivos específicos</w:t>
      </w:r>
    </w:p>
    <w:p>
      <w:pPr>
        <w:pStyle w:val="TextBody"/>
        <w:numPr>
          <w:ilvl w:val="0"/>
          <w:numId w:val="1"/>
        </w:numPr>
        <w:tabs>
          <w:tab w:val="clear" w:pos="709"/>
          <w:tab w:val="left" w:pos="0" w:leader="none"/>
        </w:tabs>
        <w:spacing w:lineRule="auto" w:line="276" w:before="0" w:after="0"/>
        <w:ind w:left="709" w:hanging="283"/>
        <w:jc w:val="both"/>
        <w:rPr>
          <w:rFonts w:ascii="Arial Narrow" w:hAnsi="Arial Narrow"/>
          <w:sz w:val="22"/>
          <w:szCs w:val="22"/>
        </w:rPr>
      </w:pPr>
      <w:r>
        <w:rPr>
          <w:rFonts w:ascii="Arial Narrow" w:hAnsi="Arial Narrow"/>
          <w:sz w:val="22"/>
          <w:szCs w:val="22"/>
          <w:lang w:val="es-CO"/>
        </w:rPr>
        <w:t>Fortalecer la formación en hidráulica fluvial, morfodinámica de cauces y procesos torrenciales mediante cursos que integren teoría, modelación numérica y estudio de casos de ríos de montaña colombianos.</w:t>
      </w:r>
    </w:p>
    <w:p>
      <w:pPr>
        <w:pStyle w:val="TextBody"/>
        <w:numPr>
          <w:ilvl w:val="0"/>
          <w:numId w:val="1"/>
        </w:numPr>
        <w:tabs>
          <w:tab w:val="clear" w:pos="709"/>
          <w:tab w:val="left" w:pos="0" w:leader="none"/>
        </w:tabs>
        <w:spacing w:lineRule="auto" w:line="276" w:before="0" w:after="0"/>
        <w:ind w:left="709" w:hanging="283"/>
        <w:jc w:val="both"/>
        <w:rPr>
          <w:rFonts w:ascii="Arial Narrow" w:hAnsi="Arial Narrow"/>
          <w:sz w:val="22"/>
          <w:szCs w:val="22"/>
        </w:rPr>
      </w:pPr>
      <w:r>
        <w:rPr>
          <w:rFonts w:ascii="Arial Narrow" w:hAnsi="Arial Narrow"/>
          <w:sz w:val="22"/>
          <w:szCs w:val="22"/>
          <w:lang w:val="es-CO"/>
        </w:rPr>
        <w:t>Impulsar proyectos de investigación sobre flujos de detritos, crecientes repentinas y erosión fluvial que empleen esquemas numéricos avanzados para simular la interacción agua–sedimento–infraestructura.</w:t>
      </w:r>
    </w:p>
    <w:p>
      <w:pPr>
        <w:pStyle w:val="TextBody"/>
        <w:numPr>
          <w:ilvl w:val="0"/>
          <w:numId w:val="1"/>
        </w:numPr>
        <w:tabs>
          <w:tab w:val="clear" w:pos="709"/>
          <w:tab w:val="left" w:pos="0" w:leader="none"/>
        </w:tabs>
        <w:spacing w:lineRule="auto" w:line="276" w:before="0" w:after="0"/>
        <w:ind w:left="709" w:hanging="283"/>
        <w:jc w:val="both"/>
        <w:rPr>
          <w:rFonts w:ascii="Arial Narrow" w:hAnsi="Arial Narrow"/>
          <w:sz w:val="22"/>
          <w:szCs w:val="22"/>
        </w:rPr>
      </w:pPr>
      <w:r>
        <w:rPr>
          <w:rFonts w:ascii="Arial Narrow" w:hAnsi="Arial Narrow"/>
          <w:sz w:val="22"/>
          <w:szCs w:val="22"/>
          <w:lang w:val="es-CO"/>
        </w:rPr>
        <w:t>Desarrollar actividades de extensión orientadas a la transferencia de metodologías de análisis y diseño para la protección de infraestructura vial y de márgenes fluviales en contextos de alta amenaza.</w:t>
      </w:r>
    </w:p>
    <w:p>
      <w:pPr>
        <w:pStyle w:val="TextBody"/>
        <w:spacing w:lineRule="auto" w:line="276" w:before="0" w:after="0"/>
        <w:jc w:val="both"/>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c) Propuesta en el componente de docencia</w:t>
      </w:r>
    </w:p>
    <w:p>
      <w:pPr>
        <w:pStyle w:val="TextBody"/>
        <w:spacing w:lineRule="auto" w:line="276" w:before="0" w:after="0"/>
        <w:jc w:val="both"/>
        <w:rPr>
          <w:rStyle w:val="StrongEmphasis"/>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Preferencias de docencia</w:t>
      </w:r>
    </w:p>
    <w:p>
      <w:pPr>
        <w:pStyle w:val="TextBody"/>
        <w:spacing w:lineRule="auto" w:line="276" w:before="0" w:after="0"/>
        <w:jc w:val="both"/>
        <w:rPr>
          <w:lang w:val="es-CO"/>
        </w:rPr>
      </w:pPr>
      <w:r>
        <w:rPr>
          <w:lang w:val="es-CO"/>
        </w:rPr>
      </w:r>
    </w:p>
    <w:p>
      <w:pPr>
        <w:pStyle w:val="TextBody"/>
        <w:spacing w:lineRule="auto" w:line="276" w:before="0" w:after="0"/>
        <w:jc w:val="both"/>
        <w:rPr>
          <w:rFonts w:ascii="Arial Narrow" w:hAnsi="Arial Narrow"/>
          <w:sz w:val="22"/>
          <w:szCs w:val="22"/>
        </w:rPr>
      </w:pPr>
      <w:r>
        <w:rPr>
          <w:rFonts w:ascii="Arial Narrow" w:hAnsi="Arial Narrow"/>
          <w:sz w:val="22"/>
          <w:szCs w:val="22"/>
          <w:lang w:val="es-CO"/>
        </w:rPr>
        <w:t>Tengo las habilidades para enseñar asignaturas en diferentes áreas: (1) en el área de ciencias básicas de ingeniería como: Introducción a la Programación y Métodos Numéricos; (2) en el área de recursos hídricos como: Mecánica de Fluidos, Hidráulica de Flujo a Superficie Libre, Hidrología, Laboratorio de Hidráulica, entre otras; y (3) incluso en el área de geotecnia materias como: Mecánica de Suelos y Mecánica de Suelos Avanzada; esto gracias a la formación que he recibido en estas áreas también.</w:t>
      </w:r>
    </w:p>
    <w:p>
      <w:pPr>
        <w:pStyle w:val="TextBody"/>
        <w:spacing w:lineRule="auto" w:line="276" w:before="0" w:after="0"/>
        <w:jc w:val="both"/>
        <w:rPr>
          <w:rFonts w:ascii="Arial Narrow" w:hAnsi="Arial Narrow"/>
          <w:sz w:val="22"/>
          <w:szCs w:val="22"/>
        </w:rPr>
      </w:pPr>
      <w:r>
        <w:rPr/>
      </w:r>
    </w:p>
    <w:p>
      <w:pPr>
        <w:pStyle w:val="TextBody"/>
        <w:spacing w:lineRule="auto" w:line="276" w:before="0" w:after="0"/>
        <w:jc w:val="both"/>
        <w:rPr/>
      </w:pPr>
      <w:r>
        <w:rPr>
          <w:rFonts w:ascii="Arial Narrow" w:hAnsi="Arial Narrow"/>
          <w:sz w:val="22"/>
          <w:szCs w:val="22"/>
          <w:lang w:val="es-CO"/>
        </w:rPr>
        <w:t>Tengo las aptitudes para enseñar algunas asignaturas ofrecidas los programas de maestría de la Facultad de Ingeniería relacionadas con el agua, tales como: Hidráulica Aplicada, Hidráulica Fluvial, Modelación Físic</w:t>
      </w:r>
      <w:r>
        <w:rPr>
          <w:rFonts w:ascii="Arial Narrow" w:hAnsi="Arial Narrow"/>
          <w:b w:val="false"/>
          <w:bCs w:val="false"/>
          <w:sz w:val="22"/>
          <w:szCs w:val="22"/>
          <w:lang w:val="es-CO"/>
        </w:rPr>
        <w:t xml:space="preserve">a y </w:t>
      </w:r>
      <w:r>
        <w:rPr>
          <w:rStyle w:val="StrongEmphasis"/>
          <w:rFonts w:ascii="Arial Narrow" w:hAnsi="Arial Narrow"/>
          <w:b w:val="false"/>
          <w:bCs w:val="false"/>
          <w:sz w:val="22"/>
          <w:szCs w:val="22"/>
          <w:lang w:val="es-CO"/>
        </w:rPr>
        <w:t>Matemática</w:t>
      </w:r>
      <w:r>
        <w:rPr>
          <w:rFonts w:ascii="Arial Narrow" w:hAnsi="Arial Narrow"/>
          <w:b w:val="false"/>
          <w:bCs w:val="false"/>
          <w:sz w:val="22"/>
          <w:szCs w:val="22"/>
          <w:lang w:val="es-CO"/>
        </w:rPr>
        <w:t xml:space="preserve"> en </w:t>
      </w:r>
      <w:r>
        <w:rPr>
          <w:rFonts w:ascii="Arial Narrow" w:hAnsi="Arial Narrow"/>
          <w:sz w:val="22"/>
          <w:szCs w:val="22"/>
          <w:lang w:val="es-CO"/>
        </w:rPr>
        <w:t>Hidráulica; y otras también relacionadas con el suelo como: Estabilidad de taludes, Flujo en medios poroso, Mecánica de Suelos Avanzada, Elasticidad y Plasticidad Aplicada a Geomateriales. También, puedo proponer cursos nuevos para diferentes programas tales como: Mecánica de Fluidos Ambiental, Reología, Métodos Numéricos Avanzados, entre otros.</w:t>
      </w:r>
    </w:p>
    <w:p>
      <w:pPr>
        <w:pStyle w:val="TextBody"/>
        <w:spacing w:lineRule="auto" w:line="276" w:before="0" w:after="0"/>
        <w:jc w:val="both"/>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Innovaciones académicas, pedagógicas y docentes.</w:t>
      </w:r>
    </w:p>
    <w:p>
      <w:pPr>
        <w:pStyle w:val="TextBody"/>
        <w:spacing w:lineRule="auto" w:line="276" w:before="0" w:after="0"/>
        <w:jc w:val="both"/>
        <w:rPr>
          <w:rFonts w:ascii="Arial Narrow" w:hAnsi="Arial Narrow"/>
          <w:b w:val="false"/>
          <w:b w:val="false"/>
          <w:bCs w:val="false"/>
          <w:sz w:val="22"/>
          <w:szCs w:val="22"/>
          <w:lang w:val="es-CO"/>
        </w:rPr>
      </w:pPr>
      <w:r>
        <w:rPr>
          <w:rFonts w:ascii="Arial Narrow" w:hAnsi="Arial Narrow"/>
          <w:b w:val="false"/>
          <w:bCs w:val="false"/>
          <w:sz w:val="22"/>
          <w:szCs w:val="22"/>
          <w:lang w:val="es-CO"/>
        </w:rPr>
      </w:r>
    </w:p>
    <w:p>
      <w:pPr>
        <w:pStyle w:val="TextBody"/>
        <w:spacing w:lineRule="auto" w:line="276" w:before="0" w:after="0"/>
        <w:jc w:val="both"/>
        <w:rPr/>
      </w:pPr>
      <w:r>
        <w:rPr>
          <w:rFonts w:ascii="Arial Narrow" w:hAnsi="Arial Narrow"/>
          <w:b w:val="false"/>
          <w:bCs w:val="false"/>
          <w:sz w:val="22"/>
          <w:szCs w:val="22"/>
          <w:lang w:val="es-CO"/>
        </w:rPr>
        <w:t xml:space="preserve">Es de gran interés para mi </w:t>
      </w:r>
      <w:r>
        <w:rPr>
          <w:rStyle w:val="StrongEmphasis"/>
          <w:rFonts w:ascii="Arial Narrow" w:hAnsi="Arial Narrow"/>
          <w:b w:val="false"/>
          <w:bCs w:val="false"/>
          <w:sz w:val="22"/>
          <w:szCs w:val="22"/>
          <w:lang w:val="es-CO"/>
        </w:rPr>
        <w:t>continuar con</w:t>
      </w:r>
      <w:r>
        <w:rPr>
          <w:rFonts w:ascii="Arial Narrow" w:hAnsi="Arial Narrow"/>
          <w:b w:val="false"/>
          <w:bCs w:val="false"/>
          <w:sz w:val="22"/>
          <w:szCs w:val="22"/>
          <w:lang w:val="es-CO"/>
        </w:rPr>
        <w:t xml:space="preserve"> la aplicación y explorar otros métodos pedagógicos que son explicados con detalle en el “Derek Bok Center for Teaching and Learning” de Harvard University </w:t>
      </w:r>
      <w:r>
        <w:rPr>
          <w:rStyle w:val="StrongEmphasis"/>
          <w:rFonts w:ascii="Arial Narrow" w:hAnsi="Arial Narrow"/>
          <w:b w:val="false"/>
          <w:bCs w:val="false"/>
          <w:sz w:val="22"/>
          <w:szCs w:val="22"/>
          <w:lang w:val="es-CO"/>
        </w:rPr>
        <w:t>(Harvard University, 2026)</w:t>
      </w:r>
      <w:r>
        <w:rPr>
          <w:rFonts w:ascii="Arial Narrow" w:hAnsi="Arial Narrow"/>
          <w:b w:val="false"/>
          <w:bCs w:val="false"/>
          <w:sz w:val="22"/>
          <w:szCs w:val="22"/>
          <w:lang w:val="es-CO"/>
        </w:rPr>
        <w:t xml:space="preserve"> . Con especial atención a los métodos que son categorizados como “aprendizaje activo”. Algunos de estos son: debate en el aula, trabajo en equipo, discusiones principales, resolución de problemas en STEM (Science, Technology, Engineering and Mathematics) y el aula invertida que ya he estado implementando en mis clases. También, me interesa el poder implementar el método llamado “encuestas y clicadores” desarrollado por el físico Eric Mazur </w:t>
      </w:r>
      <w:r>
        <w:rPr>
          <w:rStyle w:val="StrongEmphasis"/>
          <w:rFonts w:ascii="Arial Narrow" w:hAnsi="Arial Narrow"/>
          <w:b w:val="false"/>
          <w:bCs w:val="false"/>
          <w:sz w:val="22"/>
          <w:szCs w:val="22"/>
          <w:lang w:val="es-CO"/>
        </w:rPr>
        <w:t>(Mazur, 2009)</w:t>
      </w:r>
      <w:r>
        <w:rPr>
          <w:rFonts w:ascii="Arial Narrow" w:hAnsi="Arial Narrow"/>
          <w:b w:val="false"/>
          <w:bCs w:val="false"/>
          <w:sz w:val="22"/>
          <w:szCs w:val="22"/>
          <w:lang w:val="es-CO"/>
        </w:rPr>
        <w:t xml:space="preserve"> , el cuál permite obtener datos de forma simultanea sobre el aprendizaje del estudiante.</w:t>
      </w:r>
    </w:p>
    <w:p>
      <w:pPr>
        <w:pStyle w:val="TextBody"/>
        <w:spacing w:lineRule="auto" w:line="276" w:before="0" w:after="0"/>
        <w:jc w:val="both"/>
        <w:rPr>
          <w:rFonts w:ascii="Arial Narrow" w:hAnsi="Arial Narrow"/>
          <w:b w:val="false"/>
          <w:b w:val="false"/>
          <w:bCs w:val="false"/>
          <w:sz w:val="22"/>
          <w:szCs w:val="22"/>
          <w:lang w:val="es-CO"/>
        </w:rPr>
      </w:pPr>
      <w:r>
        <w:rPr/>
      </w:r>
    </w:p>
    <w:p>
      <w:pPr>
        <w:pStyle w:val="TextBody"/>
        <w:spacing w:lineRule="auto" w:line="276" w:before="0" w:after="0"/>
        <w:jc w:val="both"/>
        <w:rPr/>
      </w:pPr>
      <w:r>
        <w:rPr>
          <w:rFonts w:ascii="Arial Narrow" w:hAnsi="Arial Narrow"/>
          <w:sz w:val="22"/>
          <w:szCs w:val="22"/>
          <w:lang w:val="es-CO"/>
        </w:rPr>
        <w:t>También, hacer uso apropiado de los laboratorios de la universidad es de gran relevancia para que el estudiante adquiera una mejor compresión de lo que pasa en algunos procesos relacionados con el agua, tal como lo he experimentado en trabajos previos de modelación física (Valencia-Galindo et al., 2018). En esta misma línea, en diciembre de 2025 creé y lidero el semillero de investigación "Modelling of Earth's Surface Processes (MOE'SP)" en la Universidad Surcolombiana. Este semillero tiene como objetivo precisamente fortalecer las capacidades científicas de estudiantes de pregrado en el desarrollo e interpretación de modelos de procesos de la superficie terrestre, con énfasis en hidrología, hidrodinámica y geomorfología, proporcionándoles experiencia investigativa temprana. Así, los estudiantes tendrán un fuerte sentido de apropiación del conocimiento, que se basa en la percepción directa de los fenómenos y procesos en estudio desde el laboratorio y la modelación. De este mismo modo, planear salidas a campo que puedan ser aprovechadas de forma idónea para que el estudiante adquiera una visión de los problemas y fenómenos que se presentan tanto en la naturaleza como en obras de ingeniería.</w:t>
      </w:r>
    </w:p>
    <w:p>
      <w:pPr>
        <w:pStyle w:val="TextBody"/>
        <w:spacing w:lineRule="auto" w:line="276" w:before="0" w:after="0"/>
        <w:jc w:val="both"/>
        <w:rPr>
          <w:rFonts w:ascii="Arial Narrow" w:hAnsi="Arial Narrow"/>
          <w:sz w:val="22"/>
          <w:szCs w:val="22"/>
          <w:lang w:val="es-CO"/>
        </w:rPr>
      </w:pPr>
      <w:r>
        <w:rPr/>
      </w:r>
    </w:p>
    <w:p>
      <w:pPr>
        <w:pStyle w:val="TextBody"/>
        <w:spacing w:lineRule="auto" w:line="276" w:before="0" w:after="0"/>
        <w:jc w:val="both"/>
        <w:rPr>
          <w:rFonts w:ascii="Arial Narrow" w:hAnsi="Arial Narrow"/>
          <w:sz w:val="22"/>
          <w:szCs w:val="22"/>
        </w:rPr>
      </w:pPr>
      <w:r>
        <w:rPr>
          <w:rFonts w:ascii="Arial Narrow" w:hAnsi="Arial Narrow"/>
          <w:sz w:val="22"/>
          <w:szCs w:val="22"/>
          <w:lang w:val="es-CO"/>
        </w:rPr>
        <w:t>Finalmente, quiero fortalecer dos aspectos fundamentales que se requieren hoy día a nivel profesional y sobre todo para los estudiantes que desean continuar su formación académica. (1) enfatizar el proceso de modelación matemática a través de las diferentes asignaturas, no solo enseñarles ecuaciones y como usarlas, sino que comprendan todo el proceso de abstracción de un fenómeno, representación y simulación del mismo. (2) afianzar la redacción de documentos desde las asignaturas ofrecidas en los programas de la facultad, permitiendo así tener egresados con grandes aptitudes para la comunicación efectiva de textos científicos y técnicos.</w:t>
      </w:r>
    </w:p>
    <w:p>
      <w:pPr>
        <w:pStyle w:val="TextBody"/>
        <w:spacing w:lineRule="auto" w:line="276" w:before="0" w:after="0"/>
        <w:jc w:val="both"/>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d) Propuesta en el componente de investigación</w:t>
      </w:r>
    </w:p>
    <w:p>
      <w:pPr>
        <w:pStyle w:val="TextBody"/>
        <w:spacing w:lineRule="auto" w:line="276" w:before="0" w:after="0"/>
        <w:jc w:val="both"/>
        <w:rPr>
          <w:lang w:val="es-CO"/>
        </w:rPr>
      </w:pPr>
      <w:r>
        <w:rPr>
          <w:lang w:val="es-CO"/>
        </w:rPr>
      </w:r>
    </w:p>
    <w:p>
      <w:pPr>
        <w:pStyle w:val="TextBody"/>
        <w:spacing w:lineRule="auto" w:line="276" w:before="0" w:after="0"/>
        <w:jc w:val="both"/>
        <w:rPr>
          <w:rFonts w:ascii="Arial Narrow" w:hAnsi="Arial Narrow"/>
          <w:sz w:val="22"/>
          <w:szCs w:val="22"/>
        </w:rPr>
      </w:pPr>
      <w:r>
        <w:rPr>
          <w:rFonts w:ascii="Arial Narrow" w:hAnsi="Arial Narrow"/>
          <w:sz w:val="22"/>
          <w:szCs w:val="22"/>
          <w:lang w:val="es-CO"/>
        </w:rPr>
        <w:t>Mi objetivo a largo plazo es convertirme en un investigador de referencia internacional centrado en la modelación de problemas mono y multifásicos de la superficie terrestre, así como en métodos numéricos. Estoy interesado en modelar procesos naturales para comprender mejor el comportamiento de los procesos de la superficie terrestre a diferentes escalas. La razón por la que también me interesan las técnicas numéricas es que son una parte muy importante de todo el proceso de modelación matemática, un tema transversal a muchas áreas del conocimiento. En consecuencia, mis contribuciones hasta ahora se han centrado principalmente en estos temas, con especial atención a la modelación de flujo de detritos. Mi plan de investigación potencial a corto, mediano y largo plazo se describe brevemente a continuación:</w:t>
      </w:r>
    </w:p>
    <w:p>
      <w:pPr>
        <w:pStyle w:val="TextBody"/>
        <w:spacing w:lineRule="auto" w:line="276" w:before="0" w:after="0"/>
        <w:jc w:val="both"/>
        <w:rPr>
          <w:rFonts w:ascii="Arial Narrow" w:hAnsi="Arial Narrow"/>
          <w:sz w:val="22"/>
          <w:szCs w:val="22"/>
        </w:rPr>
      </w:pPr>
      <w:r>
        <w:rPr>
          <w:rFonts w:ascii="Arial Narrow" w:hAnsi="Arial Narrow"/>
          <w:sz w:val="22"/>
          <w:szCs w:val="22"/>
        </w:rPr>
      </w:r>
    </w:p>
    <w:p>
      <w:pPr>
        <w:pStyle w:val="TextBody"/>
        <w:spacing w:lineRule="auto" w:line="276" w:before="0" w:after="0"/>
        <w:jc w:val="both"/>
        <w:rPr/>
      </w:pPr>
      <w:r>
        <w:rPr>
          <w:rStyle w:val="StrongEmphasis"/>
          <w:rFonts w:ascii="Arial Narrow" w:hAnsi="Arial Narrow"/>
          <w:sz w:val="22"/>
          <w:szCs w:val="22"/>
          <w:lang w:val="es-CO"/>
        </w:rPr>
        <w:t>Corto plazo.</w:t>
      </w:r>
      <w:r>
        <w:rPr>
          <w:rFonts w:ascii="Arial Narrow" w:hAnsi="Arial Narrow"/>
          <w:sz w:val="22"/>
          <w:szCs w:val="22"/>
          <w:lang w:val="es-CO"/>
        </w:rPr>
        <w:t xml:space="preserve"> Estoy interesado en estudiar los mecanismos más relevantes a través de los cuales los bloques de gran tamaño (∼11 m de diámetro) son transportados por diferentes tipos de flujos rápidos, como los flujos de detritos. Este tema es de gran relevancia ya que ha sido poco estudiado como se des</w:t>
      </w:r>
      <w:r>
        <w:rPr>
          <w:rFonts w:ascii="Arial Narrow" w:hAnsi="Arial Narrow"/>
          <w:b w:val="false"/>
          <w:bCs w:val="false"/>
          <w:sz w:val="22"/>
          <w:szCs w:val="22"/>
          <w:lang w:val="es-CO"/>
        </w:rPr>
        <w:t xml:space="preserve">cribe en </w:t>
      </w:r>
      <w:r>
        <w:rPr>
          <w:rStyle w:val="StrongEmphasis"/>
          <w:rFonts w:ascii="Arial Narrow" w:hAnsi="Arial Narrow"/>
          <w:b w:val="false"/>
          <w:bCs w:val="false"/>
          <w:sz w:val="22"/>
          <w:szCs w:val="22"/>
          <w:lang w:val="es-CO"/>
        </w:rPr>
        <w:t>Trujillo-Vela (2021)</w:t>
      </w:r>
      <w:r>
        <w:rPr>
          <w:rFonts w:ascii="Arial Narrow" w:hAnsi="Arial Narrow"/>
          <w:b w:val="false"/>
          <w:bCs w:val="false"/>
          <w:sz w:val="22"/>
          <w:szCs w:val="22"/>
          <w:lang w:val="es-CO"/>
        </w:rPr>
        <w:t xml:space="preserve"> y </w:t>
      </w:r>
      <w:r>
        <w:rPr>
          <w:rStyle w:val="StrongEmphasis"/>
          <w:rFonts w:ascii="Arial Narrow" w:hAnsi="Arial Narrow"/>
          <w:b w:val="false"/>
          <w:bCs w:val="false"/>
          <w:sz w:val="22"/>
          <w:szCs w:val="22"/>
          <w:lang w:val="es-CO"/>
        </w:rPr>
        <w:t>Trujillo-Vela et al. (2022)</w:t>
      </w:r>
      <w:r>
        <w:rPr>
          <w:rFonts w:ascii="Arial Narrow" w:hAnsi="Arial Narrow"/>
          <w:b w:val="false"/>
          <w:bCs w:val="false"/>
          <w:sz w:val="22"/>
          <w:szCs w:val="22"/>
          <w:lang w:val="es-CO"/>
        </w:rPr>
        <w:t xml:space="preserve"> . Conocer la influencia de los bloques de gran tamaño en dichos flujos nos permitirá obtener una mejor comprensión de la dinámica del flujo, mejorar el diseño de estructuras para la retención de flujos de escombros y, en consecuencia, es posible obtener una planificación del uso del suelo y sistemas de alerta temprana más adecuados. Se realizará un análisis de fuerzas para comprender mejor cómo los grandes cantos rodados son transportados por los flujos naturales, buscando encontrar expresiones simples para definir las fuerzas más relevantes que permiten el movimiento de los grandes cantos rodados.</w:t>
      </w:r>
    </w:p>
    <w:p>
      <w:pPr>
        <w:pStyle w:val="TextBody"/>
        <w:spacing w:lineRule="auto" w:line="276" w:before="0" w:after="0"/>
        <w:jc w:val="both"/>
        <w:rPr>
          <w:rFonts w:ascii="Arial Narrow" w:hAnsi="Arial Narrow"/>
          <w:b w:val="false"/>
          <w:b w:val="false"/>
          <w:bCs w:val="false"/>
          <w:sz w:val="22"/>
          <w:szCs w:val="22"/>
          <w:lang w:val="es-CO"/>
        </w:rPr>
      </w:pPr>
      <w:r>
        <w:rPr>
          <w:rFonts w:ascii="Arial Narrow" w:hAnsi="Arial Narrow"/>
          <w:b w:val="false"/>
          <w:bCs w:val="false"/>
          <w:sz w:val="22"/>
          <w:szCs w:val="22"/>
          <w:lang w:val="es-CO"/>
        </w:rPr>
      </w:r>
    </w:p>
    <w:p>
      <w:pPr>
        <w:pStyle w:val="TextBody"/>
        <w:spacing w:lineRule="auto" w:line="276" w:before="0" w:after="0"/>
        <w:jc w:val="both"/>
        <w:rPr/>
      </w:pPr>
      <w:r>
        <w:rPr>
          <w:rFonts w:ascii="Arial Narrow" w:hAnsi="Arial Narrow"/>
          <w:b w:val="false"/>
          <w:bCs w:val="false"/>
          <w:sz w:val="22"/>
          <w:szCs w:val="22"/>
          <w:lang w:val="es-CO"/>
        </w:rPr>
        <w:t xml:space="preserve">Para esto ya se implementó también el acoplamiento entre dos métodos numéricos para estudiar las interacciones bloques-flujos (de autoría propia), utilizando Smooth Particle Hydrodynamics (SPH) y el Método de Elementos Discretos (DEM) </w:t>
      </w:r>
      <w:r>
        <w:rPr>
          <w:rStyle w:val="StrongEmphasis"/>
          <w:rFonts w:ascii="Arial Narrow" w:hAnsi="Arial Narrow"/>
          <w:b w:val="false"/>
          <w:bCs w:val="false"/>
          <w:sz w:val="22"/>
          <w:szCs w:val="22"/>
          <w:lang w:val="es-CO"/>
        </w:rPr>
        <w:t>(ver Trujillo-Vela et al., 2020a)</w:t>
      </w:r>
      <w:r>
        <w:rPr>
          <w:rFonts w:ascii="Arial Narrow" w:hAnsi="Arial Narrow"/>
          <w:b w:val="false"/>
          <w:bCs w:val="false"/>
          <w:sz w:val="22"/>
          <w:szCs w:val="22"/>
          <w:lang w:val="es-CO"/>
        </w:rPr>
        <w:t xml:space="preserve"> . Después, se realizará un acoplamiento de SPH con una versión DEM desarrollada más recientemente llamada Método de Elementos Discretos de Meta-bolas (MDEM) </w:t>
      </w:r>
      <w:r>
        <w:rPr>
          <w:rStyle w:val="StrongEmphasis"/>
          <w:rFonts w:ascii="Arial Narrow" w:hAnsi="Arial Narrow"/>
          <w:b w:val="false"/>
          <w:bCs w:val="false"/>
          <w:sz w:val="22"/>
          <w:szCs w:val="22"/>
          <w:lang w:val="es-CO"/>
        </w:rPr>
        <w:t>(Zhang et al., 2021)</w:t>
      </w:r>
      <w:r>
        <w:rPr>
          <w:rFonts w:ascii="Arial Narrow" w:hAnsi="Arial Narrow"/>
          <w:b w:val="false"/>
          <w:bCs w:val="false"/>
          <w:sz w:val="22"/>
          <w:szCs w:val="22"/>
          <w:lang w:val="es-CO"/>
        </w:rPr>
        <w:t xml:space="preserve"> . Este</w:t>
      </w:r>
      <w:r>
        <w:rPr>
          <w:rFonts w:ascii="Arial Narrow" w:hAnsi="Arial Narrow"/>
          <w:sz w:val="22"/>
          <w:szCs w:val="22"/>
          <w:lang w:val="es-CO"/>
        </w:rPr>
        <w:t xml:space="preserve"> nuevo acoplamiento se implementará para representar grandes bloques evitando usar el coeficiente de resistencia a la rodadura cuando se usan formas simples (por ejemplo, esferas). El primer autor del último artículo citado participará en este trabajo. Los recursos computacionales de alto rendimiento de la universidad se emplearán cuando sea necesario para obtener de manera más eficiente los resultados numéricos de los casos de estudio seleccionados, ya que tanto SPH como DEM son métodos de alto costo computacional.</w:t>
      </w:r>
    </w:p>
    <w:p>
      <w:pPr>
        <w:pStyle w:val="TextBody"/>
        <w:spacing w:lineRule="auto" w:line="276" w:before="0" w:after="0"/>
        <w:jc w:val="both"/>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Mediano plazo.</w:t>
      </w:r>
      <w:r>
        <w:rPr>
          <w:rFonts w:ascii="Arial Narrow" w:hAnsi="Arial Narrow"/>
          <w:sz w:val="22"/>
          <w:szCs w:val="22"/>
          <w:lang w:val="es-CO"/>
        </w:rPr>
        <w:t xml:space="preserve"> Existen varios métodos numéricos que son ampliamente utilizados para resolver ecuaciones que describen el comportamiento de eventos tales como inundaciones, flujos de escombros, lahares y tsunamis, entre otros. Representar este tipo de fenómenos naturales requiere métodos numéricos de alta precisión para describir adecuadamente los frentes de flujo y cualquier otro tipo de discontinuidad. Es indispensable realizar una revisión bibliográfica exhaustiva del estado del arte en técnicas numéricas capaces de representar discontinuidades para establecer la mejor opción actual. Así, será posible comenzar el desarrollo de un código abierto, eficiente y preciso que permitirá establecer un software reconocido internacionalmente no solo para realizar investigaciones académicas de flujos de superficie libre sino también para desarrollar proyectos de extensión y de extensión/proyección social.</w:t>
      </w:r>
    </w:p>
    <w:p>
      <w:pPr>
        <w:pStyle w:val="TextBody"/>
        <w:spacing w:lineRule="auto" w:line="276" w:before="0" w:after="0"/>
        <w:jc w:val="both"/>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Largo plazo.</w:t>
      </w:r>
      <w:r>
        <w:rPr>
          <w:rFonts w:ascii="Arial Narrow" w:hAnsi="Arial Narrow"/>
          <w:sz w:val="22"/>
          <w:szCs w:val="22"/>
          <w:lang w:val="es-CO"/>
        </w:rPr>
        <w:t xml:space="preserve"> Es de gran interés para mí integrar modelos naturales de superficie libre basados en la física con la modelación de agentes para representar el comportamiento humano cuando se enfrentan a emergencias de fenómenos naturales repentinos, como inundaciones, flujos de detritos, lahares y tsunamis, entre otros. Esto nos permitirá iniciar estudios sobre la toma de decisiones individuales y comprender mejor la relación sociedad-ecosistema con especial atención para enfrentar eventos rápidos de amenazas natura</w:t>
      </w:r>
      <w:r>
        <w:rPr>
          <w:rFonts w:ascii="Arial Narrow" w:hAnsi="Arial Narrow"/>
          <w:b w:val="false"/>
          <w:bCs w:val="false"/>
          <w:sz w:val="22"/>
          <w:szCs w:val="22"/>
          <w:lang w:val="es-CO"/>
        </w:rPr>
        <w:t xml:space="preserve">les. Además, nos permitirá mejorar la gestión de riesgos y brindar retroalimentación sobre las condiciones que normalmente se establecen en los sistemas de alerta temprana, similar a lo que se presenta en </w:t>
      </w:r>
      <w:r>
        <w:rPr>
          <w:rStyle w:val="StrongEmphasis"/>
          <w:rFonts w:ascii="Arial Narrow" w:hAnsi="Arial Narrow"/>
          <w:b w:val="false"/>
          <w:bCs w:val="false"/>
          <w:sz w:val="22"/>
          <w:szCs w:val="22"/>
          <w:lang w:val="es-CO"/>
        </w:rPr>
        <w:t>Shirvani et al. (2021)</w:t>
      </w:r>
      <w:r>
        <w:rPr>
          <w:rFonts w:ascii="Arial Narrow" w:hAnsi="Arial Narrow"/>
          <w:b w:val="false"/>
          <w:bCs w:val="false"/>
          <w:sz w:val="22"/>
          <w:szCs w:val="22"/>
          <w:lang w:val="es-CO"/>
        </w:rPr>
        <w:t xml:space="preserve"> para eventos de inundación. Por lo tanto, será posible estudiar diferentes fenómenos naturales en su conjunto, desde un punto de vista más holístico, lo cual es una necesidad actual para comprender </w:t>
      </w:r>
      <w:r>
        <w:rPr>
          <w:rFonts w:ascii="Arial Narrow" w:hAnsi="Arial Narrow"/>
          <w:sz w:val="22"/>
          <w:szCs w:val="22"/>
          <w:lang w:val="es-CO"/>
        </w:rPr>
        <w:t>mejor las interacciones sociedad-ecosistema. Es indispensable establecer una red con investigadores de las áreas de humanidades (e.g., Doctorado en Ciencias Humanas y Sociales, Doctorado en Antropología y Doctorado en Geografía, entre otros) para llevar a cabo este proyecto.</w:t>
      </w:r>
    </w:p>
    <w:p>
      <w:pPr>
        <w:pStyle w:val="TextBody"/>
        <w:spacing w:lineRule="auto" w:line="276" w:before="0" w:after="0"/>
        <w:jc w:val="both"/>
        <w:rPr>
          <w:rFonts w:ascii="Arial Narrow" w:hAnsi="Arial Narrow"/>
          <w:sz w:val="22"/>
          <w:szCs w:val="22"/>
          <w:lang w:val="es-CO"/>
        </w:rPr>
      </w:pPr>
      <w:r>
        <w:rPr>
          <w:rFonts w:ascii="Arial Narrow" w:hAnsi="Arial Narrow"/>
          <w:sz w:val="22"/>
          <w:szCs w:val="22"/>
          <w:lang w:val="es-CO"/>
        </w:rPr>
      </w:r>
    </w:p>
    <w:p>
      <w:pPr>
        <w:pStyle w:val="TextBody"/>
        <w:spacing w:lineRule="auto" w:line="276" w:before="0" w:after="0"/>
        <w:jc w:val="both"/>
        <w:rPr/>
      </w:pPr>
      <w:r>
        <w:rPr>
          <w:rStyle w:val="StrongEmphasis"/>
          <w:rFonts w:ascii="Arial Narrow" w:hAnsi="Arial Narrow"/>
          <w:sz w:val="22"/>
          <w:szCs w:val="22"/>
          <w:lang w:val="es-CO"/>
        </w:rPr>
        <w:t>e) Propuesta en el componente de extensión</w:t>
      </w:r>
    </w:p>
    <w:p>
      <w:pPr>
        <w:pStyle w:val="TextBody"/>
        <w:spacing w:lineRule="auto" w:line="276" w:before="0" w:after="0"/>
        <w:jc w:val="both"/>
        <w:rPr/>
      </w:pPr>
      <w:r>
        <w:rPr>
          <w:rStyle w:val="StrongEmphasis"/>
          <w:rFonts w:ascii="Arial Narrow" w:hAnsi="Arial Narrow"/>
          <w:b w:val="false"/>
          <w:bCs w:val="false"/>
          <w:sz w:val="22"/>
          <w:szCs w:val="22"/>
          <w:lang w:val="es-CO"/>
        </w:rPr>
        <w:t>La proyección social de esta propuesta se concibe como un puente bidireccional entre la universidad y el país, donde el conocimiento generado en investigación retorna a la sociedad para resolver problemas concretos, y las necesidades del entorno real realimentan las agendas de investigación y docencia.</w:t>
      </w:r>
    </w:p>
    <w:p>
      <w:pPr>
        <w:pStyle w:val="TextBody"/>
        <w:spacing w:lineRule="auto" w:line="276" w:before="0" w:after="0"/>
        <w:jc w:val="both"/>
        <w:rPr>
          <w:rStyle w:val="StrongEmphasis"/>
          <w:rFonts w:ascii="Arial Narrow" w:hAnsi="Arial Narrow"/>
          <w:b w:val="false"/>
          <w:b w:val="false"/>
          <w:bCs w:val="false"/>
          <w:sz w:val="22"/>
          <w:szCs w:val="22"/>
          <w:lang w:val="es-CO"/>
        </w:rPr>
      </w:pPr>
      <w:r>
        <w:rPr>
          <w:rFonts w:ascii="Arial Narrow" w:hAnsi="Arial Narrow"/>
          <w:b w:val="false"/>
          <w:bCs w:val="false"/>
          <w:sz w:val="22"/>
          <w:szCs w:val="22"/>
          <w:lang w:val="es-CO"/>
        </w:rPr>
      </w:r>
    </w:p>
    <w:p>
      <w:pPr>
        <w:pStyle w:val="TextBody"/>
        <w:spacing w:lineRule="auto" w:line="276" w:before="0" w:after="0"/>
        <w:jc w:val="both"/>
        <w:rPr/>
      </w:pPr>
      <w:r>
        <w:rPr>
          <w:rStyle w:val="StrongEmphasis"/>
          <w:rFonts w:ascii="Arial Narrow" w:hAnsi="Arial Narrow"/>
          <w:b w:val="false"/>
          <w:bCs w:val="false"/>
          <w:sz w:val="22"/>
          <w:szCs w:val="22"/>
          <w:lang w:val="es-CO"/>
        </w:rPr>
        <w:t>De este modo, se plantea un programa de formación continua y transferencia tecnológica dirigido a profesionales de entidades como el INVÍAS, concesiones viales, corporaciones autónomas regionales y consultoras. A través de cursos cortos y talleres especializados en temas como diseño de defensas ribereñas, evaluación de amenaza por flujos de detritos y análisis de socavación en puentes, se busca fortalecer las capacidades locales para el análisis integrado de amenazas fluviales, utilizando casos de estudio reales de la geografía colombiana y las herramientas numéricas desarrolladas en la universidad.</w:t>
      </w:r>
    </w:p>
    <w:p>
      <w:pPr>
        <w:pStyle w:val="TextBody"/>
        <w:spacing w:lineRule="auto" w:line="276" w:before="0" w:after="0"/>
        <w:jc w:val="both"/>
        <w:rPr>
          <w:rStyle w:val="StrongEmphasis"/>
          <w:rFonts w:ascii="Arial Narrow" w:hAnsi="Arial Narrow"/>
          <w:b w:val="false"/>
          <w:b w:val="false"/>
          <w:bCs w:val="false"/>
          <w:sz w:val="22"/>
          <w:szCs w:val="22"/>
          <w:lang w:val="es-CO"/>
        </w:rPr>
      </w:pPr>
      <w:r>
        <w:rPr>
          <w:rFonts w:ascii="Arial Narrow" w:hAnsi="Arial Narrow"/>
          <w:b w:val="false"/>
          <w:bCs w:val="false"/>
          <w:sz w:val="22"/>
          <w:szCs w:val="22"/>
          <w:lang w:val="es-CO"/>
        </w:rPr>
      </w:r>
    </w:p>
    <w:p>
      <w:pPr>
        <w:pStyle w:val="TextBody"/>
        <w:spacing w:lineRule="auto" w:line="276" w:before="0" w:after="0"/>
        <w:jc w:val="both"/>
        <w:rPr/>
      </w:pPr>
      <w:r>
        <w:rPr>
          <w:rStyle w:val="StrongEmphasis"/>
          <w:rFonts w:ascii="Arial Narrow" w:hAnsi="Arial Narrow"/>
          <w:b w:val="false"/>
          <w:bCs w:val="false"/>
          <w:sz w:val="22"/>
          <w:szCs w:val="22"/>
          <w:lang w:val="es-CO"/>
        </w:rPr>
        <w:t>Paralelamente, se promoverá la formulación de proyectos de cooperación técnica en los que equipos conformados por profesores y estudiantes de la Universidad Nacional aborden problemas críticos diagnosticados por entidades territoriales o nacionales. Estas iniciativas, además de generar soluciones de ingeniería (como la evaluación de medidas de protección en tramos viales críticos o la revisión de diseños de encauzamiento), constituirán espacios de aprendizaje experiencial para los estudiantes y permitirán validar y ajustar las metodologías de modelación en escenarios reales, cerrando así el ciclo de la investigación aplicada.</w:t>
      </w:r>
    </w:p>
    <w:p>
      <w:pPr>
        <w:pStyle w:val="TextBody"/>
        <w:spacing w:lineRule="auto" w:line="276" w:before="0" w:after="0"/>
        <w:jc w:val="both"/>
        <w:rPr>
          <w:rStyle w:val="StrongEmphasis"/>
          <w:rFonts w:ascii="Arial Narrow" w:hAnsi="Arial Narrow"/>
          <w:b w:val="false"/>
          <w:b w:val="false"/>
          <w:bCs w:val="false"/>
          <w:sz w:val="22"/>
          <w:szCs w:val="22"/>
          <w:lang w:val="es-CO"/>
        </w:rPr>
      </w:pPr>
      <w:r>
        <w:rPr>
          <w:rFonts w:ascii="Arial Narrow" w:hAnsi="Arial Narrow"/>
          <w:b w:val="false"/>
          <w:bCs w:val="false"/>
          <w:sz w:val="22"/>
          <w:szCs w:val="22"/>
          <w:lang w:val="es-CO"/>
        </w:rPr>
      </w:r>
    </w:p>
    <w:p>
      <w:pPr>
        <w:pStyle w:val="TextBody"/>
        <w:spacing w:lineRule="auto" w:line="276" w:before="0" w:after="0"/>
        <w:jc w:val="both"/>
        <w:rPr/>
      </w:pPr>
      <w:r>
        <w:rPr>
          <w:rStyle w:val="StrongEmphasis"/>
          <w:rFonts w:ascii="Arial Narrow" w:hAnsi="Arial Narrow"/>
          <w:b w:val="false"/>
          <w:bCs w:val="false"/>
          <w:sz w:val="22"/>
          <w:szCs w:val="22"/>
          <w:lang w:val="es-CO"/>
        </w:rPr>
        <w:t>Finalmente, se buscaré continuar contribuyendo a la actualización del marco técnico-normativo del país mediante la participación activa en procesos de revisión y elaboración de guías y manuales nacionales relacionados con la ingeniería de ríos y la gestión del riesgo. Esta labor, que ya he iniciado con mi participación en los manuales del INVÍAS (Ramos-Cañón et al., 2025), se consolidará como un sello distintivo de mi actividad en la Universidad, asegurando que el rigor académico y las metodologías de vanguardia desarrolladas en la institución se incorporen en la práctica cotidiana de la ingeniería colombiana, contribuyendo directamente a la seguridad y resiliencia de la infraestructura vial del país.</w:t>
      </w:r>
    </w:p>
    <w:p>
      <w:pPr>
        <w:pStyle w:val="TextBody"/>
        <w:spacing w:lineRule="auto" w:line="276" w:before="0" w:after="0"/>
        <w:jc w:val="both"/>
        <w:rPr>
          <w:rFonts w:ascii="Arial Narrow" w:hAnsi="Arial Narrow"/>
          <w:b w:val="false"/>
          <w:b w:val="false"/>
          <w:bCs w:val="false"/>
          <w:sz w:val="22"/>
          <w:szCs w:val="22"/>
          <w:lang w:val="es-CO"/>
        </w:rPr>
      </w:pPr>
      <w:r>
        <w:rPr>
          <w:rFonts w:ascii="Arial Narrow" w:hAnsi="Arial Narrow"/>
          <w:b w:val="false"/>
          <w:bCs w:val="false"/>
          <w:sz w:val="22"/>
          <w:szCs w:val="22"/>
          <w:lang w:val="es-CO"/>
        </w:rPr>
      </w:r>
    </w:p>
    <w:p>
      <w:pPr>
        <w:pStyle w:val="TextBody"/>
        <w:spacing w:lineRule="auto" w:line="276" w:before="0" w:after="0"/>
        <w:jc w:val="both"/>
        <w:rPr/>
      </w:pPr>
      <w:r>
        <w:rPr>
          <w:rStyle w:val="StrongEmphasis"/>
          <w:rFonts w:ascii="Arial Narrow" w:hAnsi="Arial Narrow"/>
          <w:sz w:val="22"/>
          <w:szCs w:val="22"/>
          <w:lang w:val="es-CO"/>
        </w:rPr>
        <w:t>f) Bibliograf</w:t>
      </w:r>
      <w:r>
        <w:rPr>
          <w:rStyle w:val="StrongEmphasis"/>
          <w:rFonts w:eastAsia="Noto Serif CJK SC" w:cs="Lohit Devanagari" w:ascii="Arial Narrow" w:hAnsi="Arial Narrow"/>
          <w:b/>
          <w:bCs/>
          <w:color w:val="auto"/>
          <w:kern w:val="2"/>
          <w:sz w:val="22"/>
          <w:szCs w:val="22"/>
          <w:lang w:val="es-CO" w:eastAsia="zh-CN" w:bidi="hi-IN"/>
        </w:rPr>
        <w:t>í</w:t>
      </w:r>
      <w:r>
        <w:rPr>
          <w:rStyle w:val="StrongEmphasis"/>
          <w:rFonts w:eastAsia="Noto Serif CJK SC" w:cs="Lohit Devanagari" w:ascii="Arial Narrow" w:hAnsi="Arial Narrow"/>
          <w:color w:val="auto"/>
          <w:kern w:val="2"/>
          <w:sz w:val="22"/>
          <w:szCs w:val="22"/>
          <w:lang w:val="es-CO" w:eastAsia="zh-CN" w:bidi="hi-IN"/>
        </w:rPr>
        <w:t>a</w:t>
      </w:r>
    </w:p>
    <w:p>
      <w:pPr>
        <w:pStyle w:val="TextBody"/>
        <w:spacing w:lineRule="auto" w:line="276" w:before="0" w:after="0"/>
        <w:jc w:val="both"/>
        <w:rPr>
          <w:rStyle w:val="StrongEmphasis"/>
          <w:rFonts w:ascii="Arial Narrow" w:hAnsi="Arial Narrow" w:eastAsia="Noto Serif CJK SC" w:cs="Lohit Devanagari"/>
          <w:color w:val="auto"/>
          <w:kern w:val="2"/>
          <w:sz w:val="22"/>
          <w:szCs w:val="22"/>
          <w:lang w:val="es-CO" w:eastAsia="zh-CN" w:bidi="hi-IN"/>
        </w:rPr>
      </w:pPr>
      <w:r>
        <w:rPr>
          <w:rFonts w:eastAsia="Noto Serif CJK SC" w:cs="Lohit Devanagari" w:ascii="Arial Narrow" w:hAnsi="Arial Narrow"/>
          <w:color w:val="auto"/>
          <w:kern w:val="2"/>
          <w:sz w:val="22"/>
          <w:szCs w:val="22"/>
          <w:lang w:val="es-CO" w:eastAsia="zh-CN" w:bidi="hi-IN"/>
        </w:rPr>
      </w:r>
    </w:p>
    <w:p>
      <w:pPr>
        <w:pStyle w:val="TextBody"/>
        <w:numPr>
          <w:ilvl w:val="0"/>
          <w:numId w:val="2"/>
        </w:numPr>
        <w:tabs>
          <w:tab w:val="clear" w:pos="709"/>
          <w:tab w:val="left" w:pos="0" w:leader="none"/>
        </w:tabs>
        <w:spacing w:lineRule="auto" w:line="276" w:before="0" w:after="0"/>
        <w:ind w:left="709" w:hanging="283"/>
        <w:jc w:val="both"/>
        <w:rPr/>
      </w:pPr>
      <w:r>
        <w:rPr>
          <w:rFonts w:ascii="Arial Narrow" w:hAnsi="Arial Narrow"/>
          <w:sz w:val="22"/>
          <w:szCs w:val="22"/>
          <w:lang w:val="es-CO"/>
        </w:rPr>
        <w:t xml:space="preserve">Harvard University. (2026). </w:t>
      </w:r>
      <w:r>
        <w:rPr>
          <w:rStyle w:val="Emphasis"/>
          <w:rFonts w:ascii="Arial Narrow" w:hAnsi="Arial Narrow"/>
          <w:sz w:val="22"/>
          <w:szCs w:val="22"/>
          <w:lang w:val="es-CO"/>
        </w:rPr>
        <w:t>The Derek Bok Center for Teaching and Learning: Online resources</w:t>
      </w:r>
      <w:r>
        <w:rPr>
          <w:rFonts w:ascii="Arial Narrow" w:hAnsi="Arial Narrow"/>
          <w:sz w:val="22"/>
          <w:szCs w:val="22"/>
          <w:lang w:val="es-CO"/>
        </w:rPr>
        <w:t xml:space="preserve">. Recuperado el 10 de febrero de 2026, de </w:t>
      </w:r>
      <w:hyperlink r:id="rId2" w:tgtFrame="_blank">
        <w:r>
          <w:rPr>
            <w:rStyle w:val="InternetLink"/>
            <w:rFonts w:ascii="Arial Narrow" w:hAnsi="Arial Narrow"/>
            <w:sz w:val="22"/>
            <w:szCs w:val="22"/>
            <w:lang w:val="es-CO"/>
          </w:rPr>
          <w:t>https://bokcenter.harvard.edu/online-resources</w:t>
        </w:r>
      </w:hyperlink>
    </w:p>
    <w:p>
      <w:pPr>
        <w:pStyle w:val="TextBody"/>
        <w:numPr>
          <w:ilvl w:val="0"/>
          <w:numId w:val="2"/>
        </w:numPr>
        <w:tabs>
          <w:tab w:val="clear" w:pos="709"/>
          <w:tab w:val="left" w:pos="0" w:leader="none"/>
        </w:tabs>
        <w:spacing w:lineRule="auto" w:line="276" w:before="0" w:after="0"/>
        <w:ind w:left="709" w:hanging="283"/>
        <w:jc w:val="both"/>
        <w:rPr/>
      </w:pPr>
      <w:r>
        <w:rPr>
          <w:rFonts w:ascii="Arial Narrow" w:hAnsi="Arial Narrow"/>
          <w:sz w:val="22"/>
          <w:szCs w:val="22"/>
          <w:lang w:val="es-CO"/>
        </w:rPr>
        <w:t xml:space="preserve">Jiménez-Ochoa, C. H., Ramos-Cañón, A. M., Rodríguez-Pineda, C. E., Rodríguez-Ordoñez, J. A., Prada-Sarmiento, L. F., Machuca-Castellanos, S. V., </w:t>
      </w:r>
      <w:r>
        <w:rPr>
          <w:rStyle w:val="StrongEmphasis"/>
          <w:rFonts w:ascii="Arial Narrow" w:hAnsi="Arial Narrow"/>
          <w:sz w:val="22"/>
          <w:szCs w:val="22"/>
          <w:lang w:val="es-CO"/>
        </w:rPr>
        <w:t>Trujillo-Vela, M. G.</w:t>
      </w:r>
      <w:r>
        <w:rPr>
          <w:rFonts w:ascii="Arial Narrow" w:hAnsi="Arial Narrow"/>
          <w:sz w:val="22"/>
          <w:szCs w:val="22"/>
          <w:lang w:val="es-CO"/>
        </w:rPr>
        <w:t xml:space="preserve"> , Prieto-Chavarro, A. F., García-López, M., Munévar-Peña, M. A., Gil-Romero, W. J., Garzón-Molano, H., Canón-Buitrago, E., Carabuena-Mendoza, M. F., Cubillos-Rodríguez, J. F., Gutiérrez-Botero, A., Bohórquez-Acevedo, J. D., Paternina-Galeano, D. F., &amp; Vargas-Cruz, C. A. (2025). </w:t>
      </w:r>
      <w:r>
        <w:rPr>
          <w:rStyle w:val="Emphasis"/>
          <w:rFonts w:ascii="Arial Narrow" w:hAnsi="Arial Narrow"/>
          <w:sz w:val="22"/>
          <w:szCs w:val="22"/>
          <w:lang w:val="es-CO"/>
        </w:rPr>
        <w:t>Manual de Estabilidad de Taludes</w:t>
      </w:r>
      <w:r>
        <w:rPr>
          <w:rFonts w:ascii="Arial Narrow" w:hAnsi="Arial Narrow"/>
          <w:sz w:val="22"/>
          <w:szCs w:val="22"/>
          <w:lang w:val="es-CO"/>
        </w:rPr>
        <w:t xml:space="preserve"> (p. 1288). Instituto Nacional de Vías (INVÍAS).</w:t>
      </w:r>
    </w:p>
    <w:p>
      <w:pPr>
        <w:pStyle w:val="TextBody"/>
        <w:numPr>
          <w:ilvl w:val="0"/>
          <w:numId w:val="2"/>
        </w:numPr>
        <w:tabs>
          <w:tab w:val="clear" w:pos="709"/>
          <w:tab w:val="left" w:pos="0" w:leader="none"/>
        </w:tabs>
        <w:spacing w:lineRule="auto" w:line="276" w:before="0" w:after="0"/>
        <w:ind w:left="709" w:hanging="283"/>
        <w:jc w:val="both"/>
        <w:rPr/>
      </w:pPr>
      <w:r>
        <w:rPr>
          <w:rFonts w:ascii="Arial Narrow" w:hAnsi="Arial Narrow"/>
          <w:sz w:val="22"/>
          <w:szCs w:val="22"/>
          <w:lang w:val="es-CO"/>
        </w:rPr>
        <w:t xml:space="preserve">Mazur, E. (2009). Farewell, lecture? </w:t>
      </w:r>
      <w:r>
        <w:rPr>
          <w:rStyle w:val="Emphasis"/>
          <w:rFonts w:ascii="Arial Narrow" w:hAnsi="Arial Narrow"/>
          <w:sz w:val="22"/>
          <w:szCs w:val="22"/>
          <w:lang w:val="es-CO"/>
        </w:rPr>
        <w:t>Science, 323</w:t>
      </w:r>
      <w:r>
        <w:rPr>
          <w:rFonts w:ascii="Arial Narrow" w:hAnsi="Arial Narrow"/>
          <w:sz w:val="22"/>
          <w:szCs w:val="22"/>
          <w:lang w:val="es-CO"/>
        </w:rPr>
        <w:t xml:space="preserve">(5910), 50–51. </w:t>
      </w:r>
      <w:hyperlink r:id="rId3" w:tgtFrame="_blank">
        <w:r>
          <w:rPr>
            <w:rStyle w:val="InternetLink"/>
            <w:rFonts w:ascii="Arial Narrow" w:hAnsi="Arial Narrow"/>
            <w:sz w:val="22"/>
            <w:szCs w:val="22"/>
            <w:lang w:val="es-CO"/>
          </w:rPr>
          <w:t>https://doi.org/10.1126/science.1168928</w:t>
        </w:r>
      </w:hyperlink>
    </w:p>
    <w:p>
      <w:pPr>
        <w:pStyle w:val="TextBody"/>
        <w:numPr>
          <w:ilvl w:val="0"/>
          <w:numId w:val="2"/>
        </w:numPr>
        <w:tabs>
          <w:tab w:val="clear" w:pos="709"/>
          <w:tab w:val="left" w:pos="0" w:leader="none"/>
        </w:tabs>
        <w:spacing w:lineRule="auto" w:line="276" w:before="0" w:after="0"/>
        <w:ind w:left="709" w:hanging="283"/>
        <w:jc w:val="both"/>
        <w:rPr/>
      </w:pPr>
      <w:r>
        <w:rPr>
          <w:rFonts w:ascii="Arial Narrow" w:hAnsi="Arial Narrow"/>
          <w:sz w:val="22"/>
          <w:szCs w:val="22"/>
          <w:lang w:val="es-CO"/>
        </w:rPr>
        <w:t xml:space="preserve">Ren, S., Liu, Z., </w:t>
      </w:r>
      <w:r>
        <w:rPr>
          <w:rStyle w:val="StrongEmphasis"/>
          <w:rFonts w:ascii="Arial Narrow" w:hAnsi="Arial Narrow"/>
          <w:sz w:val="22"/>
          <w:szCs w:val="22"/>
          <w:lang w:val="es-CO"/>
        </w:rPr>
        <w:t>Trujillo-Vela, M. G.</w:t>
      </w:r>
      <w:r>
        <w:rPr>
          <w:rFonts w:ascii="Arial Narrow" w:hAnsi="Arial Narrow"/>
          <w:sz w:val="22"/>
          <w:szCs w:val="22"/>
          <w:lang w:val="es-CO"/>
        </w:rPr>
        <w:t xml:space="preserve"> , Galindo-Torres, S. A., Tian, X., &amp; Zhang, P. (2025). Simulation of solitary wave generation and wave-structure interactions using an MPM-SDEM coupling scheme. </w:t>
      </w:r>
      <w:r>
        <w:rPr>
          <w:rStyle w:val="Emphasis"/>
          <w:rFonts w:ascii="Arial Narrow" w:hAnsi="Arial Narrow"/>
          <w:sz w:val="22"/>
          <w:szCs w:val="22"/>
          <w:lang w:val="es-CO"/>
        </w:rPr>
        <w:t>Ocean Engineering, 340</w:t>
      </w:r>
      <w:r>
        <w:rPr>
          <w:rFonts w:ascii="Arial Narrow" w:hAnsi="Arial Narrow"/>
          <w:sz w:val="22"/>
          <w:szCs w:val="22"/>
          <w:lang w:val="es-CO"/>
        </w:rPr>
        <w:t xml:space="preserve">, 122195. </w:t>
      </w:r>
      <w:hyperlink r:id="rId4" w:tgtFrame="_blank">
        <w:r>
          <w:rPr>
            <w:rStyle w:val="InternetLink"/>
            <w:rFonts w:ascii="Arial Narrow" w:hAnsi="Arial Narrow"/>
            <w:sz w:val="22"/>
            <w:szCs w:val="22"/>
            <w:lang w:val="es-CO"/>
          </w:rPr>
          <w:t>https://doi.org/10.1016/j.oceaneng.2025.122195</w:t>
        </w:r>
      </w:hyperlink>
    </w:p>
    <w:p>
      <w:pPr>
        <w:pStyle w:val="TextBody"/>
        <w:numPr>
          <w:ilvl w:val="0"/>
          <w:numId w:val="2"/>
        </w:numPr>
        <w:tabs>
          <w:tab w:val="clear" w:pos="709"/>
          <w:tab w:val="left" w:pos="0" w:leader="none"/>
        </w:tabs>
        <w:spacing w:lineRule="auto" w:line="276" w:before="0" w:after="0"/>
        <w:ind w:left="709" w:hanging="283"/>
        <w:jc w:val="both"/>
        <w:rPr/>
      </w:pPr>
      <w:r>
        <w:rPr>
          <w:rFonts w:ascii="Arial Narrow" w:hAnsi="Arial Narrow"/>
          <w:sz w:val="22"/>
          <w:szCs w:val="22"/>
          <w:lang w:val="es-CO"/>
        </w:rPr>
        <w:t xml:space="preserve">Shirvani, M., Kesserwani, G., &amp; Richmond, P. (2021). Agent-based simulator of dynamic flood-people interactions. </w:t>
      </w:r>
      <w:r>
        <w:rPr>
          <w:rStyle w:val="Emphasis"/>
          <w:rFonts w:ascii="Arial Narrow" w:hAnsi="Arial Narrow"/>
          <w:sz w:val="22"/>
          <w:szCs w:val="22"/>
          <w:lang w:val="es-CO"/>
        </w:rPr>
        <w:t>Journal of Flood Risk Management, 14</w:t>
      </w:r>
      <w:r>
        <w:rPr>
          <w:rFonts w:ascii="Arial Narrow" w:hAnsi="Arial Narrow"/>
          <w:sz w:val="22"/>
          <w:szCs w:val="22"/>
          <w:lang w:val="es-CO"/>
        </w:rPr>
        <w:t xml:space="preserve">(2), e12695. </w:t>
      </w:r>
      <w:hyperlink r:id="rId5" w:tgtFrame="_blank">
        <w:r>
          <w:rPr>
            <w:rStyle w:val="InternetLink"/>
            <w:rFonts w:ascii="Arial Narrow" w:hAnsi="Arial Narrow"/>
            <w:sz w:val="22"/>
            <w:szCs w:val="22"/>
            <w:lang w:val="es-CO"/>
          </w:rPr>
          <w:t>https://doi.org/10.1111/jfr3.12695</w:t>
        </w:r>
      </w:hyperlink>
      <w:r>
        <w:rPr>
          <w:rFonts w:ascii="Arial Narrow" w:hAnsi="Arial Narrow"/>
          <w:sz w:val="22"/>
          <w:szCs w:val="22"/>
          <w:lang w:val="es-CO"/>
        </w:rPr>
        <w:t xml:space="preserve"> </w:t>
      </w:r>
    </w:p>
    <w:p>
      <w:pPr>
        <w:pStyle w:val="TextBody"/>
        <w:numPr>
          <w:ilvl w:val="0"/>
          <w:numId w:val="2"/>
        </w:numPr>
        <w:tabs>
          <w:tab w:val="clear" w:pos="709"/>
          <w:tab w:val="left" w:pos="0" w:leader="none"/>
        </w:tabs>
        <w:spacing w:lineRule="auto" w:line="276" w:before="0" w:after="0"/>
        <w:ind w:left="709" w:hanging="283"/>
        <w:jc w:val="both"/>
        <w:rPr/>
      </w:pPr>
      <w:r>
        <w:rPr>
          <w:rFonts w:ascii="Arial Narrow" w:hAnsi="Arial Narrow"/>
          <w:sz w:val="22"/>
          <w:szCs w:val="22"/>
          <w:lang w:val="es-CO"/>
        </w:rPr>
        <w:t xml:space="preserve">Trujillo-Vela, M. G. (2021). </w:t>
      </w:r>
      <w:r>
        <w:rPr>
          <w:rStyle w:val="Emphasis"/>
          <w:rFonts w:ascii="Arial Narrow" w:hAnsi="Arial Narrow"/>
          <w:sz w:val="22"/>
          <w:szCs w:val="22"/>
          <w:lang w:val="es-CO"/>
        </w:rPr>
        <w:t>Numerical modelling of debris flows with large boulders</w:t>
      </w:r>
      <w:r>
        <w:rPr>
          <w:rFonts w:ascii="Arial Narrow" w:hAnsi="Arial Narrow"/>
          <w:sz w:val="22"/>
          <w:szCs w:val="22"/>
          <w:lang w:val="es-CO"/>
        </w:rPr>
        <w:t xml:space="preserve"> [Tesis doctoral, Pontificia Universidad Javeriana].</w:t>
      </w:r>
    </w:p>
    <w:p>
      <w:pPr>
        <w:pStyle w:val="TextBody"/>
        <w:numPr>
          <w:ilvl w:val="0"/>
          <w:numId w:val="2"/>
        </w:numPr>
        <w:tabs>
          <w:tab w:val="clear" w:pos="709"/>
          <w:tab w:val="left" w:pos="0" w:leader="none"/>
        </w:tabs>
        <w:spacing w:lineRule="auto" w:line="276" w:before="0" w:after="0"/>
        <w:ind w:left="709" w:hanging="283"/>
        <w:jc w:val="both"/>
        <w:rPr/>
      </w:pPr>
      <w:r>
        <w:rPr>
          <w:rFonts w:ascii="Arial Narrow" w:hAnsi="Arial Narrow"/>
          <w:sz w:val="22"/>
          <w:szCs w:val="22"/>
          <w:lang w:val="es-CO"/>
        </w:rPr>
        <w:t xml:space="preserve">Trujillo-Vela, M. G., Escobar-Vargas, J. A., &amp; Ramos-Cañón, A. M. (2020b). A spectral multidomain penalty method solver for the numerical simulation of granular avalanches. </w:t>
      </w:r>
      <w:r>
        <w:rPr>
          <w:rStyle w:val="Emphasis"/>
          <w:rFonts w:ascii="Arial Narrow" w:hAnsi="Arial Narrow"/>
          <w:sz w:val="22"/>
          <w:szCs w:val="22"/>
          <w:lang w:val="es-CO"/>
        </w:rPr>
        <w:t>Earth Sciences Research Journal, 23</w:t>
      </w:r>
      <w:r>
        <w:rPr>
          <w:rFonts w:ascii="Arial Narrow" w:hAnsi="Arial Narrow"/>
          <w:sz w:val="22"/>
          <w:szCs w:val="22"/>
          <w:lang w:val="es-CO"/>
        </w:rPr>
        <w:t xml:space="preserve">(4), 171-183. </w:t>
      </w:r>
      <w:hyperlink r:id="rId6" w:tgtFrame="_blank">
        <w:r>
          <w:rPr>
            <w:rStyle w:val="InternetLink"/>
            <w:rFonts w:ascii="Arial Narrow" w:hAnsi="Arial Narrow"/>
            <w:sz w:val="22"/>
            <w:szCs w:val="22"/>
            <w:lang w:val="es-CO"/>
          </w:rPr>
          <w:t>https://doi.org/10.15446/esrj.v23n4.77683</w:t>
        </w:r>
      </w:hyperlink>
    </w:p>
    <w:p>
      <w:pPr>
        <w:pStyle w:val="TextBody"/>
        <w:numPr>
          <w:ilvl w:val="0"/>
          <w:numId w:val="2"/>
        </w:numPr>
        <w:tabs>
          <w:tab w:val="clear" w:pos="709"/>
          <w:tab w:val="left" w:pos="0" w:leader="none"/>
        </w:tabs>
        <w:spacing w:lineRule="auto" w:line="276" w:before="0" w:after="0"/>
        <w:ind w:left="709" w:hanging="283"/>
        <w:jc w:val="both"/>
        <w:rPr/>
      </w:pPr>
      <w:r>
        <w:rPr>
          <w:rFonts w:ascii="Arial Narrow" w:hAnsi="Arial Narrow"/>
          <w:sz w:val="22"/>
          <w:szCs w:val="22"/>
          <w:lang w:val="es-CO"/>
        </w:rPr>
        <w:t xml:space="preserve">Trujillo-Vela, M. G., Galindo-Torres, S. A., Zhang, X., Ramos-Cañón, A. M., &amp; Escobar-Vargas, J. A. (2020a). Smooth particle hydrodynamics and discrete element method coupling scheme for the simulation of debris flows. </w:t>
      </w:r>
      <w:r>
        <w:rPr>
          <w:rStyle w:val="Emphasis"/>
          <w:rFonts w:ascii="Arial Narrow" w:hAnsi="Arial Narrow"/>
          <w:sz w:val="22"/>
          <w:szCs w:val="22"/>
          <w:lang w:val="es-CO"/>
        </w:rPr>
        <w:t>Computers and Geotechnics, 125</w:t>
      </w:r>
      <w:r>
        <w:rPr>
          <w:rFonts w:ascii="Arial Narrow" w:hAnsi="Arial Narrow"/>
          <w:sz w:val="22"/>
          <w:szCs w:val="22"/>
          <w:lang w:val="es-CO"/>
        </w:rPr>
        <w:t xml:space="preserve">, 103669. </w:t>
      </w:r>
      <w:hyperlink r:id="rId7" w:tgtFrame="_blank">
        <w:r>
          <w:rPr>
            <w:rStyle w:val="InternetLink"/>
            <w:rFonts w:ascii="Arial Narrow" w:hAnsi="Arial Narrow"/>
            <w:sz w:val="22"/>
            <w:szCs w:val="22"/>
            <w:lang w:val="es-CO"/>
          </w:rPr>
          <w:t>https://doi.org/10.1016/j.compgeo.2020.103669</w:t>
        </w:r>
      </w:hyperlink>
      <w:r>
        <w:rPr>
          <w:rFonts w:ascii="Arial Narrow" w:hAnsi="Arial Narrow"/>
          <w:sz w:val="22"/>
          <w:szCs w:val="22"/>
          <w:lang w:val="es-CO"/>
        </w:rPr>
        <w:t xml:space="preserve"> </w:t>
      </w:r>
    </w:p>
    <w:p>
      <w:pPr>
        <w:pStyle w:val="TextBody"/>
        <w:spacing w:lineRule="auto" w:line="276" w:before="0" w:after="0"/>
        <w:jc w:val="both"/>
        <w:rPr>
          <w:rFonts w:ascii="Arial Narrow" w:hAnsi="Arial Narrow"/>
          <w:sz w:val="22"/>
          <w:szCs w:val="22"/>
        </w:rPr>
      </w:pPr>
      <w:r>
        <w:rPr/>
      </w:r>
    </w:p>
    <w:sectPr>
      <w:type w:val="nextPage"/>
      <w:pgSz w:w="12240" w:h="15840"/>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1"/>
    <w:family w:val="roman"/>
    <w:pitch w:val="variable"/>
  </w:font>
  <w:font w:name="Liberation Sans">
    <w:altName w:val="Arial"/>
    <w:charset w:val="01"/>
    <w:family w:val="roman"/>
    <w:pitch w:val="variable"/>
  </w:font>
  <w:font w:name="Arial Narrow">
    <w:charset w:val="01"/>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n-US" w:eastAsia="zh-CN" w:bidi="hi-IN"/>
    </w:rPr>
  </w:style>
  <w:style w:type="paragraph" w:styleId="Heading2">
    <w:name w:val="Heading 2"/>
    <w:basedOn w:val="Heading"/>
    <w:next w:val="TextBody"/>
    <w:uiPriority w:val="9"/>
    <w:unhideWhenUsed/>
    <w:qFormat/>
    <w:pPr>
      <w:spacing w:before="200" w:after="120"/>
      <w:outlineLvl w:val="1"/>
    </w:pPr>
    <w:rPr>
      <w:rFonts w:ascii="Liberation Serif" w:hAnsi="Liberation Serif" w:eastAsia="Noto Serif CJK SC"/>
      <w:b/>
      <w:bCs/>
      <w:sz w:val="36"/>
      <w:szCs w:val="36"/>
    </w:rPr>
  </w:style>
  <w:style w:type="paragraph" w:styleId="Heading3">
    <w:name w:val="Heading 3"/>
    <w:basedOn w:val="Heading"/>
    <w:next w:val="TextBody"/>
    <w:uiPriority w:val="9"/>
    <w:unhideWhenUsed/>
    <w:qFormat/>
    <w:pPr>
      <w:spacing w:before="140" w:after="120"/>
      <w:outlineLvl w:val="2"/>
    </w:pPr>
    <w:rPr>
      <w:rFonts w:ascii="Liberation Serif" w:hAnsi="Liberation Serif" w:eastAsia="Noto Serif CJK SC"/>
      <w:b/>
      <w:bCs/>
    </w:rPr>
  </w:style>
  <w:style w:type="character" w:styleId="DefaultParagraphFont" w:default="1">
    <w:name w:val="Default Paragraph Font"/>
    <w:uiPriority w:val="1"/>
    <w:semiHidden/>
    <w:unhideWhenUsed/>
    <w:qFormat/>
    <w:rPr/>
  </w:style>
  <w:style w:type="character" w:styleId="Bullets" w:customStyle="1">
    <w:name w:val="Bullets"/>
    <w:qFormat/>
    <w:rPr>
      <w:rFonts w:ascii="OpenSymbol" w:hAnsi="OpenSymbol" w:eastAsia="OpenSymbol" w:cs="OpenSymbol"/>
    </w:rPr>
  </w:style>
  <w:style w:type="character" w:styleId="StrongEmphasis" w:customStyle="1">
    <w:name w:val="Strong Emphasis"/>
    <w:qFormat/>
    <w:rPr>
      <w:b/>
      <w:bCs/>
    </w:rPr>
  </w:style>
  <w:style w:type="character" w:styleId="Emphasis">
    <w:name w:val="Emphasis"/>
    <w:qFormat/>
    <w:rPr>
      <w:i/>
      <w:iCs/>
    </w:rPr>
  </w:style>
  <w:style w:type="character" w:styleId="NumberingSymbols" w:customStyle="1">
    <w:name w:val="Numbering Symbols"/>
    <w:qFormat/>
    <w:rPr/>
  </w:style>
  <w:style w:type="character" w:styleId="InternetLink">
    <w:name w:val="Hyperlink"/>
    <w:rPr>
      <w:color w:val="000080"/>
      <w:u w:val="single"/>
    </w:rPr>
  </w:style>
  <w:style w:type="paragraph" w:styleId="Heading" w:customStyle="1">
    <w:name w:val="Heading"/>
    <w:basedOn w:val="Normal"/>
    <w:next w:val="TextBody"/>
    <w:qFormat/>
    <w:pPr>
      <w:keepNext w:val="true"/>
      <w:spacing w:before="240" w:after="120"/>
    </w:pPr>
    <w:rPr>
      <w:rFonts w:ascii="Liberation Sans" w:hAnsi="Liberation Sans" w:eastAsia="Noto Sans CJK SC"/>
      <w:sz w:val="28"/>
      <w:szCs w:val="28"/>
    </w:rPr>
  </w:style>
  <w:style w:type="paragraph" w:styleId="TextBody">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Lohit Devanagari"/>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okcenter.harvard.edu/online-resources" TargetMode="External"/><Relationship Id="rId3" Type="http://schemas.openxmlformats.org/officeDocument/2006/relationships/hyperlink" Target="https://doi.org/10.1126/science.1168928" TargetMode="External"/><Relationship Id="rId4" Type="http://schemas.openxmlformats.org/officeDocument/2006/relationships/hyperlink" Target="https://doi.org/10.1016/j.oceaneng.2025.122195" TargetMode="External"/><Relationship Id="rId5" Type="http://schemas.openxmlformats.org/officeDocument/2006/relationships/hyperlink" Target="https://doi.org/10.1111/jfr3.12695" TargetMode="External"/><Relationship Id="rId6" Type="http://schemas.openxmlformats.org/officeDocument/2006/relationships/hyperlink" Target="https://doi.org/10.15446/esrj.v23n4.77683" TargetMode="External"/><Relationship Id="rId7" Type="http://schemas.openxmlformats.org/officeDocument/2006/relationships/hyperlink" Target="https://doi.org/10.1016/j.compgeo.2020.103669"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Application>LibreOffice/7.3.7.2$Linux_X86_64 LibreOffice_project/30$Build-2</Application>
  <AppVersion>15.0000</AppVersion>
  <Pages>5</Pages>
  <Words>2365</Words>
  <Characters>14159</Characters>
  <CharactersWithSpaces>16471</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2026-02-13T20:48:00Z</dcterms:created>
  <dc:creator/>
  <dc:description/>
  <dc:language>en-US</dc:language>
  <cp:lastModifiedBy/>
  <dcterms:modified xsi:type="dcterms:W3CDTF">2026-02-16T21:41:37Z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file>