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DB912" w14:textId="33970F7E" w:rsidR="00AF051F" w:rsidRPr="00AF051F" w:rsidRDefault="00AF051F" w:rsidP="002A60A8">
      <w:pPr>
        <w:spacing w:line="276" w:lineRule="auto"/>
        <w:jc w:val="both"/>
        <w:rPr>
          <w:rFonts w:ascii="Arial" w:hAnsi="Arial" w:cs="Arial"/>
          <w:b/>
          <w:bCs/>
          <w:sz w:val="22"/>
          <w:szCs w:val="22"/>
        </w:rPr>
      </w:pPr>
      <w:r w:rsidRPr="00AF051F">
        <w:rPr>
          <w:rFonts w:ascii="Arial" w:hAnsi="Arial" w:cs="Arial"/>
          <w:b/>
          <w:bCs/>
          <w:sz w:val="22"/>
          <w:szCs w:val="22"/>
        </w:rPr>
        <w:t>PROPUESTA DE APORTE AL FORTALECIMIENTO DEL ÁREA DE HIDRÁULICA</w:t>
      </w:r>
    </w:p>
    <w:p w14:paraId="6301A102" w14:textId="77777777" w:rsidR="00AF051F" w:rsidRPr="00AF051F" w:rsidRDefault="00AF051F" w:rsidP="002A60A8">
      <w:pPr>
        <w:spacing w:line="276" w:lineRule="auto"/>
        <w:jc w:val="both"/>
        <w:rPr>
          <w:rFonts w:ascii="Arial" w:hAnsi="Arial" w:cs="Arial"/>
          <w:sz w:val="22"/>
          <w:szCs w:val="22"/>
        </w:rPr>
      </w:pPr>
      <w:r w:rsidRPr="00AF051F">
        <w:rPr>
          <w:rFonts w:ascii="Arial" w:hAnsi="Arial" w:cs="Arial"/>
          <w:sz w:val="22"/>
          <w:szCs w:val="22"/>
        </w:rPr>
        <w:t>Departamento de Ingeniería Civil y Agrícola</w:t>
      </w:r>
    </w:p>
    <w:p w14:paraId="508AAFC7" w14:textId="77777777" w:rsidR="00AF051F" w:rsidRPr="00AF051F" w:rsidRDefault="00000000" w:rsidP="002A60A8">
      <w:pPr>
        <w:spacing w:line="276" w:lineRule="auto"/>
        <w:jc w:val="both"/>
        <w:rPr>
          <w:rFonts w:ascii="Arial" w:hAnsi="Arial" w:cs="Arial"/>
          <w:sz w:val="22"/>
          <w:szCs w:val="22"/>
        </w:rPr>
      </w:pPr>
      <w:r>
        <w:rPr>
          <w:rFonts w:ascii="Arial" w:hAnsi="Arial" w:cs="Arial"/>
          <w:sz w:val="22"/>
          <w:szCs w:val="22"/>
        </w:rPr>
        <w:pict w14:anchorId="5FB3150E">
          <v:rect id="_x0000_i1025" style="width:0;height:1.5pt" o:hralign="center" o:hrstd="t" o:hr="t" fillcolor="#a0a0a0" stroked="f"/>
        </w:pict>
      </w:r>
    </w:p>
    <w:p w14:paraId="73864E44" w14:textId="0639A1E2" w:rsidR="00AF051F" w:rsidRPr="00FE4C6B" w:rsidRDefault="00AF051F" w:rsidP="00FE4C6B">
      <w:pPr>
        <w:pStyle w:val="Prrafodelista"/>
        <w:numPr>
          <w:ilvl w:val="0"/>
          <w:numId w:val="31"/>
        </w:numPr>
        <w:spacing w:line="276" w:lineRule="auto"/>
        <w:jc w:val="both"/>
        <w:rPr>
          <w:rFonts w:ascii="Arial" w:hAnsi="Arial" w:cs="Arial"/>
          <w:b/>
          <w:bCs/>
          <w:sz w:val="22"/>
          <w:szCs w:val="22"/>
        </w:rPr>
      </w:pPr>
      <w:r w:rsidRPr="00FE4C6B">
        <w:rPr>
          <w:rFonts w:ascii="Arial" w:hAnsi="Arial" w:cs="Arial"/>
          <w:b/>
          <w:bCs/>
          <w:sz w:val="22"/>
          <w:szCs w:val="22"/>
        </w:rPr>
        <w:t>JUSTIFICACIÓN</w:t>
      </w:r>
    </w:p>
    <w:p w14:paraId="7F1C7F75" w14:textId="43FFEB9B" w:rsidR="00DE7B5D" w:rsidRPr="00DE7B5D" w:rsidRDefault="00DE7B5D" w:rsidP="00DE7B5D">
      <w:pPr>
        <w:spacing w:line="276" w:lineRule="auto"/>
        <w:jc w:val="both"/>
        <w:rPr>
          <w:rFonts w:ascii="Arial" w:hAnsi="Arial" w:cs="Arial"/>
          <w:sz w:val="22"/>
          <w:szCs w:val="22"/>
        </w:rPr>
      </w:pPr>
      <w:r w:rsidRPr="00DE7B5D">
        <w:rPr>
          <w:rFonts w:ascii="Arial" w:hAnsi="Arial" w:cs="Arial"/>
          <w:sz w:val="22"/>
          <w:szCs w:val="22"/>
        </w:rPr>
        <w:t xml:space="preserve">Dentro del desarrollo profesional de un ingeniero civil, y particularmente en el campo de la hidráulica, resulta indispensable una conceptualización profunda que permita comprender el comportamiento del </w:t>
      </w:r>
      <w:r w:rsidR="00B07CBB">
        <w:rPr>
          <w:rFonts w:ascii="Arial" w:hAnsi="Arial" w:cs="Arial"/>
          <w:sz w:val="22"/>
          <w:szCs w:val="22"/>
        </w:rPr>
        <w:t>flujo</w:t>
      </w:r>
      <w:r w:rsidRPr="00DE7B5D">
        <w:rPr>
          <w:rFonts w:ascii="Arial" w:hAnsi="Arial" w:cs="Arial"/>
          <w:sz w:val="22"/>
          <w:szCs w:val="22"/>
        </w:rPr>
        <w:t xml:space="preserve"> más allá de la aplicación mecánica de ecuaciones. La formación en esta área no puede reducirse a la resolución de ejercicios numéricos; requiere un contexto que conecte los fundamentos físicos con situaciones reales de diseño y análisis.</w:t>
      </w:r>
    </w:p>
    <w:p w14:paraId="6EABBCB2" w14:textId="77777777" w:rsidR="00DE7B5D" w:rsidRDefault="00DE7B5D" w:rsidP="00DE7B5D">
      <w:pPr>
        <w:spacing w:line="276" w:lineRule="auto"/>
        <w:jc w:val="both"/>
        <w:rPr>
          <w:rFonts w:ascii="Arial" w:hAnsi="Arial" w:cs="Arial"/>
          <w:sz w:val="22"/>
          <w:szCs w:val="22"/>
        </w:rPr>
      </w:pPr>
      <w:r w:rsidRPr="00DE7B5D">
        <w:rPr>
          <w:rFonts w:ascii="Arial" w:hAnsi="Arial" w:cs="Arial"/>
          <w:sz w:val="22"/>
          <w:szCs w:val="22"/>
        </w:rPr>
        <w:t>En los programas académicos, no siempre es sencillo que el estudiante logre integrar de manera coherente los conocimientos adquiridos en las diferentes asignaturas del área curricular. Con frecuencia, los contenidos se presentan de forma fragmentada: primero la mecánica de fluidos, luego la hidráulica y, posteriormente, el diseño aplicado a sistemas de saneamiento o a estructuras hidráulicas. Aunque esta secuencia responde a una lógica curricular progresiva, no garantiza por sí misma que el estudiante desarrolle la competencia necesaria para relacionar los conceptos entre sí y aplicarlos de manera articulada en situaciones reales.</w:t>
      </w:r>
    </w:p>
    <w:p w14:paraId="14FC973B" w14:textId="56439DFA" w:rsidR="00DE7B5D" w:rsidRPr="00DE7B5D" w:rsidRDefault="00DE7B5D" w:rsidP="00DE7B5D">
      <w:pPr>
        <w:spacing w:line="276" w:lineRule="auto"/>
        <w:jc w:val="both"/>
        <w:rPr>
          <w:rFonts w:ascii="Arial" w:hAnsi="Arial" w:cs="Arial"/>
          <w:sz w:val="22"/>
          <w:szCs w:val="22"/>
        </w:rPr>
      </w:pPr>
      <w:r w:rsidRPr="00DE7B5D">
        <w:rPr>
          <w:rFonts w:ascii="Arial" w:hAnsi="Arial" w:cs="Arial"/>
          <w:sz w:val="22"/>
          <w:szCs w:val="22"/>
        </w:rPr>
        <w:t xml:space="preserve">En la práctica docente es común observar que muchos procesos de aprendizaje terminan centrados en la memorización de fórmulas, coeficientes y procedimientos de cálculo. El estudiante aprende a resolver problemas típicos de libro, pero no necesariamente comprende qué representa físicamente cada término de la ecuación ni cuáles son las implicaciones de </w:t>
      </w:r>
      <w:r>
        <w:rPr>
          <w:rFonts w:ascii="Arial" w:hAnsi="Arial" w:cs="Arial"/>
          <w:sz w:val="22"/>
          <w:szCs w:val="22"/>
        </w:rPr>
        <w:t>modificar alunas de las variables del sistema</w:t>
      </w:r>
      <w:r w:rsidRPr="00DE7B5D">
        <w:rPr>
          <w:rFonts w:ascii="Arial" w:hAnsi="Arial" w:cs="Arial"/>
          <w:sz w:val="22"/>
          <w:szCs w:val="22"/>
        </w:rPr>
        <w:t>. Esta forma de aprendizaje, basada principalmente en la repetición, limita la capacidad de análisis crítico y dificulta la transferencia del conocimiento a situaciones reales.</w:t>
      </w:r>
    </w:p>
    <w:p w14:paraId="5D3071C5" w14:textId="4122AE66" w:rsidR="00A748D2" w:rsidRPr="00A748D2" w:rsidRDefault="00A748D2" w:rsidP="00A748D2">
      <w:pPr>
        <w:spacing w:line="276" w:lineRule="auto"/>
        <w:jc w:val="both"/>
        <w:rPr>
          <w:rFonts w:ascii="Arial" w:hAnsi="Arial" w:cs="Arial"/>
          <w:sz w:val="22"/>
          <w:szCs w:val="22"/>
        </w:rPr>
      </w:pPr>
      <w:r w:rsidRPr="00A748D2">
        <w:rPr>
          <w:rFonts w:ascii="Arial" w:hAnsi="Arial" w:cs="Arial"/>
          <w:sz w:val="22"/>
          <w:szCs w:val="22"/>
        </w:rPr>
        <w:t>En el área de la hidráulica, esta limitación resulta particularmente crítica. Conceptos como la energía específica, el régimen crítico, las pérdidas, el resalto hidráulico o el flujo gradualmente variado no constituyen únicamente herramientas matemáticas para resolver ejercicios; son la expresión de fenómenos físicos que interactúan simultáneamente en sistemas reales. En un sistema hidráulico, estos procesos no ocurren de manera aislada, sino que se condicionan mutuamente y determinan el comportamiento global del sistema.</w:t>
      </w:r>
    </w:p>
    <w:p w14:paraId="057F6DF9" w14:textId="0C29D952" w:rsidR="00081A1B" w:rsidRPr="00081A1B" w:rsidRDefault="00081A1B" w:rsidP="00081A1B">
      <w:pPr>
        <w:spacing w:line="276" w:lineRule="auto"/>
        <w:jc w:val="both"/>
        <w:rPr>
          <w:rFonts w:ascii="Arial" w:hAnsi="Arial" w:cs="Arial"/>
          <w:sz w:val="22"/>
          <w:szCs w:val="22"/>
        </w:rPr>
      </w:pPr>
      <w:r w:rsidRPr="00081A1B">
        <w:rPr>
          <w:rFonts w:ascii="Arial" w:hAnsi="Arial" w:cs="Arial"/>
          <w:sz w:val="22"/>
          <w:szCs w:val="22"/>
        </w:rPr>
        <w:t xml:space="preserve">Dentro de mi experiencia particular, pude observar que en una fase temprana </w:t>
      </w:r>
      <w:r>
        <w:rPr>
          <w:rFonts w:ascii="Arial" w:hAnsi="Arial" w:cs="Arial"/>
          <w:sz w:val="22"/>
          <w:szCs w:val="22"/>
        </w:rPr>
        <w:t>de mi</w:t>
      </w:r>
      <w:r w:rsidRPr="00081A1B">
        <w:rPr>
          <w:rFonts w:ascii="Arial" w:hAnsi="Arial" w:cs="Arial"/>
          <w:sz w:val="22"/>
          <w:szCs w:val="22"/>
        </w:rPr>
        <w:t xml:space="preserve"> desarrollo profesional </w:t>
      </w:r>
      <w:r>
        <w:rPr>
          <w:rFonts w:ascii="Arial" w:hAnsi="Arial" w:cs="Arial"/>
          <w:sz w:val="22"/>
          <w:szCs w:val="22"/>
        </w:rPr>
        <w:t xml:space="preserve">que </w:t>
      </w:r>
      <w:r w:rsidRPr="00081A1B">
        <w:rPr>
          <w:rFonts w:ascii="Arial" w:hAnsi="Arial" w:cs="Arial"/>
          <w:sz w:val="22"/>
          <w:szCs w:val="22"/>
        </w:rPr>
        <w:t xml:space="preserve">la aplicación integrada de los conceptos adquiridos no es </w:t>
      </w:r>
      <w:r>
        <w:rPr>
          <w:rFonts w:ascii="Arial" w:hAnsi="Arial" w:cs="Arial"/>
          <w:sz w:val="22"/>
          <w:szCs w:val="22"/>
        </w:rPr>
        <w:t>evidente</w:t>
      </w:r>
      <w:r w:rsidRPr="00081A1B">
        <w:rPr>
          <w:rFonts w:ascii="Arial" w:hAnsi="Arial" w:cs="Arial"/>
          <w:sz w:val="22"/>
          <w:szCs w:val="22"/>
        </w:rPr>
        <w:t xml:space="preserve"> a simple vista. Esto genera una sensación de frustración: se tiene la teoría, se conocen las ecuaciones, pero no necesariamente se cuenta con la conceptualización suficiente para interpretar un sistema hidráulico complejo en su conjunto. Identificar cuáles son los elementos que realmente condicionan el comportamiento del sistema, cuáles variables son determinantes y cómo interactúan entre sí, requiere un proceso de </w:t>
      </w:r>
      <w:r>
        <w:rPr>
          <w:rFonts w:ascii="Arial" w:hAnsi="Arial" w:cs="Arial"/>
          <w:sz w:val="22"/>
          <w:szCs w:val="22"/>
        </w:rPr>
        <w:t>aprendizaje</w:t>
      </w:r>
      <w:r w:rsidRPr="00081A1B">
        <w:rPr>
          <w:rFonts w:ascii="Arial" w:hAnsi="Arial" w:cs="Arial"/>
          <w:sz w:val="22"/>
          <w:szCs w:val="22"/>
        </w:rPr>
        <w:t xml:space="preserve"> que no siempre se alcanza durante la formación </w:t>
      </w:r>
      <w:r>
        <w:rPr>
          <w:rFonts w:ascii="Arial" w:hAnsi="Arial" w:cs="Arial"/>
          <w:sz w:val="22"/>
          <w:szCs w:val="22"/>
        </w:rPr>
        <w:t>académica</w:t>
      </w:r>
      <w:r w:rsidRPr="00081A1B">
        <w:rPr>
          <w:rFonts w:ascii="Arial" w:hAnsi="Arial" w:cs="Arial"/>
          <w:sz w:val="22"/>
          <w:szCs w:val="22"/>
        </w:rPr>
        <w:t>.</w:t>
      </w:r>
    </w:p>
    <w:p w14:paraId="370C2D5C" w14:textId="0C805092" w:rsidR="00081A1B" w:rsidRPr="00081A1B" w:rsidRDefault="00081A1B" w:rsidP="00081A1B">
      <w:pPr>
        <w:spacing w:line="276" w:lineRule="auto"/>
        <w:jc w:val="both"/>
        <w:rPr>
          <w:rFonts w:ascii="Arial" w:hAnsi="Arial" w:cs="Arial"/>
          <w:sz w:val="22"/>
          <w:szCs w:val="22"/>
        </w:rPr>
      </w:pPr>
      <w:r w:rsidRPr="00081A1B">
        <w:rPr>
          <w:rFonts w:ascii="Arial" w:hAnsi="Arial" w:cs="Arial"/>
          <w:sz w:val="22"/>
          <w:szCs w:val="22"/>
        </w:rPr>
        <w:lastRenderedPageBreak/>
        <w:t xml:space="preserve">En mis primeros retos profesionales asociados a proyectos de alta complejidad —particularmente en sistemas que involucraban el desarrollo de estructuras hidráulicas— comprendí que conocer la ecuación de energía o calcular una pérdida de carga no me permitía visualizar el problema en su totalidad. Las formulaciones estaban, pero aún no lograba interpretar qué representaban realmente dentro del </w:t>
      </w:r>
      <w:r>
        <w:rPr>
          <w:rFonts w:ascii="Arial" w:hAnsi="Arial" w:cs="Arial"/>
          <w:sz w:val="22"/>
          <w:szCs w:val="22"/>
        </w:rPr>
        <w:t>sistema en su conjunto</w:t>
      </w:r>
      <w:r w:rsidRPr="00081A1B">
        <w:rPr>
          <w:rFonts w:ascii="Arial" w:hAnsi="Arial" w:cs="Arial"/>
          <w:sz w:val="22"/>
          <w:szCs w:val="22"/>
        </w:rPr>
        <w:t>.</w:t>
      </w:r>
    </w:p>
    <w:p w14:paraId="19F937DD" w14:textId="739A51BF" w:rsidR="008C5494" w:rsidRPr="008C5494" w:rsidRDefault="008C5494" w:rsidP="008C5494">
      <w:pPr>
        <w:spacing w:line="276" w:lineRule="auto"/>
        <w:jc w:val="both"/>
        <w:rPr>
          <w:rFonts w:ascii="Arial" w:hAnsi="Arial" w:cs="Arial"/>
          <w:sz w:val="22"/>
          <w:szCs w:val="22"/>
        </w:rPr>
      </w:pPr>
      <w:r w:rsidRPr="008C5494">
        <w:rPr>
          <w:rFonts w:ascii="Arial" w:hAnsi="Arial" w:cs="Arial"/>
          <w:sz w:val="22"/>
          <w:szCs w:val="22"/>
        </w:rPr>
        <w:t>Con el tiempo comprendí que la diferencia entre resolver un ejercicio y analizar un sistema radica en la conceptualización. Cuando se logra visualizar cómo interactúan los distintos elementos de un sistema hidráulico y cómo estos condicionan los procesos que ocurren en su interior, el análisis deja de depender de la memorización de fórmulas o de la aplicación automática de “recetas”. Se comienza, en cambio, a entender el trasfondo del problema</w:t>
      </w:r>
      <w:r>
        <w:rPr>
          <w:rFonts w:ascii="Arial" w:hAnsi="Arial" w:cs="Arial"/>
          <w:sz w:val="22"/>
          <w:szCs w:val="22"/>
        </w:rPr>
        <w:t>.</w:t>
      </w:r>
    </w:p>
    <w:p w14:paraId="08E0D0E3" w14:textId="2B43EE84" w:rsidR="008C5494" w:rsidRPr="008C5494" w:rsidRDefault="008C5494" w:rsidP="008C5494">
      <w:pPr>
        <w:spacing w:line="276" w:lineRule="auto"/>
        <w:jc w:val="both"/>
        <w:rPr>
          <w:rFonts w:ascii="Arial" w:hAnsi="Arial" w:cs="Arial"/>
          <w:sz w:val="22"/>
          <w:szCs w:val="22"/>
        </w:rPr>
      </w:pPr>
      <w:r w:rsidRPr="008C5494">
        <w:rPr>
          <w:rFonts w:ascii="Arial" w:hAnsi="Arial" w:cs="Arial"/>
          <w:sz w:val="22"/>
          <w:szCs w:val="22"/>
        </w:rPr>
        <w:t xml:space="preserve">Esa comprensión abre una nueva dimensión del ejercicio profesional. Una vez se </w:t>
      </w:r>
      <w:r w:rsidR="000A16EF">
        <w:rPr>
          <w:rFonts w:ascii="Arial" w:hAnsi="Arial" w:cs="Arial"/>
          <w:sz w:val="22"/>
          <w:szCs w:val="22"/>
        </w:rPr>
        <w:t>interiorizan</w:t>
      </w:r>
      <w:r w:rsidRPr="008C5494">
        <w:rPr>
          <w:rFonts w:ascii="Arial" w:hAnsi="Arial" w:cs="Arial"/>
          <w:sz w:val="22"/>
          <w:szCs w:val="22"/>
        </w:rPr>
        <w:t xml:space="preserve"> los fundamentos de manera integrada, es posible enfrentarse a problemas hidráulicos que no se han visto antes con mayor seguridad y criterio. Aunque el escenario sea nuevo, los principios siguen siendo los mismos; lo que cambia es la forma de interpretarlos y aplicarlos. En la medida en que surgen nuevos retos de diseño, </w:t>
      </w:r>
      <w:r>
        <w:rPr>
          <w:rFonts w:ascii="Arial" w:hAnsi="Arial" w:cs="Arial"/>
          <w:sz w:val="22"/>
          <w:szCs w:val="22"/>
        </w:rPr>
        <w:t xml:space="preserve">se </w:t>
      </w:r>
      <w:r w:rsidRPr="008C5494">
        <w:rPr>
          <w:rFonts w:ascii="Arial" w:hAnsi="Arial" w:cs="Arial"/>
          <w:sz w:val="22"/>
          <w:szCs w:val="22"/>
        </w:rPr>
        <w:t>aprende a evaluar con mayor claridad las alternativas, a discernir cuál solución es coherente desde el punto de vista hidráulico y a anticipar posibles comportamientos no deseados del sistema.</w:t>
      </w:r>
    </w:p>
    <w:p w14:paraId="2B260BD1" w14:textId="77777777" w:rsidR="00106591" w:rsidRPr="00106591" w:rsidRDefault="00106591" w:rsidP="00106591">
      <w:pPr>
        <w:spacing w:line="276" w:lineRule="auto"/>
        <w:jc w:val="both"/>
        <w:rPr>
          <w:rFonts w:ascii="Arial" w:hAnsi="Arial" w:cs="Arial"/>
          <w:sz w:val="22"/>
          <w:szCs w:val="22"/>
        </w:rPr>
      </w:pPr>
      <w:r w:rsidRPr="00106591">
        <w:rPr>
          <w:rFonts w:ascii="Arial" w:hAnsi="Arial" w:cs="Arial"/>
          <w:sz w:val="22"/>
          <w:szCs w:val="22"/>
        </w:rPr>
        <w:t>Con el paso del tiempo confirmé que el enfoque formativo privilegia la rigurosidad matemática —indispensable— pero no siempre la interpretación del fenómeno físico ni la toma de decisiones bajo condiciones reales. Se forman profesionales sólidos en teoría, pero con dificultades cuando enfrentan escenarios complejos donde la información es incompleta y no existe una respuesta única.</w:t>
      </w:r>
    </w:p>
    <w:p w14:paraId="100A848E" w14:textId="77777777" w:rsidR="008C5494" w:rsidRPr="008C5494" w:rsidRDefault="008C5494" w:rsidP="008C5494">
      <w:pPr>
        <w:spacing w:line="276" w:lineRule="auto"/>
        <w:jc w:val="both"/>
        <w:rPr>
          <w:rFonts w:ascii="Arial" w:hAnsi="Arial" w:cs="Arial"/>
          <w:sz w:val="22"/>
          <w:szCs w:val="22"/>
        </w:rPr>
      </w:pPr>
      <w:r w:rsidRPr="008C5494">
        <w:rPr>
          <w:rFonts w:ascii="Arial" w:hAnsi="Arial" w:cs="Arial"/>
          <w:sz w:val="22"/>
          <w:szCs w:val="22"/>
        </w:rPr>
        <w:t>En el ejercicio profesional, el error y la incertidumbre forman parte del proceso. Cada equivocación, cuando es analizada críticamente, fortalece el aprendizaje y profundiza el entendimiento del sistema. Sin embargo, cuando la formación se centra únicamente en obtener el resultado correcto, se limita la posibilidad de explorar, cuestionar y aprender de las inconsistencias. El estudiante aprende a evitar el error, pero no necesariamente a comprenderlo.</w:t>
      </w:r>
    </w:p>
    <w:p w14:paraId="1623B3BF" w14:textId="77777777" w:rsidR="00B60FAA" w:rsidRPr="00B60FAA" w:rsidRDefault="00B60FAA" w:rsidP="00B60FAA">
      <w:pPr>
        <w:spacing w:line="276" w:lineRule="auto"/>
        <w:jc w:val="both"/>
        <w:rPr>
          <w:rFonts w:ascii="Arial" w:hAnsi="Arial" w:cs="Arial"/>
          <w:sz w:val="22"/>
          <w:szCs w:val="22"/>
        </w:rPr>
      </w:pPr>
      <w:r w:rsidRPr="00B60FAA">
        <w:rPr>
          <w:rFonts w:ascii="Arial" w:hAnsi="Arial" w:cs="Arial"/>
          <w:sz w:val="22"/>
          <w:szCs w:val="22"/>
        </w:rPr>
        <w:t>Una vez dicho esto, y sin ánimo de descalificar el proceso de enseñanza del cual también soy parte y por el cual siento una profunda gratitud —pues ha sido la base de mi desarrollo profesional— considero que es necesario reconocer que el contexto actual exige ciertos ajustes. Las nuevas necesidades del entorno, la creciente complejidad de los proyectos y la exposición permanente a herramientas tecnológicas avanzadas demandan una formación más conectada con la realidad profesional.</w:t>
      </w:r>
    </w:p>
    <w:p w14:paraId="484C7614" w14:textId="77777777" w:rsidR="00210F87" w:rsidRPr="00210F87" w:rsidRDefault="00210F87" w:rsidP="00210F87">
      <w:pPr>
        <w:spacing w:line="276" w:lineRule="auto"/>
        <w:jc w:val="both"/>
        <w:rPr>
          <w:rFonts w:ascii="Arial" w:hAnsi="Arial" w:cs="Arial"/>
          <w:sz w:val="22"/>
          <w:szCs w:val="22"/>
        </w:rPr>
      </w:pPr>
      <w:r w:rsidRPr="00210F87">
        <w:rPr>
          <w:rFonts w:ascii="Arial" w:hAnsi="Arial" w:cs="Arial"/>
          <w:sz w:val="22"/>
          <w:szCs w:val="22"/>
        </w:rPr>
        <w:t>No todos los egresados se dedicarán a la investigación o a la producción académica. Un alto porcentaje ingresará directamente al mercado laboral, donde deberá tomar decisiones técnicas bajo presión, interpretar información incompleta y asumir responsabilidad sobre el impacto de sus determinaciones. En ese escenario, la principal dificultad que he observado no radica en la falta de conocimientos teóricos, sino en la capacidad de discernir, interpretar y evaluar críticamente lo que se está haciendo.</w:t>
      </w:r>
    </w:p>
    <w:p w14:paraId="385AC292" w14:textId="77777777" w:rsidR="00210F87" w:rsidRPr="00210F87" w:rsidRDefault="00210F87" w:rsidP="00210F87">
      <w:pPr>
        <w:spacing w:line="276" w:lineRule="auto"/>
        <w:jc w:val="both"/>
        <w:rPr>
          <w:rFonts w:ascii="Arial" w:hAnsi="Arial" w:cs="Arial"/>
          <w:sz w:val="22"/>
          <w:szCs w:val="22"/>
        </w:rPr>
      </w:pPr>
      <w:r w:rsidRPr="00210F87">
        <w:rPr>
          <w:rFonts w:ascii="Arial" w:hAnsi="Arial" w:cs="Arial"/>
          <w:sz w:val="22"/>
          <w:szCs w:val="22"/>
        </w:rPr>
        <w:lastRenderedPageBreak/>
        <w:t>Con frecuencia persiste la tendencia a justificar decisiones técnicas con argumentos como “así lo aprendí”, “así se ha hecho siempre” o “así me indicaron que debía hacerlo”. Este tipo de respuestas revela una formación centrada en la reproducción de procedimientos más que en la comprensión profunda de los fundamentos. Cuando el profesional no cuestiona ni analiza las hipótesis implícitas en un cálculo, pierde la oportunidad de fortalecer su criterio técnico y de adaptar el conocimiento a condiciones particulares.</w:t>
      </w:r>
    </w:p>
    <w:p w14:paraId="33BE1963" w14:textId="77777777" w:rsidR="000A16EF" w:rsidRPr="000A16EF" w:rsidRDefault="000A16EF" w:rsidP="000A16EF">
      <w:pPr>
        <w:spacing w:line="276" w:lineRule="auto"/>
        <w:jc w:val="both"/>
        <w:rPr>
          <w:rFonts w:ascii="Arial" w:hAnsi="Arial" w:cs="Arial"/>
          <w:sz w:val="22"/>
          <w:szCs w:val="22"/>
        </w:rPr>
      </w:pPr>
      <w:r w:rsidRPr="000A16EF">
        <w:rPr>
          <w:rFonts w:ascii="Arial" w:hAnsi="Arial" w:cs="Arial"/>
          <w:sz w:val="22"/>
          <w:szCs w:val="22"/>
        </w:rPr>
        <w:t xml:space="preserve">En un campo como la hidráulica, cuya amplitud temática exige una visión integradora, resulta fundamental recuperar el sentido conceptual de los fundamentos clásicos. El análisis del flujo en canales abiertos desarrollado por Chow (1959), los estudios sobre resistencia hidráulica y pérdidas en conducciones (Rocha Felices, 1998; Crane, 1988), así como la literatura sobre estructuras hidráulicas mayores y disipación de energía (Novak et al., 2007; </w:t>
      </w:r>
      <w:proofErr w:type="spellStart"/>
      <w:r w:rsidRPr="000A16EF">
        <w:rPr>
          <w:rFonts w:ascii="Arial" w:hAnsi="Arial" w:cs="Arial"/>
          <w:sz w:val="22"/>
          <w:szCs w:val="22"/>
        </w:rPr>
        <w:t>U.S</w:t>
      </w:r>
      <w:proofErr w:type="spellEnd"/>
      <w:r w:rsidRPr="000A16EF">
        <w:rPr>
          <w:rFonts w:ascii="Arial" w:hAnsi="Arial" w:cs="Arial"/>
          <w:sz w:val="22"/>
          <w:szCs w:val="22"/>
        </w:rPr>
        <w:t xml:space="preserve">. Army Corps </w:t>
      </w:r>
      <w:proofErr w:type="spellStart"/>
      <w:r w:rsidRPr="000A16EF">
        <w:rPr>
          <w:rFonts w:ascii="Arial" w:hAnsi="Arial" w:cs="Arial"/>
          <w:sz w:val="22"/>
          <w:szCs w:val="22"/>
        </w:rPr>
        <w:t>of</w:t>
      </w:r>
      <w:proofErr w:type="spellEnd"/>
      <w:r w:rsidRPr="000A16EF">
        <w:rPr>
          <w:rFonts w:ascii="Arial" w:hAnsi="Arial" w:cs="Arial"/>
          <w:sz w:val="22"/>
          <w:szCs w:val="22"/>
        </w:rPr>
        <w:t xml:space="preserve"> </w:t>
      </w:r>
      <w:proofErr w:type="spellStart"/>
      <w:r w:rsidRPr="000A16EF">
        <w:rPr>
          <w:rFonts w:ascii="Arial" w:hAnsi="Arial" w:cs="Arial"/>
          <w:sz w:val="22"/>
          <w:szCs w:val="22"/>
        </w:rPr>
        <w:t>Engineers</w:t>
      </w:r>
      <w:proofErr w:type="spellEnd"/>
      <w:r w:rsidRPr="000A16EF">
        <w:rPr>
          <w:rFonts w:ascii="Arial" w:hAnsi="Arial" w:cs="Arial"/>
          <w:sz w:val="22"/>
          <w:szCs w:val="22"/>
        </w:rPr>
        <w:t>, 1983, 1987; Mosonyi, 1991), evidencian que el diseño hidráulico se sustenta en una comprensión articulada de masa, energía y cantidad de movimiento.</w:t>
      </w:r>
    </w:p>
    <w:p w14:paraId="1EE0AFFA" w14:textId="0D841469" w:rsidR="000A16EF" w:rsidRPr="000A16EF" w:rsidRDefault="000A16EF" w:rsidP="000A16EF">
      <w:pPr>
        <w:spacing w:line="276" w:lineRule="auto"/>
        <w:jc w:val="both"/>
        <w:rPr>
          <w:rFonts w:ascii="Arial" w:hAnsi="Arial" w:cs="Arial"/>
          <w:sz w:val="22"/>
          <w:szCs w:val="22"/>
        </w:rPr>
      </w:pPr>
      <w:r w:rsidRPr="000A16EF">
        <w:rPr>
          <w:rFonts w:ascii="Arial" w:hAnsi="Arial" w:cs="Arial"/>
          <w:sz w:val="22"/>
          <w:szCs w:val="22"/>
        </w:rPr>
        <w:t>La formación en Hidráulica debe, por tanto, hacer explícita esta integración conceptual. No se trata de reducir el rigor matemático, sino de complementarlo con interpretación física, análisis crítico y criterio profesional. Solo así será posible formar ingenieros capaces de enfrentar sistemas hidráulicos complejos con responsabilidad técnica y conciencia del impacto real de sus decisiones.</w:t>
      </w:r>
    </w:p>
    <w:p w14:paraId="6654E287" w14:textId="77777777" w:rsidR="00216495" w:rsidRPr="00210F87" w:rsidRDefault="00216495" w:rsidP="00210F87">
      <w:pPr>
        <w:spacing w:line="276" w:lineRule="auto"/>
        <w:jc w:val="both"/>
        <w:rPr>
          <w:rFonts w:ascii="Arial" w:hAnsi="Arial" w:cs="Arial"/>
          <w:sz w:val="22"/>
          <w:szCs w:val="22"/>
        </w:rPr>
      </w:pPr>
    </w:p>
    <w:p w14:paraId="1E5F999F" w14:textId="77777777" w:rsidR="00AF051F" w:rsidRPr="00AF051F" w:rsidRDefault="00000000" w:rsidP="002A60A8">
      <w:pPr>
        <w:spacing w:line="276" w:lineRule="auto"/>
        <w:jc w:val="both"/>
        <w:rPr>
          <w:rFonts w:ascii="Arial" w:hAnsi="Arial" w:cs="Arial"/>
          <w:sz w:val="22"/>
          <w:szCs w:val="22"/>
        </w:rPr>
      </w:pPr>
      <w:r>
        <w:rPr>
          <w:rFonts w:ascii="Arial" w:hAnsi="Arial" w:cs="Arial"/>
          <w:sz w:val="22"/>
          <w:szCs w:val="22"/>
        </w:rPr>
        <w:pict w14:anchorId="743B97D2">
          <v:rect id="_x0000_i1026" style="width:0;height:1.5pt" o:hralign="center" o:hrstd="t" o:hr="t" fillcolor="#a0a0a0" stroked="f"/>
        </w:pict>
      </w:r>
    </w:p>
    <w:p w14:paraId="46F73AF0" w14:textId="1DB72519" w:rsidR="00216495" w:rsidRPr="00FE4C6B" w:rsidRDefault="00FE4C6B" w:rsidP="00FE4C6B">
      <w:pPr>
        <w:pStyle w:val="Prrafodelista"/>
        <w:numPr>
          <w:ilvl w:val="0"/>
          <w:numId w:val="31"/>
        </w:numPr>
        <w:spacing w:line="276" w:lineRule="auto"/>
        <w:jc w:val="both"/>
        <w:rPr>
          <w:rFonts w:ascii="Arial" w:hAnsi="Arial" w:cs="Arial"/>
          <w:b/>
          <w:bCs/>
          <w:sz w:val="22"/>
          <w:szCs w:val="22"/>
        </w:rPr>
      </w:pPr>
      <w:r w:rsidRPr="00FE4C6B">
        <w:rPr>
          <w:rFonts w:ascii="Arial" w:hAnsi="Arial" w:cs="Arial"/>
          <w:b/>
          <w:bCs/>
          <w:sz w:val="22"/>
          <w:szCs w:val="22"/>
        </w:rPr>
        <w:t>OBJETIVO GENERAL</w:t>
      </w:r>
    </w:p>
    <w:p w14:paraId="089C9245" w14:textId="6F53E23E" w:rsidR="004A4F3C" w:rsidRPr="004A4F3C" w:rsidRDefault="004A4F3C" w:rsidP="004A4F3C">
      <w:pPr>
        <w:spacing w:line="276" w:lineRule="auto"/>
        <w:jc w:val="both"/>
        <w:rPr>
          <w:rFonts w:ascii="Arial" w:hAnsi="Arial" w:cs="Arial"/>
          <w:sz w:val="22"/>
          <w:szCs w:val="22"/>
        </w:rPr>
      </w:pPr>
      <w:r w:rsidRPr="004A4F3C">
        <w:rPr>
          <w:rFonts w:ascii="Arial" w:hAnsi="Arial" w:cs="Arial"/>
          <w:sz w:val="22"/>
          <w:szCs w:val="22"/>
        </w:rPr>
        <w:t xml:space="preserve">Contribuir al fortalecimiento del área de Hidráulica a partir de la experiencia profesional adquirida, promoviendo una formación que integre docencia, investigación y extensión, orientada a la comprensión de conceptos y su aplicación en situaciones concretas, dentro de un proceso </w:t>
      </w:r>
      <w:r w:rsidR="00B07CBB">
        <w:rPr>
          <w:rFonts w:ascii="Arial" w:hAnsi="Arial" w:cs="Arial"/>
          <w:sz w:val="22"/>
          <w:szCs w:val="22"/>
        </w:rPr>
        <w:t>formativo</w:t>
      </w:r>
      <w:r w:rsidRPr="004A4F3C">
        <w:rPr>
          <w:rFonts w:ascii="Arial" w:hAnsi="Arial" w:cs="Arial"/>
          <w:sz w:val="22"/>
          <w:szCs w:val="22"/>
        </w:rPr>
        <w:t xml:space="preserve"> que permita desarrollar en los estudiantes criterio técnico y capacidad de análisis frente a problemas de diseño e infraestructura.</w:t>
      </w:r>
    </w:p>
    <w:p w14:paraId="4050DA1D" w14:textId="77777777" w:rsidR="00216495" w:rsidRPr="00216495" w:rsidRDefault="00000000" w:rsidP="00216495">
      <w:pPr>
        <w:spacing w:line="276" w:lineRule="auto"/>
        <w:jc w:val="both"/>
        <w:rPr>
          <w:rFonts w:ascii="Arial" w:hAnsi="Arial" w:cs="Arial"/>
          <w:sz w:val="22"/>
          <w:szCs w:val="22"/>
        </w:rPr>
      </w:pPr>
      <w:r>
        <w:rPr>
          <w:rFonts w:ascii="Arial" w:hAnsi="Arial" w:cs="Arial"/>
          <w:sz w:val="22"/>
          <w:szCs w:val="22"/>
        </w:rPr>
        <w:pict w14:anchorId="02E5DA60">
          <v:rect id="_x0000_i1027" style="width:0;height:1.5pt" o:hralign="center" o:hrstd="t" o:hr="t" fillcolor="#a0a0a0" stroked="f"/>
        </w:pict>
      </w:r>
    </w:p>
    <w:p w14:paraId="78CC595B" w14:textId="2EE7F2AE" w:rsidR="00216495" w:rsidRPr="00FE4C6B" w:rsidRDefault="00FE4C6B" w:rsidP="00216495">
      <w:pPr>
        <w:spacing w:line="276" w:lineRule="auto"/>
        <w:jc w:val="both"/>
        <w:rPr>
          <w:rFonts w:ascii="Arial" w:hAnsi="Arial" w:cs="Arial"/>
          <w:b/>
          <w:bCs/>
          <w:sz w:val="22"/>
          <w:szCs w:val="22"/>
        </w:rPr>
      </w:pPr>
      <w:r w:rsidRPr="00FE4C6B">
        <w:rPr>
          <w:rFonts w:ascii="Arial" w:hAnsi="Arial" w:cs="Arial"/>
          <w:b/>
          <w:bCs/>
          <w:sz w:val="22"/>
          <w:szCs w:val="22"/>
        </w:rPr>
        <w:t>OBJETIVOS ESPECÍFICOS</w:t>
      </w:r>
    </w:p>
    <w:p w14:paraId="522C1FE4" w14:textId="77777777" w:rsidR="004A4F3C" w:rsidRPr="004A4F3C" w:rsidRDefault="004A4F3C" w:rsidP="004A4F3C">
      <w:pPr>
        <w:numPr>
          <w:ilvl w:val="0"/>
          <w:numId w:val="29"/>
        </w:numPr>
        <w:spacing w:line="276" w:lineRule="auto"/>
        <w:jc w:val="both"/>
        <w:rPr>
          <w:rFonts w:ascii="Arial" w:hAnsi="Arial" w:cs="Arial"/>
          <w:sz w:val="22"/>
          <w:szCs w:val="22"/>
        </w:rPr>
      </w:pPr>
      <w:r w:rsidRPr="004A4F3C">
        <w:rPr>
          <w:rFonts w:ascii="Arial" w:hAnsi="Arial" w:cs="Arial"/>
          <w:sz w:val="22"/>
          <w:szCs w:val="22"/>
        </w:rPr>
        <w:t>Promover una enseñanza de la hidráulica centrada en la comprensión conceptual de los principios fundamentales —continuidad, energía y cantidad de movimiento— como base común para interpretar distintos fenómenos y aplicaciones.</w:t>
      </w:r>
    </w:p>
    <w:p w14:paraId="01D060EC" w14:textId="77777777" w:rsidR="004A4F3C" w:rsidRPr="004A4F3C" w:rsidRDefault="004A4F3C" w:rsidP="004A4F3C">
      <w:pPr>
        <w:numPr>
          <w:ilvl w:val="0"/>
          <w:numId w:val="29"/>
        </w:numPr>
        <w:spacing w:line="276" w:lineRule="auto"/>
        <w:jc w:val="both"/>
        <w:rPr>
          <w:rFonts w:ascii="Arial" w:hAnsi="Arial" w:cs="Arial"/>
          <w:sz w:val="22"/>
          <w:szCs w:val="22"/>
        </w:rPr>
      </w:pPr>
      <w:r w:rsidRPr="004A4F3C">
        <w:rPr>
          <w:rFonts w:ascii="Arial" w:hAnsi="Arial" w:cs="Arial"/>
          <w:sz w:val="22"/>
          <w:szCs w:val="22"/>
        </w:rPr>
        <w:t>Incorporar en el proceso formativo el análisis de casos reales y experiencias de diseño que permitan al estudiante relacionar los modelos teóricos con decisiones técnicas concretas y con las condiciones propias del entorno.</w:t>
      </w:r>
    </w:p>
    <w:p w14:paraId="3222F136" w14:textId="77777777" w:rsidR="004A4F3C" w:rsidRPr="004A4F3C" w:rsidRDefault="004A4F3C" w:rsidP="004A4F3C">
      <w:pPr>
        <w:numPr>
          <w:ilvl w:val="0"/>
          <w:numId w:val="29"/>
        </w:numPr>
        <w:spacing w:line="276" w:lineRule="auto"/>
        <w:jc w:val="both"/>
        <w:rPr>
          <w:rFonts w:ascii="Arial" w:hAnsi="Arial" w:cs="Arial"/>
          <w:sz w:val="22"/>
          <w:szCs w:val="22"/>
        </w:rPr>
      </w:pPr>
      <w:r w:rsidRPr="004A4F3C">
        <w:rPr>
          <w:rFonts w:ascii="Arial" w:hAnsi="Arial" w:cs="Arial"/>
          <w:sz w:val="22"/>
          <w:szCs w:val="22"/>
        </w:rPr>
        <w:t>Fomentar en los estudiantes la capacidad de interpretar resultados, cuestionar supuestos y evaluar la coherencia física de las soluciones propuestas, fortaleciendo así su criterio profesional.</w:t>
      </w:r>
    </w:p>
    <w:p w14:paraId="1D7E388B" w14:textId="77777777" w:rsidR="00B07CBB" w:rsidRPr="00B07CBB" w:rsidRDefault="00B07CBB" w:rsidP="00B07CBB">
      <w:pPr>
        <w:numPr>
          <w:ilvl w:val="0"/>
          <w:numId w:val="29"/>
        </w:numPr>
        <w:spacing w:line="276" w:lineRule="auto"/>
        <w:jc w:val="both"/>
        <w:rPr>
          <w:rFonts w:ascii="Arial" w:hAnsi="Arial" w:cs="Arial"/>
          <w:sz w:val="22"/>
          <w:szCs w:val="22"/>
        </w:rPr>
      </w:pPr>
      <w:r w:rsidRPr="00B07CBB">
        <w:rPr>
          <w:rFonts w:ascii="Arial" w:hAnsi="Arial" w:cs="Arial"/>
          <w:sz w:val="22"/>
          <w:szCs w:val="22"/>
        </w:rPr>
        <w:lastRenderedPageBreak/>
        <w:t>Vincular la docencia con procesos de investigación aplicada en hidráulica de estructuras, sistemas de conducción y control de energía, de manera que los espacios de aprendizaje se conviertan en escenarios donde los estudiantes puedan analizar, contrastar y profundizar los conceptos adquiridos.</w:t>
      </w:r>
    </w:p>
    <w:p w14:paraId="63147EA5" w14:textId="77777777" w:rsidR="00B07CBB" w:rsidRPr="00B07CBB" w:rsidRDefault="00B07CBB" w:rsidP="00B07CBB">
      <w:pPr>
        <w:numPr>
          <w:ilvl w:val="0"/>
          <w:numId w:val="29"/>
        </w:numPr>
        <w:spacing w:line="276" w:lineRule="auto"/>
        <w:jc w:val="both"/>
        <w:rPr>
          <w:rFonts w:ascii="Arial" w:hAnsi="Arial" w:cs="Arial"/>
          <w:sz w:val="22"/>
          <w:szCs w:val="22"/>
        </w:rPr>
      </w:pPr>
      <w:r w:rsidRPr="00B07CBB">
        <w:rPr>
          <w:rFonts w:ascii="Arial" w:hAnsi="Arial" w:cs="Arial"/>
          <w:sz w:val="22"/>
          <w:szCs w:val="22"/>
        </w:rPr>
        <w:t>Impulsar la participación del área de Hidráulica en proyectos de extensión y asesoría técnica, facilitando que el conocimiento académico se conecte con las necesidades del sector productivo y de las comunidades, y que los estudiantes comprendan el impacto que las decisiones de diseño pueden tener sobre el entorno al que sirven.</w:t>
      </w:r>
    </w:p>
    <w:p w14:paraId="00787A05" w14:textId="77777777" w:rsidR="00AF051F" w:rsidRPr="00AF051F" w:rsidRDefault="00000000" w:rsidP="002A60A8">
      <w:pPr>
        <w:spacing w:line="276" w:lineRule="auto"/>
        <w:jc w:val="both"/>
        <w:rPr>
          <w:rFonts w:ascii="Arial" w:hAnsi="Arial" w:cs="Arial"/>
          <w:sz w:val="22"/>
          <w:szCs w:val="22"/>
        </w:rPr>
      </w:pPr>
      <w:r>
        <w:rPr>
          <w:rFonts w:ascii="Arial" w:hAnsi="Arial" w:cs="Arial"/>
          <w:sz w:val="22"/>
          <w:szCs w:val="22"/>
        </w:rPr>
        <w:pict w14:anchorId="2D3C360C">
          <v:rect id="_x0000_i1028" style="width:0;height:1.5pt" o:hralign="center" o:hrstd="t" o:hr="t" fillcolor="#a0a0a0" stroked="f"/>
        </w:pict>
      </w:r>
    </w:p>
    <w:p w14:paraId="6EFD5252" w14:textId="1C11AD76" w:rsidR="00AF051F" w:rsidRPr="00FE4C6B" w:rsidRDefault="00FE4C6B" w:rsidP="002A60A8">
      <w:pPr>
        <w:spacing w:line="276" w:lineRule="auto"/>
        <w:jc w:val="both"/>
        <w:rPr>
          <w:rFonts w:ascii="Arial" w:hAnsi="Arial" w:cs="Arial"/>
          <w:b/>
          <w:bCs/>
          <w:sz w:val="22"/>
          <w:szCs w:val="22"/>
        </w:rPr>
      </w:pPr>
      <w:r w:rsidRPr="00FE4C6B">
        <w:rPr>
          <w:rFonts w:ascii="Arial" w:hAnsi="Arial" w:cs="Arial"/>
          <w:b/>
          <w:bCs/>
          <w:sz w:val="22"/>
          <w:szCs w:val="22"/>
        </w:rPr>
        <w:t>PROPUESTA EN EL COMPONENTE DE DOCENCIA</w:t>
      </w:r>
    </w:p>
    <w:p w14:paraId="0EFFBC01" w14:textId="77777777" w:rsidR="008C3260" w:rsidRPr="008C3260" w:rsidRDefault="008C3260" w:rsidP="008C3260">
      <w:pPr>
        <w:spacing w:line="276" w:lineRule="auto"/>
        <w:jc w:val="both"/>
        <w:rPr>
          <w:rFonts w:ascii="Arial" w:hAnsi="Arial" w:cs="Arial"/>
          <w:sz w:val="22"/>
          <w:szCs w:val="22"/>
        </w:rPr>
      </w:pPr>
      <w:r w:rsidRPr="008C3260">
        <w:rPr>
          <w:rFonts w:ascii="Arial" w:hAnsi="Arial" w:cs="Arial"/>
          <w:sz w:val="22"/>
          <w:szCs w:val="22"/>
        </w:rPr>
        <w:t>Como eje en la formación de un ingeniero civil, la conceptualización de las bases teóricas de la hidráulica cumple una función estructural. Es sobre estos fundamentos que se construirá el entendimiento posterior de fenómenos hidráulicos que, en escenarios de mayor complejidad, exigirán habilidades específicas y conocimientos especializados. La solidez con la que se interioricen estos principios determinará, en gran medida, la capacidad del profesional para enfrentar sistemas hidráulicos complejos con criterio técnico y seguridad en la toma de decisiones.</w:t>
      </w:r>
    </w:p>
    <w:p w14:paraId="728E5560" w14:textId="548E0343" w:rsidR="00394C82" w:rsidRPr="00394C82" w:rsidRDefault="00394C82" w:rsidP="00394C82">
      <w:pPr>
        <w:spacing w:line="276" w:lineRule="auto"/>
        <w:jc w:val="both"/>
        <w:rPr>
          <w:rFonts w:ascii="Arial" w:hAnsi="Arial" w:cs="Arial"/>
          <w:sz w:val="22"/>
          <w:szCs w:val="22"/>
        </w:rPr>
      </w:pPr>
      <w:r w:rsidRPr="00394C82">
        <w:rPr>
          <w:rFonts w:ascii="Arial" w:hAnsi="Arial" w:cs="Arial"/>
          <w:sz w:val="22"/>
          <w:szCs w:val="22"/>
        </w:rPr>
        <w:t xml:space="preserve">En este sentido, la primera etapa de formación resulta decisiva. No puede limitarse a la enseñanza de ecuaciones o procedimientos de cálculo aplicados sin plena comprensión de lo que representan, sino que debe centrarse en que el estudiante identifique y entienda los elementos físicos que gobiernan el comportamiento de un fluido y cómo estos se ven afectados por las condiciones externas del sistema. La energía disponible, el régimen de flujo, la geometría, la pendiente, la rugosidad y las condiciones de frontera interactúan de manera simultánea y definen la respuesta hidráulica </w:t>
      </w:r>
      <w:r>
        <w:rPr>
          <w:rFonts w:ascii="Arial" w:hAnsi="Arial" w:cs="Arial"/>
          <w:sz w:val="22"/>
          <w:szCs w:val="22"/>
        </w:rPr>
        <w:t>del sistema analizado</w:t>
      </w:r>
      <w:r w:rsidRPr="00394C82">
        <w:rPr>
          <w:rFonts w:ascii="Arial" w:hAnsi="Arial" w:cs="Arial"/>
          <w:sz w:val="22"/>
          <w:szCs w:val="22"/>
        </w:rPr>
        <w:t>. Comprender esa interacción constituye el verdadero propósito de la formación inicial.</w:t>
      </w:r>
    </w:p>
    <w:p w14:paraId="25E3A431" w14:textId="34D25E44" w:rsidR="00CD2FC8" w:rsidRPr="00CD2FC8" w:rsidRDefault="00CD2FC8" w:rsidP="00CD2FC8">
      <w:pPr>
        <w:spacing w:line="276" w:lineRule="auto"/>
        <w:jc w:val="both"/>
        <w:rPr>
          <w:rFonts w:ascii="Arial" w:hAnsi="Arial" w:cs="Arial"/>
          <w:sz w:val="22"/>
          <w:szCs w:val="22"/>
        </w:rPr>
      </w:pPr>
      <w:r w:rsidRPr="00CD2FC8">
        <w:rPr>
          <w:rFonts w:ascii="Arial" w:hAnsi="Arial" w:cs="Arial"/>
          <w:sz w:val="22"/>
          <w:szCs w:val="22"/>
        </w:rPr>
        <w:t>Al mismo tiempo, se buscará integrar de manera constante la teoría con su aplicación. Los contenidos no deben presentarse como capítulos aislados donde el estudiante maneje temas puntuales sin conexión entre sí; por el contrario, deben abordarse a partir de sistemas reales en los que sea posible observar cómo responde el flujo ante variaciones propias de la infraestructura. Esto incluye sistemas de distribución, sistemas de tratamiento, estructuras hidráulicas asociadas a drenajes, así como componentes específicos de sistemas más complejos</w:t>
      </w:r>
      <w:r>
        <w:rPr>
          <w:rFonts w:ascii="Arial" w:hAnsi="Arial" w:cs="Arial"/>
          <w:sz w:val="22"/>
          <w:szCs w:val="22"/>
        </w:rPr>
        <w:t>.</w:t>
      </w:r>
    </w:p>
    <w:p w14:paraId="45B3B208" w14:textId="77777777" w:rsidR="00CD2FC8" w:rsidRPr="00CD2FC8" w:rsidRDefault="00CD2FC8" w:rsidP="00CD2FC8">
      <w:pPr>
        <w:spacing w:line="276" w:lineRule="auto"/>
        <w:jc w:val="both"/>
        <w:rPr>
          <w:rFonts w:ascii="Arial" w:hAnsi="Arial" w:cs="Arial"/>
          <w:sz w:val="22"/>
          <w:szCs w:val="22"/>
        </w:rPr>
      </w:pPr>
      <w:r w:rsidRPr="00CD2FC8">
        <w:rPr>
          <w:rFonts w:ascii="Arial" w:hAnsi="Arial" w:cs="Arial"/>
          <w:sz w:val="22"/>
          <w:szCs w:val="22"/>
        </w:rPr>
        <w:t>El propósito es que el estudiante visualice desde el inicio el sentido práctico de los conceptos y comprenda que los principios hidráulicos permiten explicar situaciones diversas a partir de una misma base conceptual. Esto facilita una transición natural hacia los cursos de semestres posteriores, donde se abordan líneas específicas de diseño y análisis más especializado.</w:t>
      </w:r>
    </w:p>
    <w:p w14:paraId="19C1C2F6" w14:textId="77777777" w:rsidR="00CD2FC8" w:rsidRPr="00CD2FC8" w:rsidRDefault="00CD2FC8" w:rsidP="00CD2FC8">
      <w:pPr>
        <w:spacing w:line="276" w:lineRule="auto"/>
        <w:jc w:val="both"/>
        <w:rPr>
          <w:rFonts w:ascii="Arial" w:hAnsi="Arial" w:cs="Arial"/>
          <w:sz w:val="22"/>
          <w:szCs w:val="22"/>
        </w:rPr>
      </w:pPr>
      <w:r w:rsidRPr="00CD2FC8">
        <w:rPr>
          <w:rFonts w:ascii="Arial" w:hAnsi="Arial" w:cs="Arial"/>
          <w:sz w:val="22"/>
          <w:szCs w:val="22"/>
        </w:rPr>
        <w:t xml:space="preserve">Un elemento central de la propuesta será el análisis crítico de resultados. No se evaluará únicamente la obtención de un valor numérico correcto, sino el desarrollo del criterio necesario para que el estudiante analice e interprete si el resultado es coherente con el </w:t>
      </w:r>
      <w:r w:rsidRPr="00CD2FC8">
        <w:rPr>
          <w:rFonts w:ascii="Arial" w:hAnsi="Arial" w:cs="Arial"/>
          <w:sz w:val="22"/>
          <w:szCs w:val="22"/>
        </w:rPr>
        <w:lastRenderedPageBreak/>
        <w:t>comportamiento físico esperado del sistema. Es importante reconocer que una parte significativa de la teoría hidráulica tiene un fundamento experimental, por lo que el error y la aproximación forman parte inherente del análisis. Dependiendo de los supuestos adoptados y del modelo utilizado, los resultados pueden presentar variaciones, y es precisamente en esa interpretación donde se fortalece el criterio profesional.</w:t>
      </w:r>
    </w:p>
    <w:p w14:paraId="167D760B" w14:textId="77777777" w:rsidR="00CD2FC8" w:rsidRPr="00CD2FC8" w:rsidRDefault="00CD2FC8" w:rsidP="00CD2FC8">
      <w:pPr>
        <w:spacing w:line="276" w:lineRule="auto"/>
        <w:jc w:val="both"/>
        <w:rPr>
          <w:rFonts w:ascii="Arial" w:hAnsi="Arial" w:cs="Arial"/>
          <w:sz w:val="22"/>
          <w:szCs w:val="22"/>
        </w:rPr>
      </w:pPr>
      <w:r w:rsidRPr="00CD2FC8">
        <w:rPr>
          <w:rFonts w:ascii="Arial" w:hAnsi="Arial" w:cs="Arial"/>
          <w:sz w:val="22"/>
          <w:szCs w:val="22"/>
        </w:rPr>
        <w:t>Las herramientas computacionales se incorporarán como apoyo al proceso formativo, pero no como sustituto del criterio del ingeniero. El manejo de un programa sin conceptos claros puede representar un riesgo en la evaluación de sistemas hidráulicos que, dependiendo de su escala, pueden generar errores de distinta magnitud e incluso afectar a las comunidades a las que sirven.</w:t>
      </w:r>
    </w:p>
    <w:p w14:paraId="28FAE365" w14:textId="77777777" w:rsidR="00F124B0" w:rsidRPr="00F124B0" w:rsidRDefault="00F124B0" w:rsidP="00F124B0">
      <w:pPr>
        <w:spacing w:line="276" w:lineRule="auto"/>
        <w:jc w:val="both"/>
        <w:rPr>
          <w:rFonts w:ascii="Arial" w:hAnsi="Arial" w:cs="Arial"/>
          <w:sz w:val="22"/>
          <w:szCs w:val="22"/>
        </w:rPr>
      </w:pPr>
      <w:r w:rsidRPr="00F124B0">
        <w:rPr>
          <w:rFonts w:ascii="Arial" w:hAnsi="Arial" w:cs="Arial"/>
          <w:sz w:val="22"/>
          <w:szCs w:val="22"/>
        </w:rPr>
        <w:t>El énfasis estará en interpretar los resultados obtenidos mediante software y validar su coherencia hidráulica, integrando la tecnología como una herramienta de apoyo y no como sustituto del razonamiento ni de la comprensión conceptual del fenómeno.</w:t>
      </w:r>
    </w:p>
    <w:p w14:paraId="75CECE03" w14:textId="77777777" w:rsidR="00D03C31" w:rsidRPr="00D03C31" w:rsidRDefault="00D03C31" w:rsidP="00D03C31">
      <w:pPr>
        <w:spacing w:line="276" w:lineRule="auto"/>
        <w:jc w:val="both"/>
        <w:rPr>
          <w:rFonts w:ascii="Arial" w:hAnsi="Arial" w:cs="Arial"/>
          <w:sz w:val="22"/>
          <w:szCs w:val="22"/>
        </w:rPr>
      </w:pPr>
      <w:r w:rsidRPr="00D03C31">
        <w:rPr>
          <w:rFonts w:ascii="Arial" w:hAnsi="Arial" w:cs="Arial"/>
          <w:sz w:val="22"/>
          <w:szCs w:val="22"/>
        </w:rPr>
        <w:t>Finalmente, se fomentará la discusión técnica en el aula. El análisis colectivo de casos, errores comunes y decisiones de diseño permitirá que el estudiante desarrolle la capacidad de argumentar con fundamento, contrastar alternativas y asumir una postura técnica sustentada frente a un problema. La hidráulica no puede reducirse a un ejercicio de cálculo; debe convertirse en un espacio de reflexión y construcción técnica compartida.</w:t>
      </w:r>
    </w:p>
    <w:p w14:paraId="4E16BEC3" w14:textId="7D7E3CB0" w:rsidR="00D03C31" w:rsidRPr="00D03C31" w:rsidRDefault="00D03C31" w:rsidP="00D03C31">
      <w:pPr>
        <w:spacing w:line="276" w:lineRule="auto"/>
        <w:jc w:val="both"/>
        <w:rPr>
          <w:rFonts w:ascii="Arial" w:hAnsi="Arial" w:cs="Arial"/>
          <w:sz w:val="22"/>
          <w:szCs w:val="22"/>
        </w:rPr>
      </w:pPr>
      <w:r w:rsidRPr="00D03C31">
        <w:rPr>
          <w:rFonts w:ascii="Arial" w:hAnsi="Arial" w:cs="Arial"/>
          <w:sz w:val="22"/>
          <w:szCs w:val="22"/>
        </w:rPr>
        <w:t xml:space="preserve">En conjunto, esta propuesta entiende la docencia como un ejercicio de responsabilidad técnica. Las decisiones hidráulicas no son abstractas; inciden en </w:t>
      </w:r>
      <w:r w:rsidR="00E51863">
        <w:rPr>
          <w:rFonts w:ascii="Arial" w:hAnsi="Arial" w:cs="Arial"/>
          <w:sz w:val="22"/>
          <w:szCs w:val="22"/>
        </w:rPr>
        <w:t>el</w:t>
      </w:r>
      <w:r w:rsidRPr="00D03C31">
        <w:rPr>
          <w:rFonts w:ascii="Arial" w:hAnsi="Arial" w:cs="Arial"/>
          <w:sz w:val="22"/>
          <w:szCs w:val="22"/>
        </w:rPr>
        <w:t xml:space="preserve"> el territorio y la calidad de vida de las comunidades. Por ello, la formación no puede limitarse al desarrollo de contenidos, sino que debe consolidar fundamentos y criterio profesional para que el futuro ingeniero asuma con plena conciencia el impacto real de sus decisiones.</w:t>
      </w:r>
    </w:p>
    <w:p w14:paraId="2C0C4EE9" w14:textId="77777777" w:rsidR="00AF051F" w:rsidRPr="0011229B" w:rsidRDefault="00000000" w:rsidP="002A60A8">
      <w:pPr>
        <w:spacing w:line="276" w:lineRule="auto"/>
        <w:jc w:val="both"/>
        <w:rPr>
          <w:rFonts w:ascii="Arial" w:hAnsi="Arial" w:cs="Arial"/>
          <w:sz w:val="22"/>
          <w:szCs w:val="22"/>
        </w:rPr>
      </w:pPr>
      <w:r>
        <w:rPr>
          <w:rFonts w:ascii="Arial" w:hAnsi="Arial" w:cs="Arial"/>
          <w:sz w:val="22"/>
          <w:szCs w:val="22"/>
        </w:rPr>
        <w:pict w14:anchorId="6740500F">
          <v:rect id="_x0000_i1029" style="width:0;height:1.5pt" o:hralign="center" o:hrstd="t" o:hr="t" fillcolor="#a0a0a0" stroked="f"/>
        </w:pict>
      </w:r>
    </w:p>
    <w:p w14:paraId="6F3BFAB6" w14:textId="10EB7D64" w:rsidR="00AF051F" w:rsidRPr="00FE4C6B" w:rsidRDefault="00FE4C6B" w:rsidP="002A60A8">
      <w:pPr>
        <w:spacing w:line="276" w:lineRule="auto"/>
        <w:jc w:val="both"/>
        <w:rPr>
          <w:rFonts w:ascii="Arial" w:hAnsi="Arial" w:cs="Arial"/>
          <w:b/>
          <w:bCs/>
          <w:sz w:val="22"/>
          <w:szCs w:val="22"/>
        </w:rPr>
      </w:pPr>
      <w:r w:rsidRPr="00FE4C6B">
        <w:rPr>
          <w:rFonts w:ascii="Arial" w:hAnsi="Arial" w:cs="Arial"/>
          <w:b/>
          <w:bCs/>
          <w:sz w:val="22"/>
          <w:szCs w:val="22"/>
        </w:rPr>
        <w:t>PROPUESTA EN EL COMPONENTE DE INVESTIGACIÓN</w:t>
      </w:r>
    </w:p>
    <w:p w14:paraId="0E4AEC5C" w14:textId="77777777" w:rsidR="00FC774E" w:rsidRPr="00FC774E" w:rsidRDefault="00FC774E" w:rsidP="00FC774E">
      <w:pPr>
        <w:spacing w:line="276" w:lineRule="auto"/>
        <w:jc w:val="both"/>
        <w:rPr>
          <w:rFonts w:ascii="Arial" w:hAnsi="Arial" w:cs="Arial"/>
          <w:sz w:val="22"/>
          <w:szCs w:val="22"/>
        </w:rPr>
      </w:pPr>
      <w:r w:rsidRPr="00FC774E">
        <w:rPr>
          <w:rFonts w:ascii="Arial" w:hAnsi="Arial" w:cs="Arial"/>
          <w:sz w:val="22"/>
          <w:szCs w:val="22"/>
        </w:rPr>
        <w:t>La investigación debe responder simultáneamente a retos científicos y a necesidades concretas del ejercicio cotidiano de la ingeniería. Es en este tipo de contextos donde el desarrollo académico cobra verdadero sentido, pues permite avanzar en la consolidación de conceptos, en la revisión crítica de metodologías y en la generación de soluciones que respondan a problemáticas reales.</w:t>
      </w:r>
    </w:p>
    <w:p w14:paraId="6B5A48C8" w14:textId="77777777" w:rsidR="00FC774E" w:rsidRPr="00FC774E" w:rsidRDefault="00FC774E" w:rsidP="00FC774E">
      <w:pPr>
        <w:spacing w:line="276" w:lineRule="auto"/>
        <w:jc w:val="both"/>
        <w:rPr>
          <w:rFonts w:ascii="Arial" w:hAnsi="Arial" w:cs="Arial"/>
          <w:sz w:val="22"/>
          <w:szCs w:val="22"/>
        </w:rPr>
      </w:pPr>
      <w:r w:rsidRPr="00FC774E">
        <w:rPr>
          <w:rFonts w:ascii="Arial" w:hAnsi="Arial" w:cs="Arial"/>
          <w:sz w:val="22"/>
          <w:szCs w:val="22"/>
        </w:rPr>
        <w:t>En consecuencia, la investigación no puede desligarse de las necesidades del entorno. Debe orientarse a fortalecer procesos, optimizar criterios de diseño y desarrollar metodologías que aporten al contexto nacional, contribuyendo a una mejora continua en la manera como se conciben y evalúan las soluciones de infraestructura.</w:t>
      </w:r>
    </w:p>
    <w:p w14:paraId="637D1AC7" w14:textId="77777777" w:rsidR="00FC774E" w:rsidRPr="00FC774E" w:rsidRDefault="00FC774E" w:rsidP="00FC774E">
      <w:pPr>
        <w:spacing w:line="276" w:lineRule="auto"/>
        <w:jc w:val="both"/>
        <w:rPr>
          <w:rFonts w:ascii="Arial" w:hAnsi="Arial" w:cs="Arial"/>
          <w:sz w:val="22"/>
          <w:szCs w:val="22"/>
        </w:rPr>
      </w:pPr>
      <w:r w:rsidRPr="00FC774E">
        <w:rPr>
          <w:rFonts w:ascii="Arial" w:hAnsi="Arial" w:cs="Arial"/>
          <w:sz w:val="22"/>
          <w:szCs w:val="22"/>
        </w:rPr>
        <w:t>Los procesos de investigación deben articularse en el marco de la extensión universitaria, de manera que las necesidades reales del sector productivo —especialmente aquellas asociadas a proyectos de alta complejidad— se conviertan en detonantes de preguntas de investigación que aporten al conocimiento técnico y metodológico.</w:t>
      </w:r>
    </w:p>
    <w:p w14:paraId="517930B7" w14:textId="77777777" w:rsidR="00FC774E" w:rsidRPr="00FC774E" w:rsidRDefault="00FC774E" w:rsidP="00FC774E">
      <w:pPr>
        <w:spacing w:line="276" w:lineRule="auto"/>
        <w:jc w:val="both"/>
        <w:rPr>
          <w:rFonts w:ascii="Arial" w:hAnsi="Arial" w:cs="Arial"/>
          <w:sz w:val="22"/>
          <w:szCs w:val="22"/>
        </w:rPr>
      </w:pPr>
      <w:r w:rsidRPr="00FC774E">
        <w:rPr>
          <w:rFonts w:ascii="Arial" w:hAnsi="Arial" w:cs="Arial"/>
          <w:sz w:val="22"/>
          <w:szCs w:val="22"/>
        </w:rPr>
        <w:lastRenderedPageBreak/>
        <w:t>La interacción con empresas del sector privado permitirá identificar problemáticas concretas que requieran análisis hidráulico especializado, generando estudios aplicados que fortalezcan tanto la práctica profesional como el desarrollo académico. De igual forma, el diálogo con entidades responsables de la formulación y actualización de normativas técnicas y ambientales en el país permitirá orientar la investigación hacia aspectos que contribuyan al mejoramiento de criterios de diseño, evaluación y control.</w:t>
      </w:r>
    </w:p>
    <w:p w14:paraId="2DBD559E" w14:textId="77777777" w:rsidR="00664DDB" w:rsidRPr="00664DDB" w:rsidRDefault="00664DDB" w:rsidP="00664DDB">
      <w:pPr>
        <w:spacing w:line="276" w:lineRule="auto"/>
        <w:jc w:val="both"/>
        <w:rPr>
          <w:rFonts w:ascii="Arial" w:hAnsi="Arial" w:cs="Arial"/>
          <w:sz w:val="22"/>
          <w:szCs w:val="22"/>
        </w:rPr>
      </w:pPr>
      <w:r w:rsidRPr="00664DDB">
        <w:rPr>
          <w:rFonts w:ascii="Arial" w:hAnsi="Arial" w:cs="Arial"/>
          <w:sz w:val="22"/>
          <w:szCs w:val="22"/>
        </w:rPr>
        <w:t>Aun cuando la hidráulica cuenta con fundamentos teóricos sólidos, persisten en su aplicación numerosos enfoques empíricos. En muchos casos, las metodologías de diseño utilizadas en Colombia derivan de desarrollos concebidos para contextos hidrológicos, geomorfológicos y operativos diferentes al nuestro. Esta situación no invalida su utilidad, pero sí plantea la necesidad de revisarlas críticamente y adaptarlas a las condiciones nacionales.</w:t>
      </w:r>
    </w:p>
    <w:p w14:paraId="6A14871E" w14:textId="7543FD3E" w:rsidR="00A834F2" w:rsidRPr="00A834F2" w:rsidRDefault="00A834F2" w:rsidP="00A834F2">
      <w:pPr>
        <w:spacing w:line="276" w:lineRule="auto"/>
        <w:jc w:val="both"/>
        <w:rPr>
          <w:rFonts w:ascii="Arial" w:hAnsi="Arial" w:cs="Arial"/>
          <w:sz w:val="22"/>
          <w:szCs w:val="22"/>
        </w:rPr>
      </w:pPr>
      <w:r w:rsidRPr="00A834F2">
        <w:rPr>
          <w:rFonts w:ascii="Arial" w:hAnsi="Arial" w:cs="Arial"/>
          <w:sz w:val="22"/>
          <w:szCs w:val="22"/>
        </w:rPr>
        <w:t>Desde el conocimiento técnico y conceptual que se desarrolla en la universidad es posible aportar a la consolidación de criterios, metodologías y lineamientos que fortalezcan el ejercicio profesional en el país. La investigación no debe limitarse a generar desarrollos teóricos desvinculados de las condiciones reales de aplicación. Por el contrario, debe examinar sus supuestos, contrastarlos con evidencia local y, cuando sea necesario, ajustarlos para que respondan de manera consistente a las particularidades hidrológicas, geomorfológicas y operativas del territorio nacional.</w:t>
      </w:r>
    </w:p>
    <w:p w14:paraId="2F4E4B41" w14:textId="77777777" w:rsidR="00664DDB" w:rsidRPr="00664DDB" w:rsidRDefault="00664DDB" w:rsidP="00664DDB">
      <w:pPr>
        <w:spacing w:line="276" w:lineRule="auto"/>
        <w:jc w:val="both"/>
        <w:rPr>
          <w:rFonts w:ascii="Arial" w:hAnsi="Arial" w:cs="Arial"/>
          <w:sz w:val="22"/>
          <w:szCs w:val="22"/>
        </w:rPr>
      </w:pPr>
      <w:r w:rsidRPr="00664DDB">
        <w:rPr>
          <w:rFonts w:ascii="Arial" w:hAnsi="Arial" w:cs="Arial"/>
          <w:sz w:val="22"/>
          <w:szCs w:val="22"/>
        </w:rPr>
        <w:t>Un ejemplo concreto de esta situación es la ausencia en Colombia de una guía técnica específica para el diseño hidráulico de proyectos ferroviarios, a diferencia de lo que ocurre en el ámbito carretero, donde existen lineamientos más estructurados. Esta brecha evidencia la necesidad de que la academia asuma un papel activo en la consolidación de metodologías y criterios de diseño que respondan a las particularidades del contexto nacional.</w:t>
      </w:r>
    </w:p>
    <w:p w14:paraId="389C1CDE" w14:textId="01105231" w:rsidR="008369F5" w:rsidRPr="008369F5" w:rsidRDefault="00001F53" w:rsidP="008369F5">
      <w:pPr>
        <w:spacing w:line="276" w:lineRule="auto"/>
        <w:jc w:val="both"/>
        <w:rPr>
          <w:rFonts w:ascii="Arial" w:hAnsi="Arial" w:cs="Arial"/>
          <w:sz w:val="22"/>
          <w:szCs w:val="22"/>
        </w:rPr>
      </w:pPr>
      <w:r w:rsidRPr="00001F53">
        <w:rPr>
          <w:rFonts w:ascii="Arial" w:hAnsi="Arial" w:cs="Arial"/>
          <w:sz w:val="22"/>
          <w:szCs w:val="22"/>
        </w:rPr>
        <w:t xml:space="preserve">Para ello, </w:t>
      </w:r>
      <w:r>
        <w:rPr>
          <w:rFonts w:ascii="Arial" w:hAnsi="Arial" w:cs="Arial"/>
          <w:sz w:val="22"/>
          <w:szCs w:val="22"/>
        </w:rPr>
        <w:t>l</w:t>
      </w:r>
      <w:r w:rsidR="008369F5" w:rsidRPr="008369F5">
        <w:rPr>
          <w:rFonts w:ascii="Arial" w:hAnsi="Arial" w:cs="Arial"/>
          <w:sz w:val="22"/>
          <w:szCs w:val="22"/>
        </w:rPr>
        <w:t>a propuesta de investigación se desarrollará sobre la base del conocimiento acumulado por las grandes empresas del sector de la ingeniería y de las falencias que estas han identificado a lo largo de sus proyectos. A partir de esa experiencia práctica se identificarán las brechas más relevantes entre la reglamentación técnica vigente y las necesidades operativas y constructivas del sistema. Esta articulación debe llevarse a cabo de la mano de las entidades públicas regulatorias y de los prestadores de servicio, con el fin de orientar el desarrollo de los procesos investigativos hacia fines prácticos y aplicables —no solo a esquemas teóricos que en la práctica no consideran la variabilidad del entorno ni las necesidades reales.</w:t>
      </w:r>
    </w:p>
    <w:p w14:paraId="580C3DC0" w14:textId="77777777" w:rsidR="008369F5" w:rsidRPr="008369F5" w:rsidRDefault="008369F5" w:rsidP="008369F5">
      <w:pPr>
        <w:spacing w:line="276" w:lineRule="auto"/>
        <w:jc w:val="both"/>
        <w:rPr>
          <w:rFonts w:ascii="Arial" w:hAnsi="Arial" w:cs="Arial"/>
          <w:sz w:val="22"/>
          <w:szCs w:val="22"/>
        </w:rPr>
      </w:pPr>
      <w:r w:rsidRPr="008369F5">
        <w:rPr>
          <w:rFonts w:ascii="Arial" w:hAnsi="Arial" w:cs="Arial"/>
          <w:sz w:val="22"/>
          <w:szCs w:val="22"/>
        </w:rPr>
        <w:t>En la práctica, esto implica diseñar investigaciones que nazcan de problemas reales: análisis de casos, levantamiento de evidencia técnico-operativa en obras, contrastación de procedimientos normativos frente a resultados de campo y propuestas de ajuste metodológico validadas mediante modelación y ensayos. El vínculo continuo con el sector privado y los reguladores garantizará que los productos de investigación (metodologías, guías piloto, criterios de diseño) sean pertinentes, asumibles y con potencial de incorporación en la normativa nacional.</w:t>
      </w:r>
    </w:p>
    <w:p w14:paraId="5488B2F0" w14:textId="77777777" w:rsidR="00AF051F" w:rsidRPr="0011229B" w:rsidRDefault="00000000" w:rsidP="002A60A8">
      <w:pPr>
        <w:spacing w:line="276" w:lineRule="auto"/>
        <w:jc w:val="both"/>
        <w:rPr>
          <w:rFonts w:ascii="Arial" w:hAnsi="Arial" w:cs="Arial"/>
          <w:sz w:val="22"/>
          <w:szCs w:val="22"/>
        </w:rPr>
      </w:pPr>
      <w:r>
        <w:rPr>
          <w:rFonts w:ascii="Arial" w:hAnsi="Arial" w:cs="Arial"/>
          <w:sz w:val="22"/>
          <w:szCs w:val="22"/>
        </w:rPr>
        <w:lastRenderedPageBreak/>
        <w:pict w14:anchorId="294C4B9B">
          <v:rect id="_x0000_i1030" style="width:0;height:1.5pt" o:hralign="center" o:hrstd="t" o:hr="t" fillcolor="#a0a0a0" stroked="f"/>
        </w:pict>
      </w:r>
    </w:p>
    <w:p w14:paraId="1086BD94" w14:textId="6A2E698E" w:rsidR="00145D92" w:rsidRPr="00FE4C6B" w:rsidRDefault="00FE4C6B" w:rsidP="00145D92">
      <w:pPr>
        <w:spacing w:line="276" w:lineRule="auto"/>
        <w:jc w:val="both"/>
        <w:rPr>
          <w:rFonts w:ascii="Arial" w:hAnsi="Arial" w:cs="Arial"/>
          <w:b/>
          <w:bCs/>
          <w:sz w:val="22"/>
          <w:szCs w:val="22"/>
        </w:rPr>
      </w:pPr>
      <w:r w:rsidRPr="00FE4C6B">
        <w:rPr>
          <w:rFonts w:ascii="Arial" w:hAnsi="Arial" w:cs="Arial"/>
          <w:b/>
          <w:bCs/>
          <w:sz w:val="22"/>
          <w:szCs w:val="22"/>
        </w:rPr>
        <w:t>PROPUESTA EN EL COMPONENTE DE EXTENSIÓN</w:t>
      </w:r>
    </w:p>
    <w:p w14:paraId="1C7BDA9B" w14:textId="77777777" w:rsidR="00C55A24" w:rsidRPr="00C55A24" w:rsidRDefault="00C55A24" w:rsidP="00C55A24">
      <w:pPr>
        <w:spacing w:line="276" w:lineRule="auto"/>
        <w:jc w:val="both"/>
        <w:rPr>
          <w:rFonts w:ascii="Arial" w:hAnsi="Arial" w:cs="Arial"/>
          <w:sz w:val="22"/>
          <w:szCs w:val="22"/>
        </w:rPr>
      </w:pPr>
      <w:r w:rsidRPr="00C55A24">
        <w:rPr>
          <w:rFonts w:ascii="Arial" w:hAnsi="Arial" w:cs="Arial"/>
          <w:sz w:val="22"/>
          <w:szCs w:val="22"/>
        </w:rPr>
        <w:t>La extensión debe abordarse desde una doble perspectiva. En primer lugar, como un mecanismo de integración efectiva con el entorno real; en segundo lugar, como una fuente legítima de fortalecimiento académico que permita financiar y dinamizar procesos de investigación aplicada y desarrollo de conocimiento. En este contexto, la extensión no puede entenderse como una actividad aislada, sino como un componente estructural articulado al marco institucional y alineado con los principios misionales de la universidad.</w:t>
      </w:r>
    </w:p>
    <w:p w14:paraId="567E3DD4" w14:textId="77777777" w:rsidR="00C55A24" w:rsidRPr="00C55A24" w:rsidRDefault="00C55A24" w:rsidP="00C55A24">
      <w:pPr>
        <w:spacing w:line="276" w:lineRule="auto"/>
        <w:jc w:val="both"/>
        <w:rPr>
          <w:rFonts w:ascii="Arial" w:hAnsi="Arial" w:cs="Arial"/>
          <w:sz w:val="22"/>
          <w:szCs w:val="22"/>
        </w:rPr>
      </w:pPr>
      <w:r w:rsidRPr="00C55A24">
        <w:rPr>
          <w:rFonts w:ascii="Arial" w:hAnsi="Arial" w:cs="Arial"/>
          <w:sz w:val="22"/>
          <w:szCs w:val="22"/>
        </w:rPr>
        <w:t>La proyección externa del área de Hidráulica debe vincularse prioritariamente a proyectos de alto impacto y elevada complejidad técnica, en los que la asesoría especializada de la universidad aporte valor agregado en términos de análisis conceptual, revisión crítica de metodologías y evaluación hidráulica rigurosa. Esto puede materializarse mediante servicios de consultoría técnica avanzada, conceptos especializados, modelación hidráulica, evaluación de estabilidad de estructuras y acompañamiento en procesos de revisión normativa, tanto para empresas privadas de consultoría como para entidades del sector público y regulatorio.</w:t>
      </w:r>
    </w:p>
    <w:p w14:paraId="4416DFD5" w14:textId="77777777" w:rsidR="00C55A24" w:rsidRPr="00C55A24" w:rsidRDefault="00C55A24" w:rsidP="00C55A24">
      <w:pPr>
        <w:spacing w:line="276" w:lineRule="auto"/>
        <w:jc w:val="both"/>
        <w:rPr>
          <w:rFonts w:ascii="Arial" w:hAnsi="Arial" w:cs="Arial"/>
          <w:sz w:val="22"/>
          <w:szCs w:val="22"/>
        </w:rPr>
      </w:pPr>
      <w:r w:rsidRPr="00C55A24">
        <w:rPr>
          <w:rFonts w:ascii="Arial" w:hAnsi="Arial" w:cs="Arial"/>
          <w:sz w:val="22"/>
          <w:szCs w:val="22"/>
        </w:rPr>
        <w:t>El vínculo con este tipo de actividades permite construir una relación complementaria entre el sector productivo y el sector académico. La extensión no debe ser una interacción distante o circunstancial, sino un espacio de diálogo técnico permanente donde la experiencia práctica retroalimente la investigación y la docencia, y donde el conocimiento académico contribuya a mejorar la calidad técnica de los proyectos desarrollados en el país.</w:t>
      </w:r>
    </w:p>
    <w:p w14:paraId="3C95C4D9" w14:textId="6B40CA00" w:rsidR="00C55A24" w:rsidRPr="00C55A24" w:rsidRDefault="00C55A24" w:rsidP="00C55A24">
      <w:pPr>
        <w:spacing w:line="276" w:lineRule="auto"/>
        <w:jc w:val="both"/>
        <w:rPr>
          <w:rFonts w:ascii="Arial" w:hAnsi="Arial" w:cs="Arial"/>
          <w:sz w:val="22"/>
          <w:szCs w:val="22"/>
        </w:rPr>
      </w:pPr>
      <w:r w:rsidRPr="00C55A24">
        <w:rPr>
          <w:rFonts w:ascii="Arial" w:hAnsi="Arial" w:cs="Arial"/>
          <w:sz w:val="22"/>
          <w:szCs w:val="22"/>
        </w:rPr>
        <w:t>En este sentido, la extensión también se convierte en un escenario formativo. La participación de estudiantes en proyectos de asesoría o acompañamiento técnico —bajo la supervisión académica correspondiente— les permite comprender la dimensión real de las decisiones y el impacto que estas tienen sobre la infraestructura y las comunidades.</w:t>
      </w:r>
    </w:p>
    <w:p w14:paraId="58AD83D6" w14:textId="1ED69CDD" w:rsidR="00C55A24" w:rsidRPr="00C55A24" w:rsidRDefault="00C55A24" w:rsidP="00C55A24">
      <w:pPr>
        <w:spacing w:line="276" w:lineRule="auto"/>
        <w:jc w:val="both"/>
        <w:rPr>
          <w:rFonts w:ascii="Arial" w:hAnsi="Arial" w:cs="Arial"/>
          <w:sz w:val="22"/>
          <w:szCs w:val="22"/>
        </w:rPr>
      </w:pPr>
      <w:r w:rsidRPr="00C55A24">
        <w:rPr>
          <w:rFonts w:ascii="Arial" w:hAnsi="Arial" w:cs="Arial"/>
          <w:sz w:val="22"/>
          <w:szCs w:val="22"/>
        </w:rPr>
        <w:t xml:space="preserve">Finalmente, la extensión debe contribuir a consolidar la presencia institucional en escenarios donde se toman decisiones técnicas relevantes. La </w:t>
      </w:r>
      <w:r w:rsidR="00477276" w:rsidRPr="00C55A24">
        <w:rPr>
          <w:rFonts w:ascii="Arial" w:hAnsi="Arial" w:cs="Arial"/>
          <w:sz w:val="22"/>
          <w:szCs w:val="22"/>
        </w:rPr>
        <w:t>participación</w:t>
      </w:r>
      <w:r w:rsidRPr="00C55A24">
        <w:rPr>
          <w:rFonts w:ascii="Arial" w:hAnsi="Arial" w:cs="Arial"/>
          <w:sz w:val="22"/>
          <w:szCs w:val="22"/>
        </w:rPr>
        <w:t xml:space="preserve"> en mesas técnicas, procesos de revisión normativa y proyectos estratégicos permitirá que la universidad no solo responda a demandas externas, sino que incida en la construcción de estándares y criterios que fortalezcan el ejercicio de la ingeniería hidráulica en el país.</w:t>
      </w:r>
    </w:p>
    <w:p w14:paraId="03D3CA3C" w14:textId="4BA16BA0" w:rsidR="00AF051F" w:rsidRPr="00AF051F" w:rsidRDefault="00000000" w:rsidP="002A60A8">
      <w:pPr>
        <w:spacing w:line="276" w:lineRule="auto"/>
        <w:jc w:val="both"/>
        <w:rPr>
          <w:rFonts w:ascii="Arial" w:hAnsi="Arial" w:cs="Arial"/>
          <w:sz w:val="22"/>
          <w:szCs w:val="22"/>
        </w:rPr>
      </w:pPr>
      <w:r>
        <w:rPr>
          <w:rFonts w:ascii="Arial" w:hAnsi="Arial" w:cs="Arial"/>
          <w:sz w:val="22"/>
          <w:szCs w:val="22"/>
        </w:rPr>
        <w:pict w14:anchorId="0DFB94F2">
          <v:rect id="_x0000_i1031" style="width:0;height:1.5pt" o:hralign="center" o:hrstd="t" o:hr="t" fillcolor="#a0a0a0" stroked="f"/>
        </w:pict>
      </w:r>
    </w:p>
    <w:p w14:paraId="6F021AB0" w14:textId="041B69D4" w:rsidR="00AF051F" w:rsidRPr="00EE60AF" w:rsidRDefault="00AF051F" w:rsidP="002A60A8">
      <w:pPr>
        <w:spacing w:line="276" w:lineRule="auto"/>
        <w:jc w:val="both"/>
        <w:rPr>
          <w:rFonts w:ascii="Arial" w:hAnsi="Arial" w:cs="Arial"/>
          <w:b/>
          <w:bCs/>
          <w:sz w:val="22"/>
          <w:szCs w:val="22"/>
          <w:lang w:val="fr-CA"/>
        </w:rPr>
      </w:pPr>
      <w:proofErr w:type="spellStart"/>
      <w:r w:rsidRPr="00EE60AF">
        <w:rPr>
          <w:rFonts w:ascii="Arial" w:hAnsi="Arial" w:cs="Arial"/>
          <w:b/>
          <w:bCs/>
          <w:sz w:val="22"/>
          <w:szCs w:val="22"/>
          <w:lang w:val="fr-CA"/>
        </w:rPr>
        <w:t>BIBLIOGRAFÍA</w:t>
      </w:r>
      <w:proofErr w:type="spellEnd"/>
    </w:p>
    <w:p w14:paraId="3EC6C94C" w14:textId="77777777" w:rsidR="00AF051F" w:rsidRPr="00AF051F" w:rsidRDefault="00AF051F" w:rsidP="002A60A8">
      <w:pPr>
        <w:spacing w:line="276" w:lineRule="auto"/>
        <w:jc w:val="both"/>
        <w:rPr>
          <w:rFonts w:ascii="Arial" w:hAnsi="Arial" w:cs="Arial"/>
          <w:sz w:val="22"/>
          <w:szCs w:val="22"/>
          <w:lang w:val="fr-CA"/>
        </w:rPr>
      </w:pPr>
      <w:r w:rsidRPr="00EE60AF">
        <w:rPr>
          <w:rFonts w:ascii="Arial" w:hAnsi="Arial" w:cs="Arial"/>
          <w:sz w:val="22"/>
          <w:szCs w:val="22"/>
          <w:lang w:val="fr-CA"/>
        </w:rPr>
        <w:t xml:space="preserve">Chow, V. T. (1959). </w:t>
      </w:r>
      <w:r w:rsidRPr="00AF051F">
        <w:rPr>
          <w:rFonts w:ascii="Arial" w:hAnsi="Arial" w:cs="Arial"/>
          <w:i/>
          <w:iCs/>
          <w:sz w:val="22"/>
          <w:szCs w:val="22"/>
          <w:lang w:val="fr-CA"/>
        </w:rPr>
        <w:t>Open-</w:t>
      </w:r>
      <w:proofErr w:type="spellStart"/>
      <w:r w:rsidRPr="00AF051F">
        <w:rPr>
          <w:rFonts w:ascii="Arial" w:hAnsi="Arial" w:cs="Arial"/>
          <w:i/>
          <w:iCs/>
          <w:sz w:val="22"/>
          <w:szCs w:val="22"/>
          <w:lang w:val="fr-CA"/>
        </w:rPr>
        <w:t>channel</w:t>
      </w:r>
      <w:proofErr w:type="spellEnd"/>
      <w:r w:rsidRPr="00AF051F">
        <w:rPr>
          <w:rFonts w:ascii="Arial" w:hAnsi="Arial" w:cs="Arial"/>
          <w:i/>
          <w:iCs/>
          <w:sz w:val="22"/>
          <w:szCs w:val="22"/>
          <w:lang w:val="fr-CA"/>
        </w:rPr>
        <w:t xml:space="preserve"> </w:t>
      </w:r>
      <w:proofErr w:type="spellStart"/>
      <w:r w:rsidRPr="00AF051F">
        <w:rPr>
          <w:rFonts w:ascii="Arial" w:hAnsi="Arial" w:cs="Arial"/>
          <w:i/>
          <w:iCs/>
          <w:sz w:val="22"/>
          <w:szCs w:val="22"/>
          <w:lang w:val="fr-CA"/>
        </w:rPr>
        <w:t>hydraulics</w:t>
      </w:r>
      <w:proofErr w:type="spellEnd"/>
      <w:r w:rsidRPr="00AF051F">
        <w:rPr>
          <w:rFonts w:ascii="Arial" w:hAnsi="Arial" w:cs="Arial"/>
          <w:sz w:val="22"/>
          <w:szCs w:val="22"/>
          <w:lang w:val="fr-CA"/>
        </w:rPr>
        <w:t>. McGraw-Hill.</w:t>
      </w:r>
    </w:p>
    <w:p w14:paraId="6B255015" w14:textId="77777777" w:rsidR="00AF051F" w:rsidRPr="00AF051F" w:rsidRDefault="00AF051F" w:rsidP="002A60A8">
      <w:pPr>
        <w:spacing w:line="276" w:lineRule="auto"/>
        <w:jc w:val="both"/>
        <w:rPr>
          <w:rFonts w:ascii="Arial" w:hAnsi="Arial" w:cs="Arial"/>
          <w:sz w:val="22"/>
          <w:szCs w:val="22"/>
          <w:lang w:val="fr-CA"/>
        </w:rPr>
      </w:pPr>
      <w:r w:rsidRPr="00AF051F">
        <w:rPr>
          <w:rFonts w:ascii="Arial" w:hAnsi="Arial" w:cs="Arial"/>
          <w:sz w:val="22"/>
          <w:szCs w:val="22"/>
          <w:lang w:val="fr-CA"/>
        </w:rPr>
        <w:t xml:space="preserve">Chow, V. T., Maidment, D. R., &amp; Mays, L. W. (1988). </w:t>
      </w:r>
      <w:r w:rsidRPr="00AF051F">
        <w:rPr>
          <w:rFonts w:ascii="Arial" w:hAnsi="Arial" w:cs="Arial"/>
          <w:i/>
          <w:iCs/>
          <w:sz w:val="22"/>
          <w:szCs w:val="22"/>
          <w:lang w:val="fr-CA"/>
        </w:rPr>
        <w:t xml:space="preserve">Applied </w:t>
      </w:r>
      <w:proofErr w:type="spellStart"/>
      <w:r w:rsidRPr="00AF051F">
        <w:rPr>
          <w:rFonts w:ascii="Arial" w:hAnsi="Arial" w:cs="Arial"/>
          <w:i/>
          <w:iCs/>
          <w:sz w:val="22"/>
          <w:szCs w:val="22"/>
          <w:lang w:val="fr-CA"/>
        </w:rPr>
        <w:t>hydrology</w:t>
      </w:r>
      <w:proofErr w:type="spellEnd"/>
      <w:r w:rsidRPr="00AF051F">
        <w:rPr>
          <w:rFonts w:ascii="Arial" w:hAnsi="Arial" w:cs="Arial"/>
          <w:sz w:val="22"/>
          <w:szCs w:val="22"/>
          <w:lang w:val="fr-CA"/>
        </w:rPr>
        <w:t>. McGraw-Hill.</w:t>
      </w:r>
    </w:p>
    <w:p w14:paraId="117E2FEA" w14:textId="77777777" w:rsidR="00AF051F" w:rsidRPr="00AF051F" w:rsidRDefault="00AF051F" w:rsidP="002A60A8">
      <w:pPr>
        <w:spacing w:line="276" w:lineRule="auto"/>
        <w:jc w:val="both"/>
        <w:rPr>
          <w:rFonts w:ascii="Arial" w:hAnsi="Arial" w:cs="Arial"/>
          <w:sz w:val="22"/>
          <w:szCs w:val="22"/>
          <w:lang w:val="fr-CA"/>
        </w:rPr>
      </w:pPr>
      <w:r w:rsidRPr="00AF051F">
        <w:rPr>
          <w:rFonts w:ascii="Arial" w:hAnsi="Arial" w:cs="Arial"/>
          <w:sz w:val="22"/>
          <w:szCs w:val="22"/>
          <w:lang w:val="fr-CA"/>
        </w:rPr>
        <w:t xml:space="preserve">Crane Co. (1988). </w:t>
      </w:r>
      <w:r w:rsidRPr="00AF051F">
        <w:rPr>
          <w:rFonts w:ascii="Arial" w:hAnsi="Arial" w:cs="Arial"/>
          <w:i/>
          <w:iCs/>
          <w:sz w:val="22"/>
          <w:szCs w:val="22"/>
          <w:lang w:val="fr-CA"/>
        </w:rPr>
        <w:t xml:space="preserve">Flow of </w:t>
      </w:r>
      <w:proofErr w:type="spellStart"/>
      <w:r w:rsidRPr="00AF051F">
        <w:rPr>
          <w:rFonts w:ascii="Arial" w:hAnsi="Arial" w:cs="Arial"/>
          <w:i/>
          <w:iCs/>
          <w:sz w:val="22"/>
          <w:szCs w:val="22"/>
          <w:lang w:val="fr-CA"/>
        </w:rPr>
        <w:t>fluids</w:t>
      </w:r>
      <w:proofErr w:type="spellEnd"/>
      <w:r w:rsidRPr="00AF051F">
        <w:rPr>
          <w:rFonts w:ascii="Arial" w:hAnsi="Arial" w:cs="Arial"/>
          <w:i/>
          <w:iCs/>
          <w:sz w:val="22"/>
          <w:szCs w:val="22"/>
          <w:lang w:val="fr-CA"/>
        </w:rPr>
        <w:t xml:space="preserve"> </w:t>
      </w:r>
      <w:proofErr w:type="spellStart"/>
      <w:r w:rsidRPr="00AF051F">
        <w:rPr>
          <w:rFonts w:ascii="Arial" w:hAnsi="Arial" w:cs="Arial"/>
          <w:i/>
          <w:iCs/>
          <w:sz w:val="22"/>
          <w:szCs w:val="22"/>
          <w:lang w:val="fr-CA"/>
        </w:rPr>
        <w:t>through</w:t>
      </w:r>
      <w:proofErr w:type="spellEnd"/>
      <w:r w:rsidRPr="00AF051F">
        <w:rPr>
          <w:rFonts w:ascii="Arial" w:hAnsi="Arial" w:cs="Arial"/>
          <w:i/>
          <w:iCs/>
          <w:sz w:val="22"/>
          <w:szCs w:val="22"/>
          <w:lang w:val="fr-CA"/>
        </w:rPr>
        <w:t xml:space="preserve"> valves, </w:t>
      </w:r>
      <w:proofErr w:type="spellStart"/>
      <w:r w:rsidRPr="00AF051F">
        <w:rPr>
          <w:rFonts w:ascii="Arial" w:hAnsi="Arial" w:cs="Arial"/>
          <w:i/>
          <w:iCs/>
          <w:sz w:val="22"/>
          <w:szCs w:val="22"/>
          <w:lang w:val="fr-CA"/>
        </w:rPr>
        <w:t>fittings</w:t>
      </w:r>
      <w:proofErr w:type="spellEnd"/>
      <w:r w:rsidRPr="00AF051F">
        <w:rPr>
          <w:rFonts w:ascii="Arial" w:hAnsi="Arial" w:cs="Arial"/>
          <w:i/>
          <w:iCs/>
          <w:sz w:val="22"/>
          <w:szCs w:val="22"/>
          <w:lang w:val="fr-CA"/>
        </w:rPr>
        <w:t>, and pipe</w:t>
      </w:r>
      <w:r w:rsidRPr="00AF051F">
        <w:rPr>
          <w:rFonts w:ascii="Arial" w:hAnsi="Arial" w:cs="Arial"/>
          <w:sz w:val="22"/>
          <w:szCs w:val="22"/>
          <w:lang w:val="fr-CA"/>
        </w:rPr>
        <w:t>.</w:t>
      </w:r>
    </w:p>
    <w:p w14:paraId="3100E845" w14:textId="77777777" w:rsidR="00AF051F" w:rsidRPr="00AF051F" w:rsidRDefault="00AF051F" w:rsidP="002A60A8">
      <w:pPr>
        <w:spacing w:line="276" w:lineRule="auto"/>
        <w:jc w:val="both"/>
        <w:rPr>
          <w:rFonts w:ascii="Arial" w:hAnsi="Arial" w:cs="Arial"/>
          <w:sz w:val="22"/>
          <w:szCs w:val="22"/>
          <w:lang w:val="fr-CA"/>
        </w:rPr>
      </w:pPr>
      <w:r w:rsidRPr="00AF051F">
        <w:rPr>
          <w:rFonts w:ascii="Arial" w:hAnsi="Arial" w:cs="Arial"/>
          <w:sz w:val="22"/>
          <w:szCs w:val="22"/>
          <w:lang w:val="fr-CA"/>
        </w:rPr>
        <w:t xml:space="preserve">Featherstone, R. E., &amp; Nalluri, C. (1995). </w:t>
      </w:r>
      <w:r w:rsidRPr="00AF051F">
        <w:rPr>
          <w:rFonts w:ascii="Arial" w:hAnsi="Arial" w:cs="Arial"/>
          <w:i/>
          <w:iCs/>
          <w:sz w:val="22"/>
          <w:szCs w:val="22"/>
          <w:lang w:val="fr-CA"/>
        </w:rPr>
        <w:t xml:space="preserve">Civil engineering </w:t>
      </w:r>
      <w:proofErr w:type="spellStart"/>
      <w:r w:rsidRPr="00AF051F">
        <w:rPr>
          <w:rFonts w:ascii="Arial" w:hAnsi="Arial" w:cs="Arial"/>
          <w:i/>
          <w:iCs/>
          <w:sz w:val="22"/>
          <w:szCs w:val="22"/>
          <w:lang w:val="fr-CA"/>
        </w:rPr>
        <w:t>hydraulics</w:t>
      </w:r>
      <w:proofErr w:type="spellEnd"/>
      <w:r w:rsidRPr="00AF051F">
        <w:rPr>
          <w:rFonts w:ascii="Arial" w:hAnsi="Arial" w:cs="Arial"/>
          <w:sz w:val="22"/>
          <w:szCs w:val="22"/>
          <w:lang w:val="fr-CA"/>
        </w:rPr>
        <w:t>.</w:t>
      </w:r>
    </w:p>
    <w:p w14:paraId="0ADB64C1" w14:textId="77777777" w:rsidR="00AF051F" w:rsidRPr="00AF051F" w:rsidRDefault="00AF051F" w:rsidP="002A60A8">
      <w:pPr>
        <w:spacing w:line="276" w:lineRule="auto"/>
        <w:jc w:val="both"/>
        <w:rPr>
          <w:rFonts w:ascii="Arial" w:hAnsi="Arial" w:cs="Arial"/>
          <w:sz w:val="22"/>
          <w:szCs w:val="22"/>
          <w:lang w:val="fr-CA"/>
        </w:rPr>
      </w:pPr>
      <w:r w:rsidRPr="00AF051F">
        <w:rPr>
          <w:rFonts w:ascii="Arial" w:hAnsi="Arial" w:cs="Arial"/>
          <w:sz w:val="22"/>
          <w:szCs w:val="22"/>
          <w:lang w:val="fr-CA"/>
        </w:rPr>
        <w:t xml:space="preserve">Mosonyi, E. (1991). </w:t>
      </w:r>
      <w:proofErr w:type="spellStart"/>
      <w:r w:rsidRPr="00AF051F">
        <w:rPr>
          <w:rFonts w:ascii="Arial" w:hAnsi="Arial" w:cs="Arial"/>
          <w:i/>
          <w:iCs/>
          <w:sz w:val="22"/>
          <w:szCs w:val="22"/>
          <w:lang w:val="fr-CA"/>
        </w:rPr>
        <w:t>Hydropower</w:t>
      </w:r>
      <w:proofErr w:type="spellEnd"/>
      <w:r w:rsidRPr="00AF051F">
        <w:rPr>
          <w:rFonts w:ascii="Arial" w:hAnsi="Arial" w:cs="Arial"/>
          <w:i/>
          <w:iCs/>
          <w:sz w:val="22"/>
          <w:szCs w:val="22"/>
          <w:lang w:val="fr-CA"/>
        </w:rPr>
        <w:t xml:space="preserve"> </w:t>
      </w:r>
      <w:proofErr w:type="spellStart"/>
      <w:r w:rsidRPr="00AF051F">
        <w:rPr>
          <w:rFonts w:ascii="Arial" w:hAnsi="Arial" w:cs="Arial"/>
          <w:i/>
          <w:iCs/>
          <w:sz w:val="22"/>
          <w:szCs w:val="22"/>
          <w:lang w:val="fr-CA"/>
        </w:rPr>
        <w:t>development</w:t>
      </w:r>
      <w:proofErr w:type="spellEnd"/>
      <w:r w:rsidRPr="00AF051F">
        <w:rPr>
          <w:rFonts w:ascii="Arial" w:hAnsi="Arial" w:cs="Arial"/>
          <w:sz w:val="22"/>
          <w:szCs w:val="22"/>
          <w:lang w:val="fr-CA"/>
        </w:rPr>
        <w:t>.</w:t>
      </w:r>
    </w:p>
    <w:p w14:paraId="1DB4F0BF" w14:textId="77777777" w:rsidR="00AF051F" w:rsidRPr="00AF051F" w:rsidRDefault="00AF051F" w:rsidP="002A60A8">
      <w:pPr>
        <w:spacing w:line="276" w:lineRule="auto"/>
        <w:jc w:val="both"/>
        <w:rPr>
          <w:rFonts w:ascii="Arial" w:hAnsi="Arial" w:cs="Arial"/>
          <w:sz w:val="22"/>
          <w:szCs w:val="22"/>
          <w:lang w:val="fr-CA"/>
        </w:rPr>
      </w:pPr>
      <w:r w:rsidRPr="00AF051F">
        <w:rPr>
          <w:rFonts w:ascii="Arial" w:hAnsi="Arial" w:cs="Arial"/>
          <w:sz w:val="22"/>
          <w:szCs w:val="22"/>
          <w:lang w:val="fr-CA"/>
        </w:rPr>
        <w:lastRenderedPageBreak/>
        <w:t xml:space="preserve">Novak, P., et al. (2007). </w:t>
      </w:r>
      <w:proofErr w:type="spellStart"/>
      <w:r w:rsidRPr="00AF051F">
        <w:rPr>
          <w:rFonts w:ascii="Arial" w:hAnsi="Arial" w:cs="Arial"/>
          <w:i/>
          <w:iCs/>
          <w:sz w:val="22"/>
          <w:szCs w:val="22"/>
          <w:lang w:val="fr-CA"/>
        </w:rPr>
        <w:t>Hydraulic</w:t>
      </w:r>
      <w:proofErr w:type="spellEnd"/>
      <w:r w:rsidRPr="00AF051F">
        <w:rPr>
          <w:rFonts w:ascii="Arial" w:hAnsi="Arial" w:cs="Arial"/>
          <w:i/>
          <w:iCs/>
          <w:sz w:val="22"/>
          <w:szCs w:val="22"/>
          <w:lang w:val="fr-CA"/>
        </w:rPr>
        <w:t xml:space="preserve"> structures</w:t>
      </w:r>
      <w:r w:rsidRPr="00AF051F">
        <w:rPr>
          <w:rFonts w:ascii="Arial" w:hAnsi="Arial" w:cs="Arial"/>
          <w:sz w:val="22"/>
          <w:szCs w:val="22"/>
          <w:lang w:val="fr-CA"/>
        </w:rPr>
        <w:t>.</w:t>
      </w:r>
    </w:p>
    <w:p w14:paraId="41847E71" w14:textId="77777777" w:rsidR="00AF051F" w:rsidRPr="00AF051F" w:rsidRDefault="00AF051F" w:rsidP="002A60A8">
      <w:pPr>
        <w:spacing w:line="276" w:lineRule="auto"/>
        <w:jc w:val="both"/>
        <w:rPr>
          <w:rFonts w:ascii="Arial" w:hAnsi="Arial" w:cs="Arial"/>
          <w:sz w:val="22"/>
          <w:szCs w:val="22"/>
        </w:rPr>
      </w:pPr>
      <w:r w:rsidRPr="00AF051F">
        <w:rPr>
          <w:rFonts w:ascii="Arial" w:hAnsi="Arial" w:cs="Arial"/>
          <w:sz w:val="22"/>
          <w:szCs w:val="22"/>
          <w:lang w:val="fr-CA"/>
        </w:rPr>
        <w:t xml:space="preserve">Rocha Felices, A. (1998). </w:t>
      </w:r>
      <w:r w:rsidRPr="00AF051F">
        <w:rPr>
          <w:rFonts w:ascii="Arial" w:hAnsi="Arial" w:cs="Arial"/>
          <w:i/>
          <w:iCs/>
          <w:sz w:val="22"/>
          <w:szCs w:val="22"/>
        </w:rPr>
        <w:t>Hidráulica de tuberías y canales</w:t>
      </w:r>
      <w:r w:rsidRPr="00AF051F">
        <w:rPr>
          <w:rFonts w:ascii="Arial" w:hAnsi="Arial" w:cs="Arial"/>
          <w:sz w:val="22"/>
          <w:szCs w:val="22"/>
        </w:rPr>
        <w:t>.</w:t>
      </w:r>
    </w:p>
    <w:p w14:paraId="12F39197" w14:textId="77777777" w:rsidR="00AF051F" w:rsidRPr="00AF051F" w:rsidRDefault="00AF051F" w:rsidP="002A60A8">
      <w:pPr>
        <w:spacing w:line="276" w:lineRule="auto"/>
        <w:jc w:val="both"/>
        <w:rPr>
          <w:rFonts w:ascii="Arial" w:hAnsi="Arial" w:cs="Arial"/>
          <w:sz w:val="22"/>
          <w:szCs w:val="22"/>
        </w:rPr>
      </w:pPr>
      <w:r w:rsidRPr="00AF051F">
        <w:rPr>
          <w:rFonts w:ascii="Arial" w:hAnsi="Arial" w:cs="Arial"/>
          <w:sz w:val="22"/>
          <w:szCs w:val="22"/>
          <w:lang w:val="fr-CA"/>
        </w:rPr>
        <w:t xml:space="preserve">U.S. Army Corps of </w:t>
      </w:r>
      <w:proofErr w:type="spellStart"/>
      <w:r w:rsidRPr="00AF051F">
        <w:rPr>
          <w:rFonts w:ascii="Arial" w:hAnsi="Arial" w:cs="Arial"/>
          <w:sz w:val="22"/>
          <w:szCs w:val="22"/>
          <w:lang w:val="fr-CA"/>
        </w:rPr>
        <w:t>Engineers</w:t>
      </w:r>
      <w:proofErr w:type="spellEnd"/>
      <w:r w:rsidRPr="00AF051F">
        <w:rPr>
          <w:rFonts w:ascii="Arial" w:hAnsi="Arial" w:cs="Arial"/>
          <w:sz w:val="22"/>
          <w:szCs w:val="22"/>
          <w:lang w:val="fr-CA"/>
        </w:rPr>
        <w:t xml:space="preserve"> (1983–1987). </w:t>
      </w:r>
      <w:proofErr w:type="spellStart"/>
      <w:r w:rsidRPr="00AF051F">
        <w:rPr>
          <w:rFonts w:ascii="Arial" w:hAnsi="Arial" w:cs="Arial"/>
          <w:i/>
          <w:iCs/>
          <w:sz w:val="22"/>
          <w:szCs w:val="22"/>
        </w:rPr>
        <w:t>Hydraulic</w:t>
      </w:r>
      <w:proofErr w:type="spellEnd"/>
      <w:r w:rsidRPr="00AF051F">
        <w:rPr>
          <w:rFonts w:ascii="Arial" w:hAnsi="Arial" w:cs="Arial"/>
          <w:i/>
          <w:iCs/>
          <w:sz w:val="22"/>
          <w:szCs w:val="22"/>
        </w:rPr>
        <w:t xml:space="preserve"> </w:t>
      </w:r>
      <w:proofErr w:type="spellStart"/>
      <w:r w:rsidRPr="00AF051F">
        <w:rPr>
          <w:rFonts w:ascii="Arial" w:hAnsi="Arial" w:cs="Arial"/>
          <w:i/>
          <w:iCs/>
          <w:sz w:val="22"/>
          <w:szCs w:val="22"/>
        </w:rPr>
        <w:t>design</w:t>
      </w:r>
      <w:proofErr w:type="spellEnd"/>
      <w:r w:rsidRPr="00AF051F">
        <w:rPr>
          <w:rFonts w:ascii="Arial" w:hAnsi="Arial" w:cs="Arial"/>
          <w:i/>
          <w:iCs/>
          <w:sz w:val="22"/>
          <w:szCs w:val="22"/>
        </w:rPr>
        <w:t xml:space="preserve"> </w:t>
      </w:r>
      <w:proofErr w:type="spellStart"/>
      <w:r w:rsidRPr="00AF051F">
        <w:rPr>
          <w:rFonts w:ascii="Arial" w:hAnsi="Arial" w:cs="Arial"/>
          <w:i/>
          <w:iCs/>
          <w:sz w:val="22"/>
          <w:szCs w:val="22"/>
        </w:rPr>
        <w:t>manuals</w:t>
      </w:r>
      <w:proofErr w:type="spellEnd"/>
      <w:r w:rsidRPr="00AF051F">
        <w:rPr>
          <w:rFonts w:ascii="Arial" w:hAnsi="Arial" w:cs="Arial"/>
          <w:sz w:val="22"/>
          <w:szCs w:val="22"/>
        </w:rPr>
        <w:t>.</w:t>
      </w:r>
    </w:p>
    <w:p w14:paraId="4E05C8E1" w14:textId="77777777" w:rsidR="00E86CF3" w:rsidRDefault="00E86CF3" w:rsidP="002A60A8">
      <w:pPr>
        <w:spacing w:line="276" w:lineRule="auto"/>
        <w:jc w:val="both"/>
        <w:rPr>
          <w:rFonts w:ascii="Arial" w:hAnsi="Arial" w:cs="Arial"/>
          <w:sz w:val="22"/>
          <w:szCs w:val="22"/>
        </w:rPr>
      </w:pPr>
    </w:p>
    <w:p w14:paraId="52E552DE" w14:textId="77777777" w:rsidR="009A71CC" w:rsidRDefault="009A71CC" w:rsidP="002A60A8">
      <w:pPr>
        <w:spacing w:line="276" w:lineRule="auto"/>
        <w:jc w:val="both"/>
        <w:rPr>
          <w:rFonts w:ascii="Arial" w:hAnsi="Arial" w:cs="Arial"/>
          <w:sz w:val="22"/>
          <w:szCs w:val="22"/>
        </w:rPr>
      </w:pPr>
    </w:p>
    <w:p w14:paraId="67A278F4" w14:textId="77777777" w:rsidR="009A71CC" w:rsidRDefault="009A71CC" w:rsidP="002A60A8">
      <w:pPr>
        <w:spacing w:line="276" w:lineRule="auto"/>
        <w:jc w:val="both"/>
        <w:rPr>
          <w:rFonts w:ascii="Arial" w:hAnsi="Arial" w:cs="Arial"/>
          <w:sz w:val="22"/>
          <w:szCs w:val="22"/>
        </w:rPr>
      </w:pPr>
    </w:p>
    <w:p w14:paraId="2FAB642B" w14:textId="52FEFCEE" w:rsidR="009A71CC" w:rsidRDefault="00EE60AF" w:rsidP="00191066">
      <w:pPr>
        <w:spacing w:line="276" w:lineRule="auto"/>
        <w:ind w:left="1416" w:hanging="1416"/>
        <w:jc w:val="both"/>
        <w:rPr>
          <w:rFonts w:ascii="Arial" w:hAnsi="Arial" w:cs="Arial"/>
          <w:sz w:val="22"/>
          <w:szCs w:val="22"/>
        </w:rPr>
      </w:pPr>
      <w:r>
        <w:rPr>
          <w:rFonts w:ascii="Arial" w:hAnsi="Arial" w:cs="Arial"/>
          <w:noProof/>
          <w:color w:val="000000"/>
          <w:sz w:val="22"/>
          <w:szCs w:val="22"/>
          <w:bdr w:val="none" w:sz="0" w:space="0" w:color="auto" w:frame="1"/>
        </w:rPr>
        <w:drawing>
          <wp:inline distT="0" distB="0" distL="0" distR="0" wp14:anchorId="743664E0" wp14:editId="75E6A470">
            <wp:extent cx="1753791" cy="701749"/>
            <wp:effectExtent l="0" t="0" r="0" b="3175"/>
            <wp:docPr id="18694892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76446" cy="710814"/>
                    </a:xfrm>
                    <a:prstGeom prst="rect">
                      <a:avLst/>
                    </a:prstGeom>
                    <a:noFill/>
                    <a:ln>
                      <a:noFill/>
                    </a:ln>
                  </pic:spPr>
                </pic:pic>
              </a:graphicData>
            </a:graphic>
          </wp:inline>
        </w:drawing>
      </w:r>
    </w:p>
    <w:p w14:paraId="650E5387" w14:textId="49EA45F9" w:rsidR="009A71CC" w:rsidRDefault="009A71CC" w:rsidP="002A60A8">
      <w:pPr>
        <w:spacing w:line="276" w:lineRule="auto"/>
        <w:jc w:val="both"/>
        <w:rPr>
          <w:rFonts w:ascii="Arial" w:hAnsi="Arial" w:cs="Arial"/>
          <w:sz w:val="22"/>
          <w:szCs w:val="22"/>
        </w:rPr>
      </w:pPr>
      <w:r>
        <w:rPr>
          <w:rFonts w:ascii="Arial" w:hAnsi="Arial" w:cs="Arial"/>
          <w:sz w:val="22"/>
          <w:szCs w:val="22"/>
        </w:rPr>
        <w:t>----------------------------------------</w:t>
      </w:r>
    </w:p>
    <w:p w14:paraId="3BB6307A" w14:textId="4401D2B1" w:rsidR="009A71CC" w:rsidRDefault="009A71CC" w:rsidP="002A60A8">
      <w:pPr>
        <w:spacing w:line="276" w:lineRule="auto"/>
        <w:jc w:val="both"/>
        <w:rPr>
          <w:rFonts w:ascii="Arial" w:hAnsi="Arial" w:cs="Arial"/>
          <w:b/>
          <w:bCs/>
          <w:sz w:val="22"/>
          <w:szCs w:val="22"/>
        </w:rPr>
      </w:pPr>
      <w:r w:rsidRPr="009A71CC">
        <w:rPr>
          <w:rFonts w:ascii="Arial" w:hAnsi="Arial" w:cs="Arial"/>
          <w:b/>
          <w:bCs/>
          <w:sz w:val="22"/>
          <w:szCs w:val="22"/>
        </w:rPr>
        <w:t>Nadir Bashir Yaver Orjuela</w:t>
      </w:r>
    </w:p>
    <w:p w14:paraId="1531D022" w14:textId="48DEB91D" w:rsidR="00EE60AF" w:rsidRPr="009A71CC" w:rsidRDefault="00EE60AF" w:rsidP="002A60A8">
      <w:pPr>
        <w:spacing w:line="276" w:lineRule="auto"/>
        <w:jc w:val="both"/>
        <w:rPr>
          <w:rFonts w:ascii="Arial" w:hAnsi="Arial" w:cs="Arial"/>
          <w:b/>
          <w:bCs/>
          <w:sz w:val="22"/>
          <w:szCs w:val="22"/>
        </w:rPr>
      </w:pPr>
      <w:r>
        <w:rPr>
          <w:rFonts w:ascii="Arial" w:hAnsi="Arial" w:cs="Arial"/>
          <w:b/>
          <w:bCs/>
          <w:sz w:val="22"/>
          <w:szCs w:val="22"/>
        </w:rPr>
        <w:t xml:space="preserve">IC, </w:t>
      </w:r>
      <w:proofErr w:type="spellStart"/>
      <w:r>
        <w:rPr>
          <w:rFonts w:ascii="Arial" w:hAnsi="Arial" w:cs="Arial"/>
          <w:b/>
          <w:bCs/>
          <w:sz w:val="22"/>
          <w:szCs w:val="22"/>
        </w:rPr>
        <w:t>MSc</w:t>
      </w:r>
      <w:proofErr w:type="spellEnd"/>
    </w:p>
    <w:sectPr w:rsidR="00EE60AF" w:rsidRPr="009A71C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F3B93"/>
    <w:multiLevelType w:val="multilevel"/>
    <w:tmpl w:val="7CD2F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A03225"/>
    <w:multiLevelType w:val="multilevel"/>
    <w:tmpl w:val="C6228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2A5670"/>
    <w:multiLevelType w:val="hybridMultilevel"/>
    <w:tmpl w:val="29BEA4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4CC7C03"/>
    <w:multiLevelType w:val="multilevel"/>
    <w:tmpl w:val="B2A87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67698E"/>
    <w:multiLevelType w:val="multilevel"/>
    <w:tmpl w:val="800E1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8C0A8E"/>
    <w:multiLevelType w:val="multilevel"/>
    <w:tmpl w:val="1F706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8B2E8F"/>
    <w:multiLevelType w:val="multilevel"/>
    <w:tmpl w:val="A156D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4C0E38"/>
    <w:multiLevelType w:val="multilevel"/>
    <w:tmpl w:val="73B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127B99"/>
    <w:multiLevelType w:val="multilevel"/>
    <w:tmpl w:val="FD7E7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6D0FBF"/>
    <w:multiLevelType w:val="multilevel"/>
    <w:tmpl w:val="A8928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0F3726"/>
    <w:multiLevelType w:val="multilevel"/>
    <w:tmpl w:val="C5E0A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A75F75"/>
    <w:multiLevelType w:val="multilevel"/>
    <w:tmpl w:val="B89CB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FF2E71"/>
    <w:multiLevelType w:val="multilevel"/>
    <w:tmpl w:val="C39E1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7B6680"/>
    <w:multiLevelType w:val="multilevel"/>
    <w:tmpl w:val="30523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662079B"/>
    <w:multiLevelType w:val="multilevel"/>
    <w:tmpl w:val="F794A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9459A0"/>
    <w:multiLevelType w:val="multilevel"/>
    <w:tmpl w:val="37B6A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802420"/>
    <w:multiLevelType w:val="multilevel"/>
    <w:tmpl w:val="15B8B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0570907"/>
    <w:multiLevelType w:val="multilevel"/>
    <w:tmpl w:val="E91EC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4B63635"/>
    <w:multiLevelType w:val="multilevel"/>
    <w:tmpl w:val="B478E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A5B5740"/>
    <w:multiLevelType w:val="multilevel"/>
    <w:tmpl w:val="18B2D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375998"/>
    <w:multiLevelType w:val="multilevel"/>
    <w:tmpl w:val="B82C0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513335"/>
    <w:multiLevelType w:val="multilevel"/>
    <w:tmpl w:val="8F7C1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BF56B2"/>
    <w:multiLevelType w:val="multilevel"/>
    <w:tmpl w:val="4B0A2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680E20"/>
    <w:multiLevelType w:val="multilevel"/>
    <w:tmpl w:val="2286B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BE1E40"/>
    <w:multiLevelType w:val="multilevel"/>
    <w:tmpl w:val="6D5E2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355373"/>
    <w:multiLevelType w:val="multilevel"/>
    <w:tmpl w:val="37BA2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B31742"/>
    <w:multiLevelType w:val="multilevel"/>
    <w:tmpl w:val="0986C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FDD35FC"/>
    <w:multiLevelType w:val="multilevel"/>
    <w:tmpl w:val="97D2D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9721C6"/>
    <w:multiLevelType w:val="multilevel"/>
    <w:tmpl w:val="D29C5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81521D"/>
    <w:multiLevelType w:val="multilevel"/>
    <w:tmpl w:val="C86A0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8E3930"/>
    <w:multiLevelType w:val="multilevel"/>
    <w:tmpl w:val="5A422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4192669">
    <w:abstractNumId w:val="5"/>
  </w:num>
  <w:num w:numId="2" w16cid:durableId="584654778">
    <w:abstractNumId w:val="28"/>
  </w:num>
  <w:num w:numId="3" w16cid:durableId="763065449">
    <w:abstractNumId w:val="21"/>
  </w:num>
  <w:num w:numId="4" w16cid:durableId="1894611490">
    <w:abstractNumId w:val="9"/>
  </w:num>
  <w:num w:numId="5" w16cid:durableId="216090287">
    <w:abstractNumId w:val="14"/>
  </w:num>
  <w:num w:numId="6" w16cid:durableId="695887337">
    <w:abstractNumId w:val="26"/>
  </w:num>
  <w:num w:numId="7" w16cid:durableId="303851659">
    <w:abstractNumId w:val="6"/>
  </w:num>
  <w:num w:numId="8" w16cid:durableId="657610154">
    <w:abstractNumId w:val="22"/>
  </w:num>
  <w:num w:numId="9" w16cid:durableId="75134877">
    <w:abstractNumId w:val="11"/>
  </w:num>
  <w:num w:numId="10" w16cid:durableId="1550071187">
    <w:abstractNumId w:val="10"/>
  </w:num>
  <w:num w:numId="11" w16cid:durableId="1751148729">
    <w:abstractNumId w:val="30"/>
  </w:num>
  <w:num w:numId="12" w16cid:durableId="587691455">
    <w:abstractNumId w:val="17"/>
  </w:num>
  <w:num w:numId="13" w16cid:durableId="43795181">
    <w:abstractNumId w:val="24"/>
  </w:num>
  <w:num w:numId="14" w16cid:durableId="1576091361">
    <w:abstractNumId w:val="13"/>
  </w:num>
  <w:num w:numId="15" w16cid:durableId="1474642654">
    <w:abstractNumId w:val="7"/>
  </w:num>
  <w:num w:numId="16" w16cid:durableId="1702238740">
    <w:abstractNumId w:val="1"/>
  </w:num>
  <w:num w:numId="17" w16cid:durableId="199712063">
    <w:abstractNumId w:val="4"/>
  </w:num>
  <w:num w:numId="18" w16cid:durableId="197593398">
    <w:abstractNumId w:val="0"/>
  </w:num>
  <w:num w:numId="19" w16cid:durableId="2087258497">
    <w:abstractNumId w:val="29"/>
  </w:num>
  <w:num w:numId="20" w16cid:durableId="241063224">
    <w:abstractNumId w:val="19"/>
  </w:num>
  <w:num w:numId="21" w16cid:durableId="682708043">
    <w:abstractNumId w:val="3"/>
  </w:num>
  <w:num w:numId="22" w16cid:durableId="632909619">
    <w:abstractNumId w:val="8"/>
  </w:num>
  <w:num w:numId="23" w16cid:durableId="728310156">
    <w:abstractNumId w:val="15"/>
  </w:num>
  <w:num w:numId="24" w16cid:durableId="39286320">
    <w:abstractNumId w:val="12"/>
  </w:num>
  <w:num w:numId="25" w16cid:durableId="968241240">
    <w:abstractNumId w:val="20"/>
  </w:num>
  <w:num w:numId="26" w16cid:durableId="418645042">
    <w:abstractNumId w:val="25"/>
  </w:num>
  <w:num w:numId="27" w16cid:durableId="718895941">
    <w:abstractNumId w:val="27"/>
  </w:num>
  <w:num w:numId="28" w16cid:durableId="5181279">
    <w:abstractNumId w:val="18"/>
  </w:num>
  <w:num w:numId="29" w16cid:durableId="1394348267">
    <w:abstractNumId w:val="16"/>
  </w:num>
  <w:num w:numId="30" w16cid:durableId="1204564860">
    <w:abstractNumId w:val="23"/>
  </w:num>
  <w:num w:numId="31" w16cid:durableId="11438138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51F"/>
    <w:rsid w:val="00001F53"/>
    <w:rsid w:val="00081A1B"/>
    <w:rsid w:val="000A16EF"/>
    <w:rsid w:val="00106591"/>
    <w:rsid w:val="0011229B"/>
    <w:rsid w:val="00126068"/>
    <w:rsid w:val="00145D92"/>
    <w:rsid w:val="00191066"/>
    <w:rsid w:val="001A6E6D"/>
    <w:rsid w:val="00206543"/>
    <w:rsid w:val="00210F87"/>
    <w:rsid w:val="00216495"/>
    <w:rsid w:val="002732E5"/>
    <w:rsid w:val="002A60A8"/>
    <w:rsid w:val="002D4D2C"/>
    <w:rsid w:val="002E24F6"/>
    <w:rsid w:val="002E4D35"/>
    <w:rsid w:val="00304229"/>
    <w:rsid w:val="00306DA2"/>
    <w:rsid w:val="00394C82"/>
    <w:rsid w:val="00422AC8"/>
    <w:rsid w:val="004279E6"/>
    <w:rsid w:val="00434BD0"/>
    <w:rsid w:val="004748D4"/>
    <w:rsid w:val="00477276"/>
    <w:rsid w:val="004A4F3C"/>
    <w:rsid w:val="004B4693"/>
    <w:rsid w:val="004D242E"/>
    <w:rsid w:val="005124F4"/>
    <w:rsid w:val="00540693"/>
    <w:rsid w:val="0056221F"/>
    <w:rsid w:val="005A3C96"/>
    <w:rsid w:val="005B176E"/>
    <w:rsid w:val="00664DDB"/>
    <w:rsid w:val="00677C72"/>
    <w:rsid w:val="006968F5"/>
    <w:rsid w:val="006A081E"/>
    <w:rsid w:val="006A7297"/>
    <w:rsid w:val="006E58D6"/>
    <w:rsid w:val="00720C49"/>
    <w:rsid w:val="00753C4B"/>
    <w:rsid w:val="007559F6"/>
    <w:rsid w:val="007D0EFC"/>
    <w:rsid w:val="00815B6E"/>
    <w:rsid w:val="008369F5"/>
    <w:rsid w:val="00842E2B"/>
    <w:rsid w:val="008C3260"/>
    <w:rsid w:val="008C428A"/>
    <w:rsid w:val="008C5494"/>
    <w:rsid w:val="008F5B83"/>
    <w:rsid w:val="009364AC"/>
    <w:rsid w:val="00963492"/>
    <w:rsid w:val="009A71CC"/>
    <w:rsid w:val="00A42AA2"/>
    <w:rsid w:val="00A43B48"/>
    <w:rsid w:val="00A65EAD"/>
    <w:rsid w:val="00A748D2"/>
    <w:rsid w:val="00A81F50"/>
    <w:rsid w:val="00A834F2"/>
    <w:rsid w:val="00AA014D"/>
    <w:rsid w:val="00AD580C"/>
    <w:rsid w:val="00AD7A68"/>
    <w:rsid w:val="00AF051F"/>
    <w:rsid w:val="00B07CBB"/>
    <w:rsid w:val="00B441A1"/>
    <w:rsid w:val="00B60FAA"/>
    <w:rsid w:val="00BC2431"/>
    <w:rsid w:val="00BD6705"/>
    <w:rsid w:val="00BF2D9C"/>
    <w:rsid w:val="00C36C03"/>
    <w:rsid w:val="00C43DFD"/>
    <w:rsid w:val="00C55A24"/>
    <w:rsid w:val="00CB088B"/>
    <w:rsid w:val="00CB504E"/>
    <w:rsid w:val="00CD2FC8"/>
    <w:rsid w:val="00CE2681"/>
    <w:rsid w:val="00CF002F"/>
    <w:rsid w:val="00CF3B34"/>
    <w:rsid w:val="00D03C31"/>
    <w:rsid w:val="00D21AD7"/>
    <w:rsid w:val="00D35F6C"/>
    <w:rsid w:val="00D363F7"/>
    <w:rsid w:val="00D4650C"/>
    <w:rsid w:val="00DA3CB8"/>
    <w:rsid w:val="00DB2607"/>
    <w:rsid w:val="00DC38D8"/>
    <w:rsid w:val="00DE7B5D"/>
    <w:rsid w:val="00E27640"/>
    <w:rsid w:val="00E45FFE"/>
    <w:rsid w:val="00E51863"/>
    <w:rsid w:val="00E86CF3"/>
    <w:rsid w:val="00ED31BE"/>
    <w:rsid w:val="00EE0E37"/>
    <w:rsid w:val="00EE60AF"/>
    <w:rsid w:val="00EF3F81"/>
    <w:rsid w:val="00F06E68"/>
    <w:rsid w:val="00F124B0"/>
    <w:rsid w:val="00F44B7F"/>
    <w:rsid w:val="00FC774E"/>
    <w:rsid w:val="00FE3AFB"/>
    <w:rsid w:val="00FE4C6B"/>
    <w:rsid w:val="00FF63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407A3"/>
  <w15:chartTrackingRefBased/>
  <w15:docId w15:val="{9DAED9C2-0129-433F-B2A4-1DBE6E138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F05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F05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F051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F051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F051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F051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F051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F051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F051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F051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F051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F051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F051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F051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F051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F051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F051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F051F"/>
    <w:rPr>
      <w:rFonts w:eastAsiaTheme="majorEastAsia" w:cstheme="majorBidi"/>
      <w:color w:val="272727" w:themeColor="text1" w:themeTint="D8"/>
    </w:rPr>
  </w:style>
  <w:style w:type="paragraph" w:styleId="Ttulo">
    <w:name w:val="Title"/>
    <w:basedOn w:val="Normal"/>
    <w:next w:val="Normal"/>
    <w:link w:val="TtuloCar"/>
    <w:uiPriority w:val="10"/>
    <w:qFormat/>
    <w:rsid w:val="00AF05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F051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F051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F051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F051F"/>
    <w:pPr>
      <w:spacing w:before="160"/>
      <w:jc w:val="center"/>
    </w:pPr>
    <w:rPr>
      <w:i/>
      <w:iCs/>
      <w:color w:val="404040" w:themeColor="text1" w:themeTint="BF"/>
    </w:rPr>
  </w:style>
  <w:style w:type="character" w:customStyle="1" w:styleId="CitaCar">
    <w:name w:val="Cita Car"/>
    <w:basedOn w:val="Fuentedeprrafopredeter"/>
    <w:link w:val="Cita"/>
    <w:uiPriority w:val="29"/>
    <w:rsid w:val="00AF051F"/>
    <w:rPr>
      <w:i/>
      <w:iCs/>
      <w:color w:val="404040" w:themeColor="text1" w:themeTint="BF"/>
    </w:rPr>
  </w:style>
  <w:style w:type="paragraph" w:styleId="Prrafodelista">
    <w:name w:val="List Paragraph"/>
    <w:basedOn w:val="Normal"/>
    <w:uiPriority w:val="34"/>
    <w:qFormat/>
    <w:rsid w:val="00AF051F"/>
    <w:pPr>
      <w:ind w:left="720"/>
      <w:contextualSpacing/>
    </w:pPr>
  </w:style>
  <w:style w:type="character" w:styleId="nfasisintenso">
    <w:name w:val="Intense Emphasis"/>
    <w:basedOn w:val="Fuentedeprrafopredeter"/>
    <w:uiPriority w:val="21"/>
    <w:qFormat/>
    <w:rsid w:val="00AF051F"/>
    <w:rPr>
      <w:i/>
      <w:iCs/>
      <w:color w:val="0F4761" w:themeColor="accent1" w:themeShade="BF"/>
    </w:rPr>
  </w:style>
  <w:style w:type="paragraph" w:styleId="Citadestacada">
    <w:name w:val="Intense Quote"/>
    <w:basedOn w:val="Normal"/>
    <w:next w:val="Normal"/>
    <w:link w:val="CitadestacadaCar"/>
    <w:uiPriority w:val="30"/>
    <w:qFormat/>
    <w:rsid w:val="00AF05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F051F"/>
    <w:rPr>
      <w:i/>
      <w:iCs/>
      <w:color w:val="0F4761" w:themeColor="accent1" w:themeShade="BF"/>
    </w:rPr>
  </w:style>
  <w:style w:type="character" w:styleId="Referenciaintensa">
    <w:name w:val="Intense Reference"/>
    <w:basedOn w:val="Fuentedeprrafopredeter"/>
    <w:uiPriority w:val="32"/>
    <w:qFormat/>
    <w:rsid w:val="00AF051F"/>
    <w:rPr>
      <w:b/>
      <w:bCs/>
      <w:smallCaps/>
      <w:color w:val="0F4761" w:themeColor="accent1" w:themeShade="BF"/>
      <w:spacing w:val="5"/>
    </w:rPr>
  </w:style>
  <w:style w:type="paragraph" w:styleId="NormalWeb">
    <w:name w:val="Normal (Web)"/>
    <w:basedOn w:val="Normal"/>
    <w:uiPriority w:val="99"/>
    <w:semiHidden/>
    <w:unhideWhenUsed/>
    <w:rsid w:val="00B07CBB"/>
    <w:pPr>
      <w:spacing w:before="100" w:beforeAutospacing="1" w:after="100" w:afterAutospacing="1" w:line="240" w:lineRule="auto"/>
    </w:pPr>
    <w:rPr>
      <w:rFonts w:ascii="Times New Roman" w:eastAsia="Times New Roman" w:hAnsi="Times New Roman" w:cs="Times New Roman"/>
      <w:kern w:val="0"/>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3282</Words>
  <Characters>18056</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dc:description/>
  <cp:lastModifiedBy>LAPTOP</cp:lastModifiedBy>
  <cp:revision>2</cp:revision>
  <dcterms:created xsi:type="dcterms:W3CDTF">2026-02-19T02:59:00Z</dcterms:created>
  <dcterms:modified xsi:type="dcterms:W3CDTF">2026-02-19T02:59:00Z</dcterms:modified>
</cp:coreProperties>
</file>