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2D95C" w14:textId="68B2F909" w:rsidR="00E95113" w:rsidRPr="00B94FA6" w:rsidRDefault="00CB1BA4" w:rsidP="00A14CB2">
      <w:pPr>
        <w:pStyle w:val="Ttulo"/>
        <w:spacing w:line="276" w:lineRule="auto"/>
        <w:jc w:val="center"/>
        <w:rPr>
          <w:rFonts w:ascii="Arial Narrow" w:hAnsi="Arial Narrow"/>
          <w:b/>
          <w:bCs/>
          <w:sz w:val="22"/>
          <w:szCs w:val="22"/>
          <w:lang w:val="es-ES"/>
        </w:rPr>
      </w:pPr>
      <w:r>
        <w:rPr>
          <w:rFonts w:ascii="Arial Narrow" w:hAnsi="Arial Narrow"/>
          <w:b/>
          <w:bCs/>
          <w:sz w:val="22"/>
          <w:szCs w:val="22"/>
          <w:lang w:val="es-ES"/>
        </w:rPr>
        <w:t>Herramientas de predicción hidroclimatológica</w:t>
      </w:r>
      <w:r w:rsidR="004A6E8C">
        <w:rPr>
          <w:rFonts w:ascii="Arial Narrow" w:hAnsi="Arial Narrow"/>
          <w:b/>
          <w:bCs/>
          <w:sz w:val="22"/>
          <w:szCs w:val="22"/>
          <w:lang w:val="es-ES"/>
        </w:rPr>
        <w:t>,</w:t>
      </w:r>
      <w:r w:rsidR="00610F5E">
        <w:rPr>
          <w:rFonts w:ascii="Arial Narrow" w:hAnsi="Arial Narrow"/>
          <w:b/>
          <w:bCs/>
          <w:sz w:val="22"/>
          <w:szCs w:val="22"/>
          <w:lang w:val="es-ES"/>
        </w:rPr>
        <w:t xml:space="preserve"> fundamentales para </w:t>
      </w:r>
      <w:r w:rsidR="00DC2FF0">
        <w:rPr>
          <w:rFonts w:ascii="Arial Narrow" w:hAnsi="Arial Narrow"/>
          <w:b/>
          <w:bCs/>
          <w:sz w:val="22"/>
          <w:szCs w:val="22"/>
          <w:lang w:val="es-ES"/>
        </w:rPr>
        <w:t xml:space="preserve">el monitoreo y </w:t>
      </w:r>
      <w:r w:rsidR="00610F5E">
        <w:rPr>
          <w:rFonts w:ascii="Arial Narrow" w:hAnsi="Arial Narrow"/>
          <w:b/>
          <w:bCs/>
          <w:sz w:val="22"/>
          <w:szCs w:val="22"/>
          <w:lang w:val="es-ES"/>
        </w:rPr>
        <w:t>la planificación del recurso hídrico</w:t>
      </w:r>
    </w:p>
    <w:p w14:paraId="542FC05D" w14:textId="779CF6D5" w:rsidR="00EA0532" w:rsidRPr="003E5D02" w:rsidRDefault="00EA0532" w:rsidP="003E5D02">
      <w:pPr>
        <w:pStyle w:val="Ttulo1"/>
        <w:numPr>
          <w:ilvl w:val="0"/>
          <w:numId w:val="3"/>
        </w:numPr>
        <w:spacing w:line="276" w:lineRule="auto"/>
        <w:rPr>
          <w:lang w:val="es-ES"/>
        </w:rPr>
      </w:pPr>
      <w:r w:rsidRPr="003E5D02">
        <w:rPr>
          <w:lang w:val="es-ES"/>
        </w:rPr>
        <w:t>Justificación</w:t>
      </w:r>
    </w:p>
    <w:p w14:paraId="7FB0DCFF" w14:textId="1711DE22" w:rsidR="008B423E" w:rsidRDefault="00722472" w:rsidP="00AF7024">
      <w:pPr>
        <w:spacing w:line="276" w:lineRule="auto"/>
        <w:rPr>
          <w:lang w:val="es-ES"/>
        </w:rPr>
      </w:pPr>
      <w:r>
        <w:rPr>
          <w:lang w:val="es-ES"/>
        </w:rPr>
        <w:t xml:space="preserve">A pesar de ser </w:t>
      </w:r>
      <w:r w:rsidR="00865DC7">
        <w:rPr>
          <w:lang w:val="es-ES"/>
        </w:rPr>
        <w:t xml:space="preserve">el líquido vital, el agua puede ser un factor de riesgo por exceso o por escasez </w:t>
      </w:r>
      <w:r w:rsidR="00100F7C">
        <w:rPr>
          <w:lang w:val="es-ES"/>
        </w:rPr>
        <w:fldChar w:fldCharType="begin" w:fldLock="1"/>
      </w:r>
      <w:r w:rsidR="00BF5D48">
        <w:rPr>
          <w:lang w:val="es-ES"/>
        </w:rPr>
        <w:instrText>ADDIN CSL_CITATION {"citationItems":[{"id":"ITEM-1","itemData":{"author":[{"dropping-particle":"","family":"GWP","given":"","non-dropping-particle":"","parse-names":false,"suffix":""}],"id":"ITEM-1","issued":{"date-parts":[["2008"]]},"number-of-pages":"12","title":"Principios de gestión integrada de los recursos hídricos","type":"report"},"uris":["http://www.mendeley.com/documents/?uuid=6f5c3446-aa8b-415a-b76b-272656a97daa"]},{"id":"ITEM-2","itemData":{"DOI":"10.1016/j.pce.2008.02.003","ISBN":"1474-7065","ISSN":"14747065","abstract":"After the describing the historical developments that led the development of Integrated Water Resources Management (IWRM), the paper defines this important concept. It subsequently deals with the thorny issue of water security as well as water conflict, after which the major issues over which thus far no consensus has been achieved are briefly reviewed. The paper concludes with an analysis of the role of the IAHS International Commission on Water Resources Systems (ICWRS) in promoting IWRM. © 2008 Elsevier Ltd. All rights reserved.","author":[{"dropping-particle":"","family":"Savenije","given":"H. H G","non-dropping-particle":"","parse-names":false,"suffix":""},{"dropping-particle":"","family":"Zaag","given":"P.","non-dropping-particle":"Van der","parse-names":false,"suffix":""}],"container-title":"Physics and Chemistry of the Earth","id":"ITEM-2","issue":"5","issued":{"date-parts":[["2008"]]},"page":"290-297","title":"Integrated water resources management: Concepts and issues","type":"article-journal","volume":"33"},"uris":["http://www.mendeley.com/documents/?uuid=3a988833-5b93-4e19-ab7e-208d5d31e5d9"]}],"mendeley":{"formattedCitation":"(GWP, 2008; Savenije &amp; Van der Zaag, 2008)","plainTextFormattedCitation":"(GWP, 2008; Savenije &amp; Van der Zaag, 2008)","previouslyFormattedCitation":"(GWP, 2008; Savenije &amp; Van der Zaag, 2008)"},"properties":{"noteIndex":0},"schema":"https://github.com/citation-style-language/schema/raw/master/csl-citation.json"}</w:instrText>
      </w:r>
      <w:r w:rsidR="00100F7C">
        <w:rPr>
          <w:lang w:val="es-ES"/>
        </w:rPr>
        <w:fldChar w:fldCharType="separate"/>
      </w:r>
      <w:r w:rsidR="00BF5D48" w:rsidRPr="00BF5D48">
        <w:rPr>
          <w:noProof/>
          <w:lang w:val="es-ES"/>
        </w:rPr>
        <w:t>(GWP, 2008; Savenije &amp; Van der Zaag, 2008)</w:t>
      </w:r>
      <w:r w:rsidR="00100F7C">
        <w:rPr>
          <w:lang w:val="es-ES"/>
        </w:rPr>
        <w:fldChar w:fldCharType="end"/>
      </w:r>
      <w:r w:rsidR="00865DC7">
        <w:rPr>
          <w:lang w:val="es-ES"/>
        </w:rPr>
        <w:t>.</w:t>
      </w:r>
      <w:r w:rsidR="00C566B6">
        <w:rPr>
          <w:lang w:val="es-ES"/>
        </w:rPr>
        <w:t xml:space="preserve"> </w:t>
      </w:r>
      <w:r w:rsidR="00BA75A5">
        <w:rPr>
          <w:lang w:val="es-ES"/>
        </w:rPr>
        <w:t>La gestión integral del recurso hídrico</w:t>
      </w:r>
      <w:r w:rsidR="009E42A4">
        <w:rPr>
          <w:lang w:val="es-ES"/>
        </w:rPr>
        <w:t xml:space="preserve"> (GIRH)</w:t>
      </w:r>
      <w:r w:rsidR="00BA75A5">
        <w:rPr>
          <w:lang w:val="es-ES"/>
        </w:rPr>
        <w:t xml:space="preserve"> </w:t>
      </w:r>
      <w:r w:rsidR="00654EFF">
        <w:rPr>
          <w:lang w:val="es-ES"/>
        </w:rPr>
        <w:t xml:space="preserve">promueve el desarrollo coordinado del agua y </w:t>
      </w:r>
      <w:r w:rsidR="00A833E0">
        <w:rPr>
          <w:lang w:val="es-ES"/>
        </w:rPr>
        <w:t xml:space="preserve">de </w:t>
      </w:r>
      <w:r w:rsidR="00654EFF">
        <w:rPr>
          <w:lang w:val="es-ES"/>
        </w:rPr>
        <w:t>los recursos relacionados para maximizar el bienestar económico y social</w:t>
      </w:r>
      <w:r w:rsidR="00006FFE">
        <w:rPr>
          <w:lang w:val="es-ES"/>
        </w:rPr>
        <w:t>, sin comprometer la sostenibilidad de los ecosistemas</w:t>
      </w:r>
      <w:r w:rsidR="00654EFF">
        <w:rPr>
          <w:lang w:val="es-ES"/>
        </w:rPr>
        <w:t xml:space="preserve"> </w:t>
      </w:r>
      <w:r w:rsidR="009E42A4">
        <w:rPr>
          <w:lang w:val="es-ES"/>
        </w:rPr>
        <w:fldChar w:fldCharType="begin" w:fldLock="1"/>
      </w:r>
      <w:r w:rsidR="00100F7C">
        <w:rPr>
          <w:lang w:val="es-ES"/>
        </w:rPr>
        <w:instrText>ADDIN CSL_CITATION {"citationItems":[{"id":"ITEM-1","itemData":{"author":[{"dropping-particle":"","family":"UN","given":"","non-dropping-particle":"","parse-names":false,"suffix":""}],"id":"ITEM-1","issued":{"date-parts":[["2002"]]},"number-of-pages":"173","publisher-place":"Johannesburg","title":"Report of the World Summit on Sustainable Development","type":"report"},"uris":["http://www.mendeley.com/documents/?uuid=69b3898b-7757-46f2-81eb-e8084bfc1772"]}],"mendeley":{"formattedCitation":"(UN, 2002)","plainTextFormattedCitation":"(UN, 2002)","previouslyFormattedCitation":"(UN, 2002)"},"properties":{"noteIndex":0},"schema":"https://github.com/citation-style-language/schema/raw/master/csl-citation.json"}</w:instrText>
      </w:r>
      <w:r w:rsidR="009E42A4">
        <w:rPr>
          <w:lang w:val="es-ES"/>
        </w:rPr>
        <w:fldChar w:fldCharType="separate"/>
      </w:r>
      <w:r w:rsidR="009E42A4" w:rsidRPr="009E42A4">
        <w:rPr>
          <w:noProof/>
          <w:lang w:val="es-ES"/>
        </w:rPr>
        <w:t>(UN, 2002)</w:t>
      </w:r>
      <w:r w:rsidR="009E42A4">
        <w:rPr>
          <w:lang w:val="es-ES"/>
        </w:rPr>
        <w:fldChar w:fldCharType="end"/>
      </w:r>
      <w:r w:rsidR="00AD3D2F">
        <w:rPr>
          <w:lang w:val="es-ES"/>
        </w:rPr>
        <w:t>;</w:t>
      </w:r>
      <w:r w:rsidR="00404DA1">
        <w:rPr>
          <w:lang w:val="es-ES"/>
        </w:rPr>
        <w:t xml:space="preserve"> </w:t>
      </w:r>
      <w:r w:rsidR="00BA2A9C">
        <w:rPr>
          <w:lang w:val="es-ES"/>
        </w:rPr>
        <w:t>implementada</w:t>
      </w:r>
      <w:r w:rsidR="00EC7128">
        <w:rPr>
          <w:lang w:val="es-ES"/>
        </w:rPr>
        <w:t xml:space="preserve"> en Colombia</w:t>
      </w:r>
      <w:r w:rsidR="00AD3D2F">
        <w:rPr>
          <w:lang w:val="es-ES"/>
        </w:rPr>
        <w:t xml:space="preserve"> a través de</w:t>
      </w:r>
      <w:r w:rsidR="00BA2A9C">
        <w:rPr>
          <w:lang w:val="es-ES"/>
        </w:rPr>
        <w:t xml:space="preserve"> </w:t>
      </w:r>
      <w:r w:rsidR="006647F0">
        <w:rPr>
          <w:lang w:val="es-ES"/>
        </w:rPr>
        <w:t>la P</w:t>
      </w:r>
      <w:r w:rsidR="0039062D">
        <w:rPr>
          <w:lang w:val="es-ES"/>
        </w:rPr>
        <w:t xml:space="preserve">olítica Nacional de </w:t>
      </w:r>
      <w:r w:rsidR="006647F0">
        <w:rPr>
          <w:lang w:val="es-ES"/>
        </w:rPr>
        <w:t>GIRH</w:t>
      </w:r>
      <w:r w:rsidR="0039062D">
        <w:rPr>
          <w:lang w:val="es-ES"/>
        </w:rPr>
        <w:t xml:space="preserve"> (PNGIRH;</w:t>
      </w:r>
      <w:r w:rsidR="008E6342">
        <w:rPr>
          <w:lang w:val="es-ES"/>
        </w:rPr>
        <w:t xml:space="preserve"> </w:t>
      </w:r>
      <w:r w:rsidR="0039062D">
        <w:rPr>
          <w:lang w:val="es-ES"/>
        </w:rPr>
        <w:fldChar w:fldCharType="begin" w:fldLock="1"/>
      </w:r>
      <w:r w:rsidR="00DD48C7">
        <w:rPr>
          <w:lang w:val="es-ES"/>
        </w:rPr>
        <w:instrText>ADDIN CSL_CITATION {"citationItems":[{"id":"ITEM-1","itemData":{"ISBN":"978-958-8491-35-6","author":[{"dropping-particle":"","family":"MinAmbiente","given":"","non-dropping-particle":"","parse-names":false,"suffix":""}],"id":"ITEM-1","issued":{"date-parts":[["2010"]]},"number-of-pages":"128","publisher":"Ministerio de Ambiente y desarrollo sostenible","publisher-place":"Bogotá D.C., Colombia","title":"Política nacional para la gestión integral del recurso hídrico","type":"book"},"uris":["http://www.mendeley.com/documents/?uuid=25eafc24-34a4-418c-96ee-c41570d9691c"]}],"mendeley":{"formattedCitation":"(MinAmbiente, 2010)","manualFormatting":"MinAmbiente, 2010)","plainTextFormattedCitation":"(MinAmbiente, 2010)","previouslyFormattedCitation":"(MinAmbiente, 2010)"},"properties":{"noteIndex":0},"schema":"https://github.com/citation-style-language/schema/raw/master/csl-citation.json"}</w:instrText>
      </w:r>
      <w:r w:rsidR="0039062D">
        <w:rPr>
          <w:lang w:val="es-ES"/>
        </w:rPr>
        <w:fldChar w:fldCharType="separate"/>
      </w:r>
      <w:r w:rsidR="0039062D" w:rsidRPr="0039062D">
        <w:rPr>
          <w:noProof/>
          <w:lang w:val="es-ES"/>
        </w:rPr>
        <w:t>MinAmbiente, 2010)</w:t>
      </w:r>
      <w:r w:rsidR="0039062D">
        <w:rPr>
          <w:lang w:val="es-ES"/>
        </w:rPr>
        <w:fldChar w:fldCharType="end"/>
      </w:r>
      <w:r w:rsidR="00BA75A5">
        <w:rPr>
          <w:lang w:val="es-ES"/>
        </w:rPr>
        <w:t>.</w:t>
      </w:r>
      <w:r w:rsidR="00B450F8">
        <w:rPr>
          <w:lang w:val="es-ES"/>
        </w:rPr>
        <w:t xml:space="preserve"> </w:t>
      </w:r>
      <w:r w:rsidR="00857338">
        <w:rPr>
          <w:lang w:val="es-ES"/>
        </w:rPr>
        <w:t>L</w:t>
      </w:r>
      <w:r w:rsidR="00D36E85">
        <w:rPr>
          <w:lang w:val="es-ES"/>
        </w:rPr>
        <w:t>a GIRH</w:t>
      </w:r>
      <w:r w:rsidR="00857338">
        <w:rPr>
          <w:lang w:val="es-ES"/>
        </w:rPr>
        <w:t xml:space="preserve"> </w:t>
      </w:r>
      <w:r w:rsidR="009D4832">
        <w:rPr>
          <w:lang w:val="es-ES"/>
        </w:rPr>
        <w:t xml:space="preserve">debe </w:t>
      </w:r>
      <w:r w:rsidR="00A736BF">
        <w:rPr>
          <w:lang w:val="es-ES"/>
        </w:rPr>
        <w:t>lidi</w:t>
      </w:r>
      <w:r w:rsidR="004C11A4">
        <w:rPr>
          <w:lang w:val="es-ES"/>
        </w:rPr>
        <w:t xml:space="preserve">ar </w:t>
      </w:r>
      <w:r w:rsidR="009D4832">
        <w:rPr>
          <w:lang w:val="es-ES"/>
        </w:rPr>
        <w:t xml:space="preserve"> </w:t>
      </w:r>
      <w:r w:rsidR="0035595F">
        <w:rPr>
          <w:lang w:val="es-ES"/>
        </w:rPr>
        <w:t>con</w:t>
      </w:r>
      <w:r w:rsidR="00857338">
        <w:rPr>
          <w:lang w:val="es-ES"/>
        </w:rPr>
        <w:t xml:space="preserve"> eventos hidroclimatológicos extremos </w:t>
      </w:r>
      <w:r w:rsidR="004C11A4">
        <w:rPr>
          <w:lang w:val="es-ES"/>
        </w:rPr>
        <w:t xml:space="preserve">que </w:t>
      </w:r>
      <w:r w:rsidR="00857338">
        <w:rPr>
          <w:lang w:val="es-ES"/>
        </w:rPr>
        <w:t xml:space="preserve">causan diversos impactos socioeconómicos; p.ej. </w:t>
      </w:r>
      <w:r w:rsidR="002E356B">
        <w:rPr>
          <w:lang w:val="es-ES"/>
        </w:rPr>
        <w:t xml:space="preserve">sequías e inundaciones causan </w:t>
      </w:r>
      <w:r w:rsidR="00857338">
        <w:rPr>
          <w:lang w:val="es-ES"/>
        </w:rPr>
        <w:t>p</w:t>
      </w:r>
      <w:r w:rsidR="00151138">
        <w:rPr>
          <w:lang w:val="es-ES"/>
        </w:rPr>
        <w:t>é</w:t>
      </w:r>
      <w:r w:rsidR="00857338">
        <w:rPr>
          <w:lang w:val="es-ES"/>
        </w:rPr>
        <w:t>rdida</w:t>
      </w:r>
      <w:r w:rsidR="00FC4ECD">
        <w:rPr>
          <w:lang w:val="es-ES"/>
        </w:rPr>
        <w:t>s</w:t>
      </w:r>
      <w:r w:rsidR="00857338">
        <w:rPr>
          <w:lang w:val="es-ES"/>
        </w:rPr>
        <w:t xml:space="preserve"> de cultivos</w:t>
      </w:r>
      <w:r w:rsidR="000514E0">
        <w:rPr>
          <w:lang w:val="es-ES"/>
        </w:rPr>
        <w:t>,</w:t>
      </w:r>
      <w:r w:rsidR="00326F2F">
        <w:rPr>
          <w:lang w:val="es-ES"/>
        </w:rPr>
        <w:t xml:space="preserve"> económicas y</w:t>
      </w:r>
      <w:r w:rsidR="00C73B85">
        <w:rPr>
          <w:lang w:val="es-ES"/>
        </w:rPr>
        <w:t xml:space="preserve"> de vidas</w:t>
      </w:r>
      <w:r w:rsidR="00857338">
        <w:rPr>
          <w:lang w:val="es-ES"/>
        </w:rPr>
        <w:t xml:space="preserve"> </w:t>
      </w:r>
      <w:r w:rsidR="00857338">
        <w:rPr>
          <w:lang w:val="es-ES"/>
        </w:rPr>
        <w:fldChar w:fldCharType="begin" w:fldLock="1"/>
      </w:r>
      <w:r w:rsidR="00857338">
        <w:rPr>
          <w:lang w:val="es-ES"/>
        </w:rPr>
        <w:instrText>ADDIN CSL_CITATION {"citationItems":[{"id":"ITEM-1","itemData":{"DOI":"10.1016/j.jhydrol.2010.07.012","ISBN":"0022-1694","ISSN":"00221694","PMID":"21949381","abstract":"Owing to the rise in water demand and looming climate change, recent years have witnessed much focus on global drought scenarios. As a natural hazard, drought is best characterized by multiple climatological and hydrological parameters. An understanding of the relationships between these two sets of parameters is necessary to develop measures for mitigating the impacts of droughts. Beginning with a discussion of drought definitions, this paper attempts to provide a review of fundamental concepts of drought, classification of droughts, drought indices, historical droughts using paleoclimatic studies, and the relation between droughts and large scale climate indices. Conclusions are drawn where gaps exist and more research needs to be focussed. © 2010 Elsevier B.V.","author":[{"dropping-particle":"","family":"Mishra","given":"Ashok K.","non-dropping-particle":"","parse-names":false,"suffix":""},{"dropping-particle":"","family":"Singh","given":"Vijay P.","non-dropping-particle":"","parse-names":false,"suffix":""}],"container-title":"Journal of Hydrology","id":"ITEM-1","issue":"1-2","issued":{"date-parts":[["2010"]]},"note":"differences with other natural hazzards\ndrought definitions\nwater scarcity\nover-explotation\nindex to monitor an ongoing drought\nSPI against other indeces\nteleconections","page":"202-216","publisher":"Elsevier B.V.","title":"A review of drought concepts","type":"article-journal","volume":"391"},"uris":["http://www.mendeley.com/documents/?uuid=b5350c8b-3976-4bd4-adbd-c6c1e3aa08ba"]},{"id":"ITEM-2","itemData":{"DOI":"10.1061/(ASCE)HE.1943-5584.0002164","ISSN":"1084-0699","author":[{"dropping-particle":"","family":"Mishra","given":"Ashok","non-dropping-particle":"","parse-names":false,"suffix":""},{"dropping-particle":"","family":"Mukherjee","given":"Sourav","non-dropping-particle":"","parse-names":false,"suffix":""},{"dropping-particle":"","family":"Merz","given":"Bruno","non-dropping-particle":"","parse-names":false,"suffix":""},{"dropping-particle":"","family":"Singh","given":"Vijay P","non-dropping-particle":"","parse-names":false,"suffix":""},{"dropping-particle":"","family":"Wright","given":"Daniel B","non-dropping-particle":"","parse-names":false,"suffix":""},{"dropping-particle":"","family":"Villarini","given":"Gabriele","non-dropping-particle":"","parse-names":false,"suffix":""},{"dropping-particle":"","family":"Paul","given":"Subir","non-dropping-particle":"","parse-names":false,"suffix":""},{"dropping-particle":"","family":"Kumar","given":"D Nagesh","non-dropping-particle":"","parse-names":false,"suffix":""},{"dropping-particle":"","family":"Khedun","given":"C Prakash","non-dropping-particle":"","parse-names":false,"suffix":""},{"dropping-particle":"","family":"Niyogi","given":"Dev","non-dropping-particle":"","parse-names":false,"suffix":""},{"dropping-particle":"","family":"Schumann","given":"Guy","non-dropping-particle":"","parse-names":false,"suffix":""},{"dropping-particle":"","family":"Stedinger","given":"Jery R","non-dropping-particle":"","parse-names":false,"suffix":""}],"container-title":"Journal of Hydrologic Engineering","id":"ITEM-2","issue":"6","issued":{"date-parts":[["2022","6"]]},"page":"1-30","title":"An Overview of Flood Concepts, Challenges, and Future Directions","type":"article-journal","volume":"27"},"uris":["http://www.mendeley.com/documents/?uuid=1eeb024a-86b1-4297-9f93-45f487b06ab3"]},{"id":"ITEM-3","itemData":{"DOI":"10.1038/s43017-021-00195-3","ISBN":"0123456789","ISSN":"2662138X","abstract":"Disastrous floods have caused millions of fatalities in the twentieth century, tens of billions of dollars of direct economic loss each year and serious disruption to global trade. In this Review, we provide a synthesis of the atmospheric, land surface and socio-economic processes that produce river floods with disastrous consequences. Disastrous floods have often been caused by processes fundamentally different from those of non-disastrous floods, such as unusual but recurring atmospheric circulation patterns or failures of flood defences, which lead to high levels of damage because they are unexpected both by citizens and by flood managers. Past trends in economic flood impacts show widespread increases, mostly driven by economic and population growth. However, the number of fatalities and people affected has decreased since the mid-1990s because of risk reduction measures, such as improved risk awareness and structural flood defences. Disastrous flooding is projected to increase in many regions, particularly in Asia and Africa, owing to climate and socio-economic changes, although substantial uncertainties remain. Assessing the risk of disastrous river floods requires a deeper understanding of their distinct causes. Transdisciplinary research is needed to understand the potential for surprise in flood risk systems better and to operationalize risk management concepts that account for limited knowledge and unexpected developments.","author":[{"dropping-particle":"","family":"Merz","given":"Bruno","non-dropping-particle":"","parse-names":false,"suffix":""},{"dropping-particle":"","family":"Blöschl","given":"Günter","non-dropping-particle":"","parse-names":false,"suffix":""},{"dropping-particle":"","family":"Vorogushyn","given":"Sergiy","non-dropping-particle":"","parse-names":false,"suffix":""},{"dropping-particle":"","family":"Dottori","given":"Francesco","non-dropping-particle":"","parse-names":false,"suffix":""},{"dropping-particle":"","family":"Aerts","given":"Jeroen C.J.H.","non-dropping-particle":"","parse-names":false,"suffix":""},{"dropping-particle":"","family":"Bates","given":"Paul","non-dropping-particle":"","parse-names":false,"suffix":""},{"dropping-particle":"","family":"Bertola","given":"Miriam","non-dropping-particle":"","parse-names":false,"suffix":""},{"dropping-particle":"","family":"Kemter","given":"Matthias","non-dropping-particle":"","parse-names":false,"suffix":""},{"dropping-particle":"","family":"Kreibich","given":"Heidi","non-dropping-particle":"","parse-names":false,"suffix":""},{"dropping-particle":"","family":"Lall","given":"Upmanu","non-dropping-particle":"","parse-names":false,"suffix":""},{"dropping-particle":"","family":"Macdonald","given":"Elena","non-dropping-particle":"","parse-names":false,"suffix":""}],"container-title":"Nature Reviews Earth and Environment","id":"ITEM-3","issue":"9","issued":{"date-parts":[["2021"]]},"note":"Exposure depends on the floodplains\n\nflood risk = expected flood impacts\n\nflood regimes: interaction of processes which produce different types of flooding\n\nAtmospheric circulation and storm tracks influence extreme floods\n\nflood rich and poor periods are influenced by oceano-atmospheric interactions\n\nactivation of additional areas with high runoff coeficients are more important in small catchments\n\nconfluences of flood waves\n\nland use change is more influencing for floods in small catchments\n\nlevees remove floodplains and as a consequence it generates inundations downstream\n\nDisastrous floods, those with disstrous consequences (box figure)\n\nindirect and intangible impacts of floods are rarely assessed, those impacts on far away locations\n\nlosses to agriculture and infraestructure have been estimated for single disastrous floods\n\ncascade failures that propagate to other networks\n\ndisasters can trigger adaptation\n\nSimilar trends in large areas are related to trends in floods\n\nFlood timing (month or day of the year) has been related to climate change and climate variability but has not been distinguished\n\nChanges in flood extent are realted to magnitud, not known that has been estimated for latin america\n\nClimate variability changed the 100-year floods, not necesarilly climate change\n\nLong term changes in california and the reduction of floods\n\nIf large flood increases, small floods as well. And also the contrary, if drecreases the other one reduces\n\nAction flood level, when actions need to be taken.\n\nFuture FLOOD modelling scenarios that consider socio-economic pathways, dynamical response of society and adaptation-vulnerability\n\nfuture impact models that use future climate forcings do not consider potential changes and societal adaptations\n\nExtrapolating historic observed flood behaviour is insufficient to address these challenges, because the past might be a poor guide to the future\n\nextreme floods and the independence of events\n\nsurprise-prone flooding systems. Is surprise negligible, non- negligible but small, or substantial?","page":"592-609","title":"Causes, impacts and patterns of disastrous river floods","type":"article-journal","volume":"2"},"uris":["http://www.mendeley.com/documents/?uuid=e65cda3b-0b4f-4f0e-8e9d-ba2456301aab"]},{"id":"ITEM-4","itemData":{"DOI":"10.1038/ngeo2646","ISSN":"1752-0894","author":[{"dropping-particle":"","family":"Loon","given":"Anne F.","non-dropping-particle":"Van","parse-names":false,"suffix":""},{"dropping-particle":"","family":"Gleeson","given":"Tom","non-dropping-particle":"","parse-names":false,"suffix":""},{"dropping-particle":"","family":"Clark","given":"Julian","non-dropping-particle":"","parse-names":false,"suffix":""},{"dropping-particle":"","family":"Dijk","given":"Albert I. J. M.","non-dropping-particle":"Van","parse-names":false,"suffix":""},{"dropping-particle":"","family":"Stahl","given":"Kerstin","non-dropping-particle":"","parse-names":false,"suffix":""},{"dropping-particle":"","family":"Hannaford","given":"Jamie","non-dropping-particle":"","parse-names":false,"suffix":""},{"dropping-particle":"","family":"Baldassarre","given":"Giuliano","non-dropping-particle":"Di","parse-names":false,"suffix":""},{"dropping-particle":"","family":"Teuling","given":"Adriaan J.","non-dropping-particle":"","parse-names":false,"suffix":""},{"dropping-particle":"","family":"Tallaksen","given":"Lena M.","non-dropping-particle":"","parse-names":false,"suffix":""},{"dropping-particle":"","family":"Uijlenhoet","given":"Remko","non-dropping-particle":"","parse-names":false,"suffix":""},{"dropping-particle":"","family":"Hannah","given":"David M.","non-dropping-particle":"","parse-names":false,"suffix":""},{"dropping-particle":"","family":"Sheffield","given":"Justin","non-dropping-particle":"","parse-names":false,"suffix":""},{"dropping-particle":"","family":"Svoboda","given":"Mark","non-dropping-particle":"","parse-names":false,"suffix":""},{"dropping-particle":"","family":"Verbeiren","given":"Boud","non-dropping-particle":"","parse-names":false,"suffix":""},{"dropping-particle":"","family":"Wagener","given":"Thorsten","non-dropping-particle":"","parse-names":false,"suffix":""},{"dropping-particle":"","family":"Rangecroft","given":"Sally","non-dropping-particle":"","parse-names":false,"suffix":""},{"dropping-particle":"","family":"Wanders","given":"Niko","non-dropping-particle":"","parse-names":false,"suffix":""},{"dropping-particle":"","family":"Lanen","given":"Henny A. J.","non-dropping-particle":"Van","parse-names":false,"suffix":""}],"container-title":"Nature Geoscience","id":"ITEM-4","issue":"2","issued":{"date-parts":[["2016","2","2"]]},"note":"Human-drought feedbacks are not understood\nImpacts perceptions of drought\nSociety is active against drought in the short and long term\nAltered baseline","page":"89-91","publisher":"Nature Publishing Group","title":"Drought in the Anthropocene","type":"article-journal","volume":"9"},"uris":["http://www.mendeley.com/documents/?uuid=69c8a9bd-b77e-46bf-9adf-8df38fdac7d1"]}],"mendeley":{"formattedCitation":"(Merz et al., 2021; A. Mishra et al., 2022; A. K. Mishra &amp; Singh, 2010; Van Loon et al., 2016)","plainTextFormattedCitation":"(Merz et al., 2021; A. Mishra et al., 2022; A. K. Mishra &amp; Singh, 2010; Van Loon et al., 2016)","previouslyFormattedCitation":"(Merz et al., 2021; A. Mishra et al., 2022; A. K. Mishra &amp; Singh, 2010; Van Loon et al., 2016)"},"properties":{"noteIndex":0},"schema":"https://github.com/citation-style-language/schema/raw/master/csl-citation.json"}</w:instrText>
      </w:r>
      <w:r w:rsidR="00857338">
        <w:rPr>
          <w:lang w:val="es-ES"/>
        </w:rPr>
        <w:fldChar w:fldCharType="separate"/>
      </w:r>
      <w:r w:rsidR="00857338" w:rsidRPr="00BF5D48">
        <w:rPr>
          <w:noProof/>
          <w:lang w:val="es-ES"/>
        </w:rPr>
        <w:t>(Merz et al., 2021; A. Mishra et al., 2022; A. K. Mishra &amp; Singh, 2010; Van Loon et al., 2016)</w:t>
      </w:r>
      <w:r w:rsidR="00857338">
        <w:rPr>
          <w:lang w:val="es-ES"/>
        </w:rPr>
        <w:fldChar w:fldCharType="end"/>
      </w:r>
      <w:r w:rsidR="00A82612">
        <w:rPr>
          <w:lang w:val="es-ES"/>
        </w:rPr>
        <w:t>.</w:t>
      </w:r>
      <w:r w:rsidR="00BA75A5">
        <w:rPr>
          <w:lang w:val="es-ES"/>
        </w:rPr>
        <w:t xml:space="preserve"> </w:t>
      </w:r>
      <w:r w:rsidR="000B0769">
        <w:rPr>
          <w:lang w:val="es-ES"/>
        </w:rPr>
        <w:t>En consecuencia</w:t>
      </w:r>
      <w:r w:rsidR="00734708">
        <w:rPr>
          <w:lang w:val="es-ES"/>
        </w:rPr>
        <w:t>,</w:t>
      </w:r>
      <w:r w:rsidR="00543638">
        <w:rPr>
          <w:lang w:val="es-ES"/>
        </w:rPr>
        <w:t xml:space="preserve"> </w:t>
      </w:r>
      <w:r w:rsidR="00F96939">
        <w:rPr>
          <w:lang w:val="es-ES"/>
        </w:rPr>
        <w:t xml:space="preserve">la GIRH </w:t>
      </w:r>
      <w:r w:rsidR="00017D6C">
        <w:rPr>
          <w:lang w:val="es-ES"/>
        </w:rPr>
        <w:t>necesita</w:t>
      </w:r>
      <w:r w:rsidR="00281648">
        <w:rPr>
          <w:lang w:val="es-ES"/>
        </w:rPr>
        <w:t xml:space="preserve"> </w:t>
      </w:r>
      <w:r w:rsidR="0047429F">
        <w:rPr>
          <w:lang w:val="es-ES"/>
        </w:rPr>
        <w:t xml:space="preserve">urgentemente </w:t>
      </w:r>
      <w:r w:rsidR="00281648" w:rsidRPr="00307989">
        <w:rPr>
          <w:i/>
          <w:iCs/>
          <w:lang w:val="es-ES"/>
        </w:rPr>
        <w:t>herramientas</w:t>
      </w:r>
      <w:r w:rsidR="004F5533" w:rsidRPr="00307989">
        <w:rPr>
          <w:i/>
          <w:iCs/>
          <w:lang w:val="es-ES"/>
        </w:rPr>
        <w:t xml:space="preserve"> </w:t>
      </w:r>
      <w:r w:rsidR="002C4721" w:rsidRPr="00307989">
        <w:rPr>
          <w:i/>
          <w:iCs/>
          <w:lang w:val="es-ES"/>
        </w:rPr>
        <w:t xml:space="preserve">de </w:t>
      </w:r>
      <w:r w:rsidR="004F5533" w:rsidRPr="00307989">
        <w:rPr>
          <w:i/>
          <w:iCs/>
          <w:lang w:val="es-ES"/>
        </w:rPr>
        <w:t>predicción</w:t>
      </w:r>
      <w:r w:rsidR="004F5533">
        <w:rPr>
          <w:lang w:val="es-ES"/>
        </w:rPr>
        <w:t xml:space="preserve"> </w:t>
      </w:r>
      <w:r w:rsidR="00044BF5">
        <w:rPr>
          <w:lang w:val="es-ES"/>
        </w:rPr>
        <w:t xml:space="preserve">hidroclimatológica </w:t>
      </w:r>
      <w:r w:rsidR="002C4721">
        <w:rPr>
          <w:lang w:val="es-ES"/>
        </w:rPr>
        <w:t>confiables</w:t>
      </w:r>
      <w:r w:rsidR="00B14883">
        <w:rPr>
          <w:lang w:val="es-ES"/>
        </w:rPr>
        <w:t xml:space="preserve"> </w:t>
      </w:r>
      <w:r w:rsidR="004F5533">
        <w:rPr>
          <w:lang w:val="es-ES"/>
        </w:rPr>
        <w:t>a diversas escalas</w:t>
      </w:r>
      <w:r w:rsidR="00B64383">
        <w:rPr>
          <w:lang w:val="es-ES"/>
        </w:rPr>
        <w:t xml:space="preserve"> </w:t>
      </w:r>
      <w:r w:rsidR="00075320">
        <w:rPr>
          <w:lang w:val="es-ES"/>
        </w:rPr>
        <w:t xml:space="preserve">– </w:t>
      </w:r>
      <w:r w:rsidR="00B64383">
        <w:rPr>
          <w:lang w:val="es-ES"/>
        </w:rPr>
        <w:t>que incluyan</w:t>
      </w:r>
      <w:r w:rsidR="001A6890">
        <w:rPr>
          <w:lang w:val="es-ES"/>
        </w:rPr>
        <w:t xml:space="preserve"> componentes </w:t>
      </w:r>
      <w:r w:rsidR="00CF7606">
        <w:rPr>
          <w:lang w:val="es-ES"/>
        </w:rPr>
        <w:t xml:space="preserve">relevantes </w:t>
      </w:r>
      <w:r w:rsidR="001A6890">
        <w:rPr>
          <w:lang w:val="es-ES"/>
        </w:rPr>
        <w:t>del ciclo hidrológico</w:t>
      </w:r>
      <w:r w:rsidR="00B14883">
        <w:rPr>
          <w:lang w:val="es-ES"/>
        </w:rPr>
        <w:t xml:space="preserve"> –</w:t>
      </w:r>
      <w:r w:rsidR="009D7CF4">
        <w:rPr>
          <w:lang w:val="es-ES"/>
        </w:rPr>
        <w:t xml:space="preserve"> para </w:t>
      </w:r>
      <w:r w:rsidR="008923F9">
        <w:rPr>
          <w:lang w:val="es-ES"/>
        </w:rPr>
        <w:t>pasar de un paradigma reactivo a uno proactivo</w:t>
      </w:r>
      <w:r w:rsidR="00ED5521">
        <w:rPr>
          <w:lang w:val="es-ES"/>
        </w:rPr>
        <w:t>.</w:t>
      </w:r>
      <w:r w:rsidR="00A4726D">
        <w:rPr>
          <w:lang w:val="es-ES"/>
        </w:rPr>
        <w:t xml:space="preserve"> </w:t>
      </w:r>
      <w:r w:rsidR="00EE1CCA">
        <w:rPr>
          <w:lang w:val="es-ES"/>
        </w:rPr>
        <w:t>E</w:t>
      </w:r>
      <w:r w:rsidR="0007137B">
        <w:rPr>
          <w:lang w:val="es-ES"/>
        </w:rPr>
        <w:t xml:space="preserve">se cambio </w:t>
      </w:r>
      <w:r w:rsidR="00207A78">
        <w:rPr>
          <w:lang w:val="es-ES"/>
        </w:rPr>
        <w:t xml:space="preserve">de paradigma es </w:t>
      </w:r>
      <w:r w:rsidR="00E2579F">
        <w:rPr>
          <w:lang w:val="es-ES"/>
        </w:rPr>
        <w:t xml:space="preserve">muy necesario y </w:t>
      </w:r>
      <w:r w:rsidR="0007137B">
        <w:rPr>
          <w:lang w:val="es-ES"/>
        </w:rPr>
        <w:t>relevante para el desarrollo económico y social de Colombia</w:t>
      </w:r>
      <w:r w:rsidR="00DB61D6">
        <w:rPr>
          <w:lang w:val="es-ES"/>
        </w:rPr>
        <w:t xml:space="preserve"> y Suramérica</w:t>
      </w:r>
      <w:r w:rsidR="004F5533">
        <w:rPr>
          <w:lang w:val="es-ES"/>
        </w:rPr>
        <w:t>.</w:t>
      </w:r>
    </w:p>
    <w:p w14:paraId="4C2041CC" w14:textId="4FB57C68" w:rsidR="00DC6508" w:rsidRDefault="00AD3D2F" w:rsidP="00151BC5">
      <w:pPr>
        <w:spacing w:line="276" w:lineRule="auto"/>
        <w:rPr>
          <w:lang w:val="es-ES"/>
        </w:rPr>
      </w:pPr>
      <w:r>
        <w:rPr>
          <w:lang w:val="es-ES"/>
        </w:rPr>
        <w:t>La PNGIRH</w:t>
      </w:r>
      <w:r w:rsidR="00652153">
        <w:rPr>
          <w:lang w:val="es-ES"/>
        </w:rPr>
        <w:t xml:space="preserve"> </w:t>
      </w:r>
      <w:r w:rsidR="0002752E">
        <w:rPr>
          <w:lang w:val="es-ES"/>
        </w:rPr>
        <w:t>define</w:t>
      </w:r>
      <w:r w:rsidR="00371736">
        <w:rPr>
          <w:lang w:val="es-ES"/>
        </w:rPr>
        <w:t xml:space="preserve"> </w:t>
      </w:r>
      <w:r w:rsidR="000F300C">
        <w:rPr>
          <w:lang w:val="es-ES"/>
        </w:rPr>
        <w:t>instrumentos</w:t>
      </w:r>
      <w:r w:rsidR="002F5A49">
        <w:rPr>
          <w:lang w:val="es-ES"/>
        </w:rPr>
        <w:t xml:space="preserve"> de </w:t>
      </w:r>
      <w:r w:rsidR="004A52AE">
        <w:rPr>
          <w:lang w:val="es-ES"/>
        </w:rPr>
        <w:t xml:space="preserve">planificación y </w:t>
      </w:r>
      <w:r w:rsidR="00F62630">
        <w:rPr>
          <w:lang w:val="es-ES"/>
        </w:rPr>
        <w:t xml:space="preserve">de </w:t>
      </w:r>
      <w:r w:rsidR="004F739D">
        <w:rPr>
          <w:lang w:val="es-ES"/>
        </w:rPr>
        <w:t>administración</w:t>
      </w:r>
      <w:r w:rsidR="004A52AE">
        <w:rPr>
          <w:lang w:val="es-ES"/>
        </w:rPr>
        <w:t>.</w:t>
      </w:r>
      <w:r w:rsidR="004F739D">
        <w:rPr>
          <w:lang w:val="es-ES"/>
        </w:rPr>
        <w:t xml:space="preserve"> </w:t>
      </w:r>
      <w:r w:rsidR="00911675">
        <w:rPr>
          <w:lang w:val="es-ES"/>
        </w:rPr>
        <w:t xml:space="preserve">Los de </w:t>
      </w:r>
      <w:r w:rsidR="00911675" w:rsidRPr="000471BA">
        <w:rPr>
          <w:i/>
          <w:iCs/>
          <w:lang w:val="es-ES"/>
        </w:rPr>
        <w:t>planificación</w:t>
      </w:r>
      <w:r w:rsidR="00911675">
        <w:rPr>
          <w:lang w:val="es-ES"/>
        </w:rPr>
        <w:t xml:space="preserve"> se soportan en herramientas retrospectivas (cuantificación observacional de oferta y demanda), y usan proyecciones para prever cambios futuros </w:t>
      </w:r>
      <w:r w:rsidR="00885A7C">
        <w:rPr>
          <w:lang w:val="es-ES"/>
        </w:rPr>
        <w:t xml:space="preserve"> – p.ej. de cambio climático o escenarios tendenciales – </w:t>
      </w:r>
      <w:r w:rsidR="006E6B1C">
        <w:rPr>
          <w:lang w:val="es-ES"/>
        </w:rPr>
        <w:t>para</w:t>
      </w:r>
      <w:r w:rsidR="00911675">
        <w:rPr>
          <w:lang w:val="es-ES"/>
        </w:rPr>
        <w:t xml:space="preserve"> el ordenamiento</w:t>
      </w:r>
      <w:r w:rsidR="00885A7C">
        <w:rPr>
          <w:lang w:val="es-ES"/>
        </w:rPr>
        <w:t xml:space="preserve"> del </w:t>
      </w:r>
      <w:r w:rsidR="00DB39D0">
        <w:rPr>
          <w:lang w:val="es-ES"/>
        </w:rPr>
        <w:t>recurso</w:t>
      </w:r>
      <w:r w:rsidR="00911675">
        <w:rPr>
          <w:lang w:val="es-ES"/>
        </w:rPr>
        <w:t xml:space="preserve"> </w:t>
      </w:r>
      <w:r w:rsidR="00911675">
        <w:rPr>
          <w:lang w:val="es-ES"/>
        </w:rPr>
        <w:fldChar w:fldCharType="begin" w:fldLock="1"/>
      </w:r>
      <w:r w:rsidR="00911675">
        <w:rPr>
          <w:lang w:val="es-ES"/>
        </w:rPr>
        <w:instrText>ADDIN CSL_CITATION {"citationItems":[{"id":"ITEM-1","itemData":{"ISBN":"978-958-8491-89-9","author":[{"dropping-particle":"","family":"MinAmbiente","given":"","non-dropping-particle":"","parse-names":false,"suffix":""}],"id":"ITEM-1","issued":{"date-parts":[["2014"]]},"number-of-pages":"115","publisher":"Ministerio de Ambiente y desarrollo sostenible","publisher-place":"Bogotá D.C., Colombia","title":"Guía Técnica para la Formulación de los Planes de Ordenación y Manejo de Cuencas Hidrográficas","type":"book"},"uris":["http://www.mendeley.com/documents/?uuid=62d736dc-faa8-4e52-86dd-64af8a73eba8"]}],"mendeley":{"formattedCitation":"(MinAmbiente, 2014)","plainTextFormattedCitation":"(MinAmbiente, 2014)","previouslyFormattedCitation":"(MinAmbiente, 2014)"},"properties":{"noteIndex":0},"schema":"https://github.com/citation-style-language/schema/raw/master/csl-citation.json"}</w:instrText>
      </w:r>
      <w:r w:rsidR="00911675">
        <w:rPr>
          <w:lang w:val="es-ES"/>
        </w:rPr>
        <w:fldChar w:fldCharType="separate"/>
      </w:r>
      <w:r w:rsidR="00911675" w:rsidRPr="004340C1">
        <w:rPr>
          <w:noProof/>
          <w:lang w:val="es-ES"/>
        </w:rPr>
        <w:t>(MinAmbiente, 2014)</w:t>
      </w:r>
      <w:r w:rsidR="00911675">
        <w:rPr>
          <w:lang w:val="es-ES"/>
        </w:rPr>
        <w:fldChar w:fldCharType="end"/>
      </w:r>
      <w:r w:rsidR="006C7DD9">
        <w:rPr>
          <w:lang w:val="es-ES"/>
        </w:rPr>
        <w:t xml:space="preserve">. </w:t>
      </w:r>
      <w:r w:rsidR="009738F3">
        <w:rPr>
          <w:lang w:val="es-ES"/>
        </w:rPr>
        <w:t xml:space="preserve">Un </w:t>
      </w:r>
      <w:r w:rsidR="006C7DD9">
        <w:rPr>
          <w:lang w:val="es-ES"/>
        </w:rPr>
        <w:t xml:space="preserve">instrumento </w:t>
      </w:r>
      <w:r w:rsidR="009738F3">
        <w:rPr>
          <w:lang w:val="es-ES"/>
        </w:rPr>
        <w:t>importante para la</w:t>
      </w:r>
      <w:r w:rsidR="006C7DD9">
        <w:rPr>
          <w:lang w:val="es-ES"/>
        </w:rPr>
        <w:t xml:space="preserve"> planificación</w:t>
      </w:r>
      <w:r w:rsidR="009738F3">
        <w:rPr>
          <w:lang w:val="es-ES"/>
        </w:rPr>
        <w:t xml:space="preserve"> </w:t>
      </w:r>
      <w:r w:rsidR="00777DC8">
        <w:rPr>
          <w:lang w:val="es-ES"/>
        </w:rPr>
        <w:t>son los</w:t>
      </w:r>
      <w:r w:rsidR="006C7DD9">
        <w:rPr>
          <w:lang w:val="es-ES"/>
        </w:rPr>
        <w:t xml:space="preserve"> Planes de Ordenación y Manejo de Cuenca (POMCA; </w:t>
      </w:r>
      <w:r w:rsidR="006C7DD9">
        <w:rPr>
          <w:lang w:val="es-ES"/>
        </w:rPr>
        <w:fldChar w:fldCharType="begin" w:fldLock="1"/>
      </w:r>
      <w:r w:rsidR="006C7DD9">
        <w:rPr>
          <w:lang w:val="es-ES"/>
        </w:rPr>
        <w:instrText>ADDIN CSL_CITATION {"citationItems":[{"id":"ITEM-1","itemData":{"ISBN":"978-958-8491-35-6","author":[{"dropping-particle":"","family":"MinAmbiente","given":"","non-dropping-particle":"","parse-names":false,"suffix":""}],"id":"ITEM-1","issued":{"date-parts":[["2010"]]},"number-of-pages":"128","publisher":"Ministerio de Ambiente y desarrollo sostenible","publisher-place":"Bogotá D.C., Colombia","title":"Política nacional para la gestión integral del recurso hídrico","type":"book"},"uris":["http://www.mendeley.com/documents/?uuid=25eafc24-34a4-418c-96ee-c41570d9691c"]}],"mendeley":{"formattedCitation":"(MinAmbiente, 2010)","manualFormatting":"MinAmbiente, 2010)","plainTextFormattedCitation":"(MinAmbiente, 2010)","previouslyFormattedCitation":"(MinAmbiente, 2010)"},"properties":{"noteIndex":0},"schema":"https://github.com/citation-style-language/schema/raw/master/csl-citation.json"}</w:instrText>
      </w:r>
      <w:r w:rsidR="006C7DD9">
        <w:rPr>
          <w:lang w:val="es-ES"/>
        </w:rPr>
        <w:fldChar w:fldCharType="separate"/>
      </w:r>
      <w:r w:rsidR="006C7DD9" w:rsidRPr="009E559C">
        <w:rPr>
          <w:noProof/>
          <w:lang w:val="es-ES"/>
        </w:rPr>
        <w:t>MinAmbiente, 2010)</w:t>
      </w:r>
      <w:r w:rsidR="006C7DD9">
        <w:rPr>
          <w:lang w:val="es-ES"/>
        </w:rPr>
        <w:fldChar w:fldCharType="end"/>
      </w:r>
      <w:r w:rsidR="00911675">
        <w:rPr>
          <w:lang w:val="es-ES"/>
        </w:rPr>
        <w:t xml:space="preserve">. </w:t>
      </w:r>
      <w:r w:rsidR="000471BA">
        <w:rPr>
          <w:lang w:val="es-ES"/>
        </w:rPr>
        <w:t>Por otra parte, l</w:t>
      </w:r>
      <w:r w:rsidR="005149A8">
        <w:rPr>
          <w:lang w:val="es-ES"/>
        </w:rPr>
        <w:t xml:space="preserve">os </w:t>
      </w:r>
      <w:r w:rsidR="00834D3A">
        <w:rPr>
          <w:lang w:val="es-ES"/>
        </w:rPr>
        <w:t xml:space="preserve">instrumentos </w:t>
      </w:r>
      <w:r w:rsidR="00D6417D">
        <w:rPr>
          <w:lang w:val="es-ES"/>
        </w:rPr>
        <w:t xml:space="preserve">de </w:t>
      </w:r>
      <w:r w:rsidR="00D6417D" w:rsidRPr="000471BA">
        <w:rPr>
          <w:i/>
          <w:iCs/>
          <w:lang w:val="es-ES"/>
        </w:rPr>
        <w:t>administración</w:t>
      </w:r>
      <w:r w:rsidR="00757DD2">
        <w:rPr>
          <w:lang w:val="es-ES"/>
        </w:rPr>
        <w:t xml:space="preserve"> </w:t>
      </w:r>
      <w:r w:rsidR="00D6417D">
        <w:rPr>
          <w:lang w:val="es-ES"/>
        </w:rPr>
        <w:t>incluyen</w:t>
      </w:r>
      <w:r w:rsidR="00CB0EF1">
        <w:rPr>
          <w:lang w:val="es-ES"/>
        </w:rPr>
        <w:t xml:space="preserve"> los </w:t>
      </w:r>
      <w:r w:rsidR="008F0280">
        <w:rPr>
          <w:lang w:val="es-ES"/>
        </w:rPr>
        <w:t>P</w:t>
      </w:r>
      <w:r w:rsidR="00CB0EF1">
        <w:rPr>
          <w:lang w:val="es-ES"/>
        </w:rPr>
        <w:t>rogramas</w:t>
      </w:r>
      <w:r w:rsidR="008F0280">
        <w:rPr>
          <w:lang w:val="es-ES"/>
        </w:rPr>
        <w:t xml:space="preserve"> </w:t>
      </w:r>
      <w:r w:rsidR="005922FF">
        <w:rPr>
          <w:lang w:val="es-ES"/>
        </w:rPr>
        <w:t xml:space="preserve">Nacional </w:t>
      </w:r>
      <w:r w:rsidR="00153D01">
        <w:rPr>
          <w:lang w:val="es-ES"/>
        </w:rPr>
        <w:t>e Institucionales</w:t>
      </w:r>
      <w:r w:rsidR="005922FF">
        <w:rPr>
          <w:lang w:val="es-ES"/>
        </w:rPr>
        <w:t xml:space="preserve"> </w:t>
      </w:r>
      <w:r w:rsidR="00400934">
        <w:rPr>
          <w:lang w:val="es-ES"/>
        </w:rPr>
        <w:t>R</w:t>
      </w:r>
      <w:r w:rsidR="00CB0EF1">
        <w:rPr>
          <w:lang w:val="es-ES"/>
        </w:rPr>
        <w:t xml:space="preserve">egionales de </w:t>
      </w:r>
      <w:r w:rsidR="00400934">
        <w:rPr>
          <w:lang w:val="es-ES"/>
        </w:rPr>
        <w:t>M</w:t>
      </w:r>
      <w:r w:rsidR="00CB0EF1">
        <w:rPr>
          <w:lang w:val="es-ES"/>
        </w:rPr>
        <w:t xml:space="preserve">onitoreo </w:t>
      </w:r>
      <w:r w:rsidR="00400934">
        <w:rPr>
          <w:lang w:val="es-ES"/>
        </w:rPr>
        <w:t>de la cantidad y la calidad del Agua (</w:t>
      </w:r>
      <w:hyperlink r:id="rId8" w:history="1">
        <w:r w:rsidR="00B358BB" w:rsidRPr="00E96A09">
          <w:rPr>
            <w:rStyle w:val="Hipervnculo"/>
            <w:lang w:val="es-ES"/>
          </w:rPr>
          <w:t>PNMRH</w:t>
        </w:r>
      </w:hyperlink>
      <w:r w:rsidR="00B358BB">
        <w:rPr>
          <w:lang w:val="es-ES"/>
        </w:rPr>
        <w:t xml:space="preserve"> y </w:t>
      </w:r>
      <w:r w:rsidR="00CB0EF1" w:rsidRPr="00682133">
        <w:rPr>
          <w:lang w:val="es-ES"/>
        </w:rPr>
        <w:t>PIRMA</w:t>
      </w:r>
      <w:r w:rsidR="00400934">
        <w:rPr>
          <w:lang w:val="es-ES"/>
        </w:rPr>
        <w:t>)</w:t>
      </w:r>
      <w:r w:rsidR="00E67BA7">
        <w:rPr>
          <w:lang w:val="es-ES"/>
        </w:rPr>
        <w:fldChar w:fldCharType="begin" w:fldLock="1"/>
      </w:r>
      <w:r w:rsidR="00DD48C7">
        <w:rPr>
          <w:lang w:val="es-ES"/>
        </w:rPr>
        <w:instrText>ADDIN CSL_CITATION {"citationItems":[{"id":"ITEM-1","itemData":{"ISBN":"978-628-7598-24-9","author":[{"dropping-particle":"","family":"MinAmbiente","given":"","non-dropping-particle":"","parse-names":false,"suffix":""}],"id":"ITEM-1","issued":{"date-parts":[["2024"]]},"number-of-pages":"100","publisher":"Ministerio de Ambiente y desarrollo sostenible","publisher-place":"Bogotá D.C., Colombia","title":"Programa nacional de monitoreo del recurso hídrico","type":"book"},"uris":["http://www.mendeley.com/documents/?uuid=19e110e3-83f9-4ee5-9d33-ab3add00e081"]}],"mendeley":{"formattedCitation":"(MinAmbiente, 2024)","plainTextFormattedCitation":"(MinAmbiente, 2024)","previouslyFormattedCitation":"(MinAmbiente, 2024)"},"properties":{"noteIndex":0},"schema":"https://github.com/citation-style-language/schema/raw/master/csl-citation.json"}</w:instrText>
      </w:r>
      <w:r w:rsidR="00E67BA7">
        <w:rPr>
          <w:lang w:val="es-ES"/>
        </w:rPr>
        <w:fldChar w:fldCharType="separate"/>
      </w:r>
      <w:r w:rsidR="00E67BA7" w:rsidRPr="00E67BA7">
        <w:rPr>
          <w:noProof/>
          <w:lang w:val="es-ES"/>
        </w:rPr>
        <w:t>(MinAmbiente, 2024)</w:t>
      </w:r>
      <w:r w:rsidR="00E67BA7">
        <w:rPr>
          <w:lang w:val="es-ES"/>
        </w:rPr>
        <w:fldChar w:fldCharType="end"/>
      </w:r>
      <w:r w:rsidR="00DF62B4">
        <w:rPr>
          <w:lang w:val="es-ES"/>
        </w:rPr>
        <w:t xml:space="preserve">, así como </w:t>
      </w:r>
      <w:r w:rsidR="00117968">
        <w:rPr>
          <w:lang w:val="es-ES"/>
        </w:rPr>
        <w:t xml:space="preserve">instrumentos </w:t>
      </w:r>
      <w:r w:rsidR="00491382">
        <w:rPr>
          <w:lang w:val="es-ES"/>
        </w:rPr>
        <w:t>económicos</w:t>
      </w:r>
      <w:r w:rsidR="00933303">
        <w:rPr>
          <w:lang w:val="es-ES"/>
        </w:rPr>
        <w:t xml:space="preserve"> y normativos</w:t>
      </w:r>
      <w:r w:rsidR="007F185C">
        <w:rPr>
          <w:lang w:val="es-ES"/>
        </w:rPr>
        <w:t>.</w:t>
      </w:r>
      <w:r w:rsidR="00C25EF2">
        <w:rPr>
          <w:lang w:val="es-ES"/>
        </w:rPr>
        <w:t xml:space="preserve"> </w:t>
      </w:r>
      <w:r w:rsidR="00151BC5">
        <w:rPr>
          <w:lang w:val="es-ES"/>
        </w:rPr>
        <w:t xml:space="preserve">Estos instrumentos </w:t>
      </w:r>
      <w:r w:rsidR="000D022A">
        <w:rPr>
          <w:lang w:val="es-ES"/>
        </w:rPr>
        <w:t xml:space="preserve">se soportan </w:t>
      </w:r>
      <w:r w:rsidR="00DB39D0">
        <w:rPr>
          <w:lang w:val="es-ES"/>
        </w:rPr>
        <w:t xml:space="preserve">actualmente </w:t>
      </w:r>
      <w:r w:rsidR="000D022A">
        <w:rPr>
          <w:lang w:val="es-ES"/>
        </w:rPr>
        <w:t xml:space="preserve">en </w:t>
      </w:r>
      <w:r w:rsidR="005E180A" w:rsidRPr="004205C7">
        <w:rPr>
          <w:lang w:val="es-ES"/>
        </w:rPr>
        <w:t>herramientas de</w:t>
      </w:r>
      <w:r w:rsidR="00C85084" w:rsidRPr="004205C7">
        <w:rPr>
          <w:lang w:val="es-ES"/>
        </w:rPr>
        <w:t xml:space="preserve"> monitoreo</w:t>
      </w:r>
      <w:r w:rsidR="00C85084">
        <w:rPr>
          <w:lang w:val="es-ES"/>
        </w:rPr>
        <w:t xml:space="preserve"> (</w:t>
      </w:r>
      <w:r w:rsidR="00D67E6C">
        <w:rPr>
          <w:lang w:val="es-ES"/>
        </w:rPr>
        <w:t>estaciones</w:t>
      </w:r>
      <w:r w:rsidR="00B474C9">
        <w:rPr>
          <w:lang w:val="es-ES"/>
        </w:rPr>
        <w:t>, variables, etc.</w:t>
      </w:r>
      <w:r w:rsidR="008B227C">
        <w:rPr>
          <w:lang w:val="es-ES"/>
        </w:rPr>
        <w:t>,</w:t>
      </w:r>
      <w:r w:rsidR="00B474C9">
        <w:rPr>
          <w:lang w:val="es-ES"/>
        </w:rPr>
        <w:t xml:space="preserve"> definidas en los </w:t>
      </w:r>
      <w:r w:rsidR="00BA7FC5">
        <w:rPr>
          <w:lang w:val="es-ES"/>
        </w:rPr>
        <w:t>PNMRH</w:t>
      </w:r>
      <w:r w:rsidR="003C55CE">
        <w:rPr>
          <w:lang w:val="es-ES"/>
        </w:rPr>
        <w:t xml:space="preserve"> y PIRMA</w:t>
      </w:r>
      <w:r w:rsidR="00F368C0">
        <w:rPr>
          <w:lang w:val="es-ES"/>
        </w:rPr>
        <w:t>;</w:t>
      </w:r>
      <w:r w:rsidR="002179E0">
        <w:rPr>
          <w:lang w:val="es-ES"/>
        </w:rPr>
        <w:t xml:space="preserve"> Figura 1</w:t>
      </w:r>
      <w:r w:rsidR="008A0664">
        <w:rPr>
          <w:lang w:val="es-ES"/>
        </w:rPr>
        <w:fldChar w:fldCharType="begin"/>
      </w:r>
      <w:r w:rsidR="008A0664">
        <w:rPr>
          <w:lang w:val="es-ES"/>
        </w:rPr>
        <w:instrText xml:space="preserve"> REF _Ref221117909 \h </w:instrText>
      </w:r>
      <w:r w:rsidR="008A0664">
        <w:rPr>
          <w:lang w:val="es-ES"/>
        </w:rPr>
      </w:r>
      <w:r w:rsidR="008A0664">
        <w:rPr>
          <w:lang w:val="es-ES"/>
        </w:rPr>
        <w:fldChar w:fldCharType="separate"/>
      </w:r>
      <w:r w:rsidR="008A0664">
        <w:rPr>
          <w:lang w:val="es-ES"/>
        </w:rPr>
        <w:fldChar w:fldCharType="end"/>
      </w:r>
      <w:r w:rsidR="00C85084">
        <w:rPr>
          <w:lang w:val="es-ES"/>
        </w:rPr>
        <w:t>)</w:t>
      </w:r>
      <w:r w:rsidR="00581718">
        <w:rPr>
          <w:lang w:val="es-ES"/>
        </w:rPr>
        <w:t xml:space="preserve">, que permiten el flujo de información para la observación, medición y vigilancia retrospectiva </w:t>
      </w:r>
      <w:r w:rsidR="00F30413">
        <w:rPr>
          <w:lang w:val="es-ES"/>
        </w:rPr>
        <w:t xml:space="preserve">o </w:t>
      </w:r>
      <w:r w:rsidR="00C760C2">
        <w:rPr>
          <w:lang w:val="es-ES"/>
        </w:rPr>
        <w:t xml:space="preserve">de tiempo </w:t>
      </w:r>
      <w:r w:rsidR="00F30413">
        <w:rPr>
          <w:lang w:val="es-ES"/>
        </w:rPr>
        <w:t>cuasi-</w:t>
      </w:r>
      <w:r w:rsidR="0005139F">
        <w:rPr>
          <w:lang w:val="es-ES"/>
        </w:rPr>
        <w:t>presente</w:t>
      </w:r>
      <w:r w:rsidR="00F30413">
        <w:rPr>
          <w:lang w:val="es-ES"/>
        </w:rPr>
        <w:t xml:space="preserve">. </w:t>
      </w:r>
      <w:r w:rsidR="008A5AD1">
        <w:rPr>
          <w:lang w:val="es-ES"/>
        </w:rPr>
        <w:t xml:space="preserve">El uso de datos satelitales y de reanálisis se ha incrementado, pero sigue siendo esporádico en los instrumentos </w:t>
      </w:r>
      <w:r w:rsidR="003D169C">
        <w:rPr>
          <w:lang w:val="es-ES"/>
        </w:rPr>
        <w:t>de la PN</w:t>
      </w:r>
      <w:r w:rsidR="008A5AD1">
        <w:rPr>
          <w:lang w:val="es-ES"/>
        </w:rPr>
        <w:t>GIRH</w:t>
      </w:r>
      <w:r w:rsidR="006F05DE">
        <w:rPr>
          <w:lang w:val="es-ES"/>
        </w:rPr>
        <w:t xml:space="preserve"> </w:t>
      </w:r>
      <w:r w:rsidR="006F05DE">
        <w:rPr>
          <w:lang w:val="es-ES"/>
        </w:rPr>
        <w:fldChar w:fldCharType="begin" w:fldLock="1"/>
      </w:r>
      <w:r w:rsidR="00EE1228">
        <w:rPr>
          <w:lang w:val="es-ES"/>
        </w:rPr>
        <w:instrText>ADDIN CSL_CITATION {"citationItems":[{"id":"ITEM-1","itemData":{"ISBN":"978-958-8067-32-2","abstract":"Estudio Nacional del Agua, ENA 2014","author":[{"dropping-particle":"","family":"IDEAM","given":"","non-dropping-particle":"","parse-names":false,"suffix":""}],"container-title":"Estudio Nacional del Agua","editor":[{"dropping-particle":"","family":"Franco Torres","given":"Omar","non-dropping-particle":"","parse-names":false,"suffix":""},{"dropping-particle":"","family":"García Herrán","given":"Martha","non-dropping-particle":"","parse-names":false,"suffix":""},{"dropping-particle":"","family":"Vargas Martínez","given":"Omar","non-dropping-particle":"","parse-names":false,"suffix":""}],"id":"ITEM-1","issued":{"date-parts":[["2019"]]},"note":"From Duplicate 2 (Estudio Nacional del Agua 2014 - IDEAM)\n\nEl régimen hidrológico explica el comportamiento\ntemporal de la oferta y describe la heterogeneidad en la respuesta hidrológica","number-of-pages":"452","publisher":"IDEAM","publisher-place":"Bogotá D.C.","title":"Estudio Nacional del Agua 2018","type":"book"},"uris":["http://www.mendeley.com/documents/?uuid=c3d16a87-8d6f-4a7e-8888-449ea57a1d27"]},{"id":"ITEM-2","itemData":{"author":[{"dropping-particle":"","family":"IDEAM","given":"","non-dropping-particle":"","parse-names":false,"suffix":""}],"editor":[{"dropping-particle":"","family":"García Herrán","given":"M.","non-dropping-particle":"","parse-names":false,"suffix":""},{"dropping-particle":"","family":"Vargas Martínez","given":"O","non-dropping-particle":"","parse-names":false,"suffix":""}],"id":"ITEM-2","issued":{"date-parts":[["2023"]]},"title":"Estudio Nacional del Agua 2022","type":"book"},"uris":["http://www.mendeley.com/documents/?uuid=6c0ac5b8-e4d6-46f0-bee8-a6bea61421d2"]}],"mendeley":{"formattedCitation":"(IDEAM, 2019, 2023)","plainTextFormattedCitation":"(IDEAM, 2019, 2023)","previouslyFormattedCitation":"(IDEAM, 2019, 2023)"},"properties":{"noteIndex":0},"schema":"https://github.com/citation-style-language/schema/raw/master/csl-citation.json"}</w:instrText>
      </w:r>
      <w:r w:rsidR="006F05DE">
        <w:rPr>
          <w:lang w:val="es-ES"/>
        </w:rPr>
        <w:fldChar w:fldCharType="separate"/>
      </w:r>
      <w:r w:rsidR="006F05DE" w:rsidRPr="006F05DE">
        <w:rPr>
          <w:noProof/>
          <w:lang w:val="es-ES"/>
        </w:rPr>
        <w:t>(IDEAM, 2019, 2023)</w:t>
      </w:r>
      <w:r w:rsidR="006F05DE">
        <w:rPr>
          <w:lang w:val="es-ES"/>
        </w:rPr>
        <w:fldChar w:fldCharType="end"/>
      </w:r>
      <w:r w:rsidR="008A5AD1">
        <w:rPr>
          <w:lang w:val="es-ES"/>
        </w:rPr>
        <w:t>; est</w:t>
      </w:r>
      <w:r w:rsidR="003839D3">
        <w:rPr>
          <w:lang w:val="es-ES"/>
        </w:rPr>
        <w:t>os</w:t>
      </w:r>
      <w:r w:rsidR="007E684B">
        <w:rPr>
          <w:lang w:val="es-ES"/>
        </w:rPr>
        <w:t xml:space="preserve"> </w:t>
      </w:r>
      <w:r w:rsidR="008A5AD1">
        <w:rPr>
          <w:lang w:val="es-ES"/>
        </w:rPr>
        <w:t>datos son un complemento útil</w:t>
      </w:r>
      <w:r w:rsidR="00EB3E86">
        <w:rPr>
          <w:lang w:val="es-ES"/>
        </w:rPr>
        <w:t xml:space="preserve"> </w:t>
      </w:r>
      <w:r w:rsidR="008A5AD1">
        <w:rPr>
          <w:lang w:val="es-ES"/>
        </w:rPr>
        <w:t xml:space="preserve">en zonas de escasez de información </w:t>
      </w:r>
      <w:r w:rsidR="008A5AD1">
        <w:rPr>
          <w:lang w:val="es-ES"/>
        </w:rPr>
        <w:fldChar w:fldCharType="begin" w:fldLock="1"/>
      </w:r>
      <w:r w:rsidR="006E1F7A">
        <w:rPr>
          <w:lang w:val="es-ES"/>
        </w:rPr>
        <w:instrText>ADDIN CSL_CITATION {"citationItems":[{"id":"ITEM-1","itemData":{"DOI":"10.1061/JHYEFF.HEENG-5541","ISSN":"1084-0699","author":[{"dropping-particle":"","family":"Duque-Gardeazabal","given":"Nicolas","non-dropping-particle":"","parse-names":false,"suffix":""},{"dropping-particle":"","family":"Rodríguez","given":"Erasmo A.","non-dropping-particle":"","parse-names":false,"suffix":""}],"container-title":"Journal of Hydrologic Engineering","id":"ITEM-1","issue":"7","issued":{"date-parts":[["2023","7"]]},"title":"Improving Rainfall Fields in Data-Scarce Basins: Influence of the Kernel Bandwidth Value of Merging on Hydrometeorological Modeling","type":"article-journal","volume":"28"},"uris":["http://www.mendeley.com/documents/?uuid=415cfa34-aea5-4f6f-826b-21c4fe26df9d"]},{"id":"ITEM-2","itemData":{"DOI":"10.15446/esrj.v28n1.104344","ISSN":"2339-3459","abstract":"Low-density precipitation measurements impair the ability of hydrological models to estimate surface water resources accurately. Remote sensing techniques and climate models can help to improve the estimation of the space-time rainfall variability. However, they alone are not good enough to be used in surface models built to support water management. In this research, we test the improvement of rainfall field estimation by using hydrological modelling based on the premise that a higher hydrological performance generally implies that precipitation is more consistent with streamflow observations and evaporation estimates in the basin. The SWAT model was forced with two satellite and rain gauge blending techniques and with the traditional IDW deterministic interpolation method from stations. The three simulated streamflows were compared separately against observed records. We do not only focus the comparison on one hydrological performance metric but also conduct a deeper evaluation using several hydrological signatures and statistics. We included the bias, the temporal correlation, the relation of general variability, and an analysis of the Flow Duration Curves (we found that low and medium segments were estimated correctly, whereas the high segments were underestimated). We conclude that either combination technique has its advantages over the other and that both outperform the performance achieved by the IDW in most of the defined criteria, with an overall 10% improvement and with individual streamflow gauge performance enhancement up to 50%.","author":[{"dropping-particle":"","family":"Duque-Gardeazabal","given":"Nicolas","non-dropping-particle":"","parse-names":false,"suffix":""},{"dropping-particle":"","family":"García","given":"Camila","non-dropping-particle":"","parse-names":false,"suffix":""},{"dropping-particle":"","family":"Montoya","given":"Juan José","non-dropping-particle":"","parse-names":false,"suffix":""},{"dropping-particle":"","family":"Bernal Quiroga","given":"Fabio Andrés","non-dropping-particle":"","parse-names":false,"suffix":""}],"container-title":"Earth Sciences Research Journal","id":"ITEM-2","issue":"1","issued":{"date-parts":[["2024","5","28"]]},"page":"55-63","title":"Improving estimates of water resources availability over North Tropical South America: comparison of two satellite precipitation merging schemes","type":"article-journal","volume":"28"},"uris":["http://www.mendeley.com/documents/?uuid=81e4b09f-bdf3-441f-a8ea-e752a47e4998"]}],"mendeley":{"formattedCitation":"(Duque-Gardeazabal et al., 2024; Duque-Gardeazabal &amp; Rodríguez, 2023)","manualFormatting":"(Duque-Gardeazabal et al., 2024; Duque-Gardeazabal &amp; Rodríguez, 2023)","plainTextFormattedCitation":"(Duque-Gardeazabal et al., 2024; Duque-Gardeazabal &amp; Rodríguez, 2023)","previouslyFormattedCitation":"(Duque-Gardeazabal et al., 2024; Duque-Gardeazabal &amp; Rodríguez, 2023)"},"properties":{"noteIndex":0},"schema":"https://github.com/citation-style-language/schema/raw/master/csl-citation.json"}</w:instrText>
      </w:r>
      <w:r w:rsidR="008A5AD1">
        <w:rPr>
          <w:lang w:val="es-ES"/>
        </w:rPr>
        <w:fldChar w:fldCharType="separate"/>
      </w:r>
      <w:r w:rsidR="008A5AD1" w:rsidRPr="008A5AD1">
        <w:rPr>
          <w:noProof/>
          <w:lang w:val="es-ES"/>
        </w:rPr>
        <w:t>(</w:t>
      </w:r>
      <w:r w:rsidR="008A5AD1" w:rsidRPr="00BE37B9">
        <w:rPr>
          <w:i/>
          <w:iCs/>
          <w:noProof/>
          <w:lang w:val="es-ES"/>
        </w:rPr>
        <w:t>Duque-Gardeazabal</w:t>
      </w:r>
      <w:r w:rsidR="008A5AD1" w:rsidRPr="008A5AD1">
        <w:rPr>
          <w:noProof/>
          <w:lang w:val="es-ES"/>
        </w:rPr>
        <w:t xml:space="preserve"> et al., 2024; </w:t>
      </w:r>
      <w:r w:rsidR="008A5AD1" w:rsidRPr="00BE37B9">
        <w:rPr>
          <w:i/>
          <w:iCs/>
          <w:noProof/>
          <w:lang w:val="es-ES"/>
        </w:rPr>
        <w:t>Duque-Gardeazabal</w:t>
      </w:r>
      <w:r w:rsidR="008A5AD1" w:rsidRPr="008A5AD1">
        <w:rPr>
          <w:noProof/>
          <w:lang w:val="es-ES"/>
        </w:rPr>
        <w:t xml:space="preserve"> &amp; Rodríguez, 2023)</w:t>
      </w:r>
      <w:r w:rsidR="008A5AD1">
        <w:rPr>
          <w:lang w:val="es-ES"/>
        </w:rPr>
        <w:fldChar w:fldCharType="end"/>
      </w:r>
      <w:r w:rsidR="008A5AD1">
        <w:rPr>
          <w:lang w:val="es-ES"/>
        </w:rPr>
        <w:t xml:space="preserve">. </w:t>
      </w:r>
      <w:r w:rsidR="00663607">
        <w:rPr>
          <w:lang w:val="es-ES"/>
        </w:rPr>
        <w:t>No obstante</w:t>
      </w:r>
      <w:r w:rsidR="002C32CF">
        <w:rPr>
          <w:lang w:val="es-ES"/>
        </w:rPr>
        <w:t>, l</w:t>
      </w:r>
      <w:r w:rsidR="00F3617E">
        <w:rPr>
          <w:lang w:val="es-ES"/>
        </w:rPr>
        <w:t>os PNM</w:t>
      </w:r>
      <w:r w:rsidR="00B3346D">
        <w:rPr>
          <w:lang w:val="es-ES"/>
        </w:rPr>
        <w:t>RH y PIRMA</w:t>
      </w:r>
      <w:r w:rsidR="007A7CA5">
        <w:rPr>
          <w:lang w:val="es-ES"/>
        </w:rPr>
        <w:t xml:space="preserve"> no definen </w:t>
      </w:r>
      <w:r w:rsidR="00DB7B49">
        <w:rPr>
          <w:lang w:val="es-ES"/>
        </w:rPr>
        <w:t xml:space="preserve">los requisitos y las características de las </w:t>
      </w:r>
      <w:r w:rsidR="00DB7B49" w:rsidRPr="007F2064">
        <w:rPr>
          <w:i/>
          <w:iCs/>
          <w:lang w:val="es-ES"/>
        </w:rPr>
        <w:t>herramientas de predicción</w:t>
      </w:r>
      <w:r w:rsidR="00470B63">
        <w:rPr>
          <w:lang w:val="es-ES"/>
        </w:rPr>
        <w:t xml:space="preserve">, solo </w:t>
      </w:r>
      <w:r w:rsidR="003117F9">
        <w:rPr>
          <w:lang w:val="es-ES"/>
        </w:rPr>
        <w:t>mencionan</w:t>
      </w:r>
      <w:r w:rsidR="00A857F2">
        <w:rPr>
          <w:lang w:val="es-ES"/>
        </w:rPr>
        <w:t xml:space="preserve"> su existencia</w:t>
      </w:r>
      <w:r w:rsidR="007F2064">
        <w:rPr>
          <w:lang w:val="es-ES"/>
        </w:rPr>
        <w:t>.</w:t>
      </w:r>
    </w:p>
    <w:p w14:paraId="4ABF600F" w14:textId="77777777" w:rsidR="00E9618F" w:rsidRDefault="00E9618F" w:rsidP="00E9618F">
      <w:pPr>
        <w:keepNext/>
        <w:spacing w:line="276" w:lineRule="auto"/>
        <w:jc w:val="center"/>
      </w:pPr>
      <w:r w:rsidRPr="00E9618F">
        <w:rPr>
          <w:noProof/>
          <w:lang w:val="es-ES"/>
        </w:rPr>
        <w:drawing>
          <wp:inline distT="0" distB="0" distL="0" distR="0" wp14:anchorId="1258BFB9" wp14:editId="7328E225">
            <wp:extent cx="5282342" cy="1986643"/>
            <wp:effectExtent l="0" t="0" r="0" b="0"/>
            <wp:docPr id="11949040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904012" name=""/>
                    <pic:cNvPicPr/>
                  </pic:nvPicPr>
                  <pic:blipFill>
                    <a:blip r:embed="rId9"/>
                    <a:stretch>
                      <a:fillRect/>
                    </a:stretch>
                  </pic:blipFill>
                  <pic:spPr>
                    <a:xfrm>
                      <a:off x="0" y="0"/>
                      <a:ext cx="5328111" cy="2003856"/>
                    </a:xfrm>
                    <a:prstGeom prst="rect">
                      <a:avLst/>
                    </a:prstGeom>
                  </pic:spPr>
                </pic:pic>
              </a:graphicData>
            </a:graphic>
          </wp:inline>
        </w:drawing>
      </w:r>
    </w:p>
    <w:p w14:paraId="2A979697" w14:textId="3647FE6B" w:rsidR="00E9618F" w:rsidRPr="00E9618F" w:rsidRDefault="00E9618F" w:rsidP="00E9618F">
      <w:pPr>
        <w:pStyle w:val="Descripcin"/>
        <w:jc w:val="center"/>
        <w:rPr>
          <w:i w:val="0"/>
          <w:iCs w:val="0"/>
          <w:color w:val="auto"/>
          <w:sz w:val="22"/>
          <w:szCs w:val="22"/>
          <w:lang w:val="es-ES"/>
        </w:rPr>
      </w:pPr>
      <w:bookmarkStart w:id="0" w:name="_Ref221117909"/>
      <w:r w:rsidRPr="00E9618F">
        <w:rPr>
          <w:i w:val="0"/>
          <w:iCs w:val="0"/>
          <w:color w:val="auto"/>
          <w:sz w:val="22"/>
          <w:szCs w:val="22"/>
          <w:lang w:val="es-ES"/>
        </w:rPr>
        <w:t xml:space="preserve">Figura </w:t>
      </w:r>
      <w:bookmarkEnd w:id="0"/>
      <w:r w:rsidR="00F6050E">
        <w:rPr>
          <w:i w:val="0"/>
          <w:iCs w:val="0"/>
          <w:color w:val="auto"/>
          <w:sz w:val="22"/>
          <w:szCs w:val="22"/>
          <w:lang w:val="es-ES"/>
        </w:rPr>
        <w:t>1</w:t>
      </w:r>
      <w:r w:rsidR="00B1236F">
        <w:rPr>
          <w:i w:val="0"/>
          <w:iCs w:val="0"/>
          <w:color w:val="auto"/>
          <w:sz w:val="22"/>
          <w:szCs w:val="22"/>
          <w:lang w:val="es-ES"/>
        </w:rPr>
        <w:t>.</w:t>
      </w:r>
      <w:r w:rsidR="00F6050E">
        <w:rPr>
          <w:i w:val="0"/>
          <w:iCs w:val="0"/>
          <w:color w:val="auto"/>
          <w:sz w:val="22"/>
          <w:szCs w:val="22"/>
          <w:lang w:val="es-ES"/>
        </w:rPr>
        <w:t xml:space="preserve"> </w:t>
      </w:r>
      <w:r w:rsidRPr="00E9618F">
        <w:rPr>
          <w:i w:val="0"/>
          <w:iCs w:val="0"/>
          <w:color w:val="auto"/>
          <w:sz w:val="22"/>
          <w:szCs w:val="22"/>
          <w:lang w:val="es-ES"/>
        </w:rPr>
        <w:t>Flujo de la información y acciones del sistema de observación, medición y vigilancia del agua. Tomado de</w:t>
      </w:r>
      <w:r w:rsidR="00E825AE">
        <w:rPr>
          <w:i w:val="0"/>
          <w:iCs w:val="0"/>
          <w:color w:val="auto"/>
          <w:sz w:val="22"/>
          <w:szCs w:val="22"/>
          <w:lang w:val="es-ES"/>
        </w:rPr>
        <w:t>:</w:t>
      </w:r>
      <w:r>
        <w:rPr>
          <w:i w:val="0"/>
          <w:iCs w:val="0"/>
          <w:color w:val="auto"/>
          <w:sz w:val="22"/>
          <w:szCs w:val="22"/>
          <w:lang w:val="es-ES"/>
        </w:rPr>
        <w:t xml:space="preserve"> </w:t>
      </w:r>
      <w:r w:rsidR="008C6107">
        <w:rPr>
          <w:i w:val="0"/>
          <w:iCs w:val="0"/>
          <w:color w:val="auto"/>
          <w:sz w:val="22"/>
          <w:szCs w:val="22"/>
          <w:lang w:val="es-ES"/>
        </w:rPr>
        <w:fldChar w:fldCharType="begin" w:fldLock="1"/>
      </w:r>
      <w:r w:rsidR="00FF3BD7">
        <w:rPr>
          <w:i w:val="0"/>
          <w:iCs w:val="0"/>
          <w:color w:val="auto"/>
          <w:sz w:val="22"/>
          <w:szCs w:val="22"/>
          <w:lang w:val="es-ES"/>
        </w:rPr>
        <w:instrText>ADDIN CSL_CITATION {"citationItems":[{"id":"ITEM-1","itemData":{"ISBN":"978-628-7598-24-9","author":[{"dropping-particle":"","family":"MinAmbiente","given":"","non-dropping-particle":"","parse-names":false,"suffix":""}],"id":"ITEM-1","issued":{"date-parts":[["2024"]]},"number-of-pages":"100","publisher":"Ministerio de Ambiente y desarrollo sostenible","publisher-place":"Bogotá D.C., Colombia","title":"Programa nacional de monitoreo del recurso hídrico","type":"book"},"uris":["http://www.mendeley.com/documents/?uuid=19e110e3-83f9-4ee5-9d33-ab3add00e081"]}],"mendeley":{"formattedCitation":"(MinAmbiente, 2024)","manualFormatting":"MinAmbiente (2024)","plainTextFormattedCitation":"(MinAmbiente, 2024)","previouslyFormattedCitation":"(MinAmbiente, 2024)"},"properties":{"noteIndex":0},"schema":"https://github.com/citation-style-language/schema/raw/master/csl-citation.json"}</w:instrText>
      </w:r>
      <w:r w:rsidR="008C6107">
        <w:rPr>
          <w:i w:val="0"/>
          <w:iCs w:val="0"/>
          <w:color w:val="auto"/>
          <w:sz w:val="22"/>
          <w:szCs w:val="22"/>
          <w:lang w:val="es-ES"/>
        </w:rPr>
        <w:fldChar w:fldCharType="separate"/>
      </w:r>
      <w:r w:rsidR="008C6107" w:rsidRPr="008C6107">
        <w:rPr>
          <w:i w:val="0"/>
          <w:iCs w:val="0"/>
          <w:noProof/>
          <w:color w:val="auto"/>
          <w:sz w:val="22"/>
          <w:szCs w:val="22"/>
          <w:lang w:val="es-ES"/>
        </w:rPr>
        <w:t xml:space="preserve">MinAmbiente </w:t>
      </w:r>
      <w:r w:rsidR="008C6107">
        <w:rPr>
          <w:i w:val="0"/>
          <w:iCs w:val="0"/>
          <w:noProof/>
          <w:color w:val="auto"/>
          <w:sz w:val="22"/>
          <w:szCs w:val="22"/>
          <w:lang w:val="es-ES"/>
        </w:rPr>
        <w:t>(</w:t>
      </w:r>
      <w:r w:rsidR="008C6107" w:rsidRPr="008C6107">
        <w:rPr>
          <w:i w:val="0"/>
          <w:iCs w:val="0"/>
          <w:noProof/>
          <w:color w:val="auto"/>
          <w:sz w:val="22"/>
          <w:szCs w:val="22"/>
          <w:lang w:val="es-ES"/>
        </w:rPr>
        <w:t>2024)</w:t>
      </w:r>
      <w:r w:rsidR="008C6107">
        <w:rPr>
          <w:i w:val="0"/>
          <w:iCs w:val="0"/>
          <w:color w:val="auto"/>
          <w:sz w:val="22"/>
          <w:szCs w:val="22"/>
          <w:lang w:val="es-ES"/>
        </w:rPr>
        <w:fldChar w:fldCharType="end"/>
      </w:r>
      <w:r w:rsidR="00B22FB2">
        <w:rPr>
          <w:i w:val="0"/>
          <w:iCs w:val="0"/>
          <w:color w:val="auto"/>
          <w:sz w:val="22"/>
          <w:szCs w:val="22"/>
          <w:lang w:val="es-ES"/>
        </w:rPr>
        <w:t>.</w:t>
      </w:r>
    </w:p>
    <w:p w14:paraId="3F90EF2F" w14:textId="01CCDA8F" w:rsidR="005E3469" w:rsidRDefault="005F11CD" w:rsidP="00C82293">
      <w:pPr>
        <w:spacing w:line="276" w:lineRule="auto"/>
        <w:rPr>
          <w:lang w:val="es-ES"/>
        </w:rPr>
      </w:pPr>
      <w:r>
        <w:rPr>
          <w:lang w:val="es-ES"/>
        </w:rPr>
        <w:t xml:space="preserve">Sin embargo, </w:t>
      </w:r>
      <w:r w:rsidR="008D20DA">
        <w:rPr>
          <w:lang w:val="es-ES"/>
        </w:rPr>
        <w:t xml:space="preserve">realizar </w:t>
      </w:r>
      <w:r w:rsidR="00B92BBF">
        <w:rPr>
          <w:lang w:val="es-ES"/>
        </w:rPr>
        <w:t>el c</w:t>
      </w:r>
      <w:r w:rsidR="00371736">
        <w:rPr>
          <w:lang w:val="es-ES"/>
        </w:rPr>
        <w:t>ambio de</w:t>
      </w:r>
      <w:r w:rsidR="009B39F9">
        <w:rPr>
          <w:lang w:val="es-ES"/>
        </w:rPr>
        <w:t xml:space="preserve"> </w:t>
      </w:r>
      <w:r w:rsidR="00371736">
        <w:rPr>
          <w:lang w:val="es-ES"/>
        </w:rPr>
        <w:t>paradigma</w:t>
      </w:r>
      <w:r w:rsidR="0010176B">
        <w:rPr>
          <w:lang w:val="es-ES"/>
        </w:rPr>
        <w:t xml:space="preserve"> de planificación</w:t>
      </w:r>
      <w:r w:rsidR="00713351">
        <w:rPr>
          <w:lang w:val="es-ES"/>
        </w:rPr>
        <w:t xml:space="preserve"> y administración</w:t>
      </w:r>
      <w:r w:rsidR="00371736">
        <w:rPr>
          <w:lang w:val="es-ES"/>
        </w:rPr>
        <w:t xml:space="preserve"> reactiv</w:t>
      </w:r>
      <w:r w:rsidR="0010176B">
        <w:rPr>
          <w:lang w:val="es-ES"/>
        </w:rPr>
        <w:t>a</w:t>
      </w:r>
      <w:r w:rsidR="005F0F06">
        <w:rPr>
          <w:lang w:val="es-ES"/>
        </w:rPr>
        <w:t>/retrospectiva</w:t>
      </w:r>
      <w:r w:rsidR="00371736">
        <w:rPr>
          <w:lang w:val="es-ES"/>
        </w:rPr>
        <w:t xml:space="preserve"> a uno proactivo</w:t>
      </w:r>
      <w:r w:rsidR="0010176B">
        <w:rPr>
          <w:lang w:val="es-ES"/>
        </w:rPr>
        <w:t xml:space="preserve"> </w:t>
      </w:r>
      <w:r w:rsidR="00001773">
        <w:rPr>
          <w:lang w:val="es-ES"/>
        </w:rPr>
        <w:t>requier</w:t>
      </w:r>
      <w:r w:rsidR="001D60F9">
        <w:rPr>
          <w:lang w:val="es-ES"/>
        </w:rPr>
        <w:t>e</w:t>
      </w:r>
      <w:r w:rsidR="00001773">
        <w:rPr>
          <w:lang w:val="es-ES"/>
        </w:rPr>
        <w:t xml:space="preserve"> </w:t>
      </w:r>
      <w:r w:rsidR="00001773" w:rsidRPr="005446D9">
        <w:rPr>
          <w:i/>
          <w:lang w:val="es-ES"/>
        </w:rPr>
        <w:t>herramien</w:t>
      </w:r>
      <w:r w:rsidR="00ED65E2" w:rsidRPr="005446D9">
        <w:rPr>
          <w:i/>
          <w:lang w:val="es-ES"/>
        </w:rPr>
        <w:t>tas predictivas estacionales o de eventos específicos</w:t>
      </w:r>
      <w:r w:rsidR="001D60F9">
        <w:rPr>
          <w:lang w:val="es-ES"/>
        </w:rPr>
        <w:t xml:space="preserve"> </w:t>
      </w:r>
      <w:r w:rsidR="005F0F06">
        <w:rPr>
          <w:lang w:val="es-ES"/>
        </w:rPr>
        <w:t>que apoyen</w:t>
      </w:r>
      <w:r w:rsidR="001D60F9">
        <w:rPr>
          <w:lang w:val="es-ES"/>
        </w:rPr>
        <w:t xml:space="preserve"> los instrumentos</w:t>
      </w:r>
      <w:r w:rsidR="00ED65E2">
        <w:rPr>
          <w:lang w:val="es-ES"/>
        </w:rPr>
        <w:t>.</w:t>
      </w:r>
      <w:r w:rsidR="00005E92">
        <w:rPr>
          <w:lang w:val="es-ES"/>
        </w:rPr>
        <w:t xml:space="preserve"> Esto </w:t>
      </w:r>
      <w:r w:rsidR="00657884">
        <w:rPr>
          <w:lang w:val="es-ES"/>
        </w:rPr>
        <w:t>se enmarca en</w:t>
      </w:r>
      <w:r w:rsidR="00CF38E4">
        <w:rPr>
          <w:lang w:val="es-ES"/>
        </w:rPr>
        <w:t xml:space="preserve"> la </w:t>
      </w:r>
      <w:r w:rsidR="002D2872">
        <w:rPr>
          <w:lang w:val="es-ES"/>
        </w:rPr>
        <w:t>provisión de servicios climáticos</w:t>
      </w:r>
      <w:r w:rsidR="002838E3">
        <w:rPr>
          <w:lang w:val="es-ES"/>
        </w:rPr>
        <w:t xml:space="preserve"> </w:t>
      </w:r>
      <w:r w:rsidR="003B497B">
        <w:rPr>
          <w:lang w:val="es-ES"/>
        </w:rPr>
        <w:fldChar w:fldCharType="begin" w:fldLock="1"/>
      </w:r>
      <w:r w:rsidR="002A62D7">
        <w:rPr>
          <w:lang w:val="es-ES"/>
        </w:rPr>
        <w:instrText>ADDIN CSL_CITATION {"citationItems":[{"id":"ITEM-1","itemData":{"URL":"https://gfcs.wmo.int/site/global-framework-climate-services-gfcs/what-are-climate-services","author":[{"dropping-particle":"","family":"WMO","given":"","non-dropping-particle":"","parse-names":false,"suffix":""}],"container-title":"Global Framework for Climate Services (GFCS)","id":"ITEM-1","issued":{"date-parts":[["2026"]]},"title":"What are Climate Services?","type":"webpage"},"uris":["http://www.mendeley.com/documents/?uuid=2110b2b9-3d32-4f19-a9d7-f03cf6284d3c"]}],"mendeley":{"formattedCitation":"(WMO, 2026)","plainTextFormattedCitation":"(WMO, 2026)","previouslyFormattedCitation":"(WMO, 2026)"},"properties":{"noteIndex":0},"schema":"https://github.com/citation-style-language/schema/raw/master/csl-citation.json"}</w:instrText>
      </w:r>
      <w:r w:rsidR="003B497B">
        <w:rPr>
          <w:lang w:val="es-ES"/>
        </w:rPr>
        <w:fldChar w:fldCharType="separate"/>
      </w:r>
      <w:r w:rsidR="00092ED1" w:rsidRPr="00092ED1">
        <w:rPr>
          <w:noProof/>
          <w:lang w:val="es-ES"/>
        </w:rPr>
        <w:t>(WMO, 2026)</w:t>
      </w:r>
      <w:r w:rsidR="003B497B">
        <w:rPr>
          <w:lang w:val="es-ES"/>
        </w:rPr>
        <w:fldChar w:fldCharType="end"/>
      </w:r>
      <w:r w:rsidR="002838E3">
        <w:rPr>
          <w:lang w:val="es-ES"/>
        </w:rPr>
        <w:t>,</w:t>
      </w:r>
      <w:r w:rsidR="00F71DFC">
        <w:rPr>
          <w:lang w:val="es-ES"/>
        </w:rPr>
        <w:t xml:space="preserve"> que</w:t>
      </w:r>
      <w:r w:rsidR="000E12D0">
        <w:rPr>
          <w:lang w:val="es-ES"/>
        </w:rPr>
        <w:t xml:space="preserve"> fortalece</w:t>
      </w:r>
      <w:r w:rsidR="00F71DFC">
        <w:rPr>
          <w:lang w:val="es-ES"/>
        </w:rPr>
        <w:t>n</w:t>
      </w:r>
      <w:r w:rsidR="000E12D0">
        <w:rPr>
          <w:lang w:val="es-ES"/>
        </w:rPr>
        <w:t xml:space="preserve"> la GIRH</w:t>
      </w:r>
      <w:r w:rsidR="00165B41">
        <w:rPr>
          <w:lang w:val="es-ES"/>
        </w:rPr>
        <w:t>,</w:t>
      </w:r>
      <w:r w:rsidR="000E12D0">
        <w:rPr>
          <w:lang w:val="es-ES"/>
        </w:rPr>
        <w:t xml:space="preserve"> </w:t>
      </w:r>
      <w:r w:rsidR="00165B41">
        <w:rPr>
          <w:lang w:val="es-ES"/>
        </w:rPr>
        <w:t>la gestión de riesgos naturales y la adaptación al cambio climático</w:t>
      </w:r>
      <w:r w:rsidR="00C348F9">
        <w:rPr>
          <w:lang w:val="es-ES"/>
        </w:rPr>
        <w:t xml:space="preserve"> </w:t>
      </w:r>
      <w:r w:rsidR="00C348F9">
        <w:rPr>
          <w:lang w:val="es-ES"/>
        </w:rPr>
        <w:fldChar w:fldCharType="begin" w:fldLock="1"/>
      </w:r>
      <w:r w:rsidR="00DD48C7">
        <w:rPr>
          <w:lang w:val="es-ES"/>
        </w:rPr>
        <w:instrText>ADDIN CSL_CITATION {"citationItems":[{"id":"ITEM-1","itemData":{"DOI":"10.1002/met.1654","ISSN":"1350-4827","abstract":"While seasonal outlooks have been operational for many years, until recently the extended</w:instrText>
      </w:r>
      <w:r w:rsidR="00DD48C7">
        <w:rPr>
          <w:rFonts w:ascii="Cambria Math" w:hAnsi="Cambria Math" w:cs="Cambria Math"/>
          <w:lang w:val="es-ES"/>
        </w:rPr>
        <w:instrText>‐</w:instrText>
      </w:r>
      <w:r w:rsidR="00DD48C7">
        <w:rPr>
          <w:lang w:val="es-ES"/>
        </w:rPr>
        <w:instrText>range timescale referred to as subseasonal</w:instrText>
      </w:r>
      <w:r w:rsidR="00DD48C7">
        <w:rPr>
          <w:rFonts w:ascii="Cambria Math" w:hAnsi="Cambria Math" w:cs="Cambria Math"/>
          <w:lang w:val="es-ES"/>
        </w:rPr>
        <w:instrText>‐</w:instrText>
      </w:r>
      <w:r w:rsidR="00DD48C7">
        <w:rPr>
          <w:lang w:val="es-ES"/>
        </w:rPr>
        <w:instrText>to</w:instrText>
      </w:r>
      <w:r w:rsidR="00DD48C7">
        <w:rPr>
          <w:rFonts w:ascii="Cambria Math" w:hAnsi="Cambria Math" w:cs="Cambria Math"/>
          <w:lang w:val="es-ES"/>
        </w:rPr>
        <w:instrText>‐</w:instrText>
      </w:r>
      <w:r w:rsidR="00DD48C7">
        <w:rPr>
          <w:lang w:val="es-ES"/>
        </w:rPr>
        <w:instrText>seasonal ( S2S ) has received little attention. S2S prediction fills the gap between short</w:instrText>
      </w:r>
      <w:r w:rsidR="00DD48C7">
        <w:rPr>
          <w:rFonts w:ascii="Cambria Math" w:hAnsi="Cambria Math" w:cs="Cambria Math"/>
          <w:lang w:val="es-ES"/>
        </w:rPr>
        <w:instrText>‐</w:instrText>
      </w:r>
      <w:r w:rsidR="00DD48C7">
        <w:rPr>
          <w:lang w:val="es-ES"/>
        </w:rPr>
        <w:instrText>range weather prediction and long</w:instrText>
      </w:r>
      <w:r w:rsidR="00DD48C7">
        <w:rPr>
          <w:rFonts w:ascii="Cambria Math" w:hAnsi="Cambria Math" w:cs="Cambria Math"/>
          <w:lang w:val="es-ES"/>
        </w:rPr>
        <w:instrText>‐</w:instrText>
      </w:r>
      <w:r w:rsidR="00DD48C7">
        <w:rPr>
          <w:lang w:val="es-ES"/>
        </w:rPr>
        <w:instrText>range seasonal outlooks. Decisions in a range of sectors are made in this extended</w:instrText>
      </w:r>
      <w:r w:rsidR="00DD48C7">
        <w:rPr>
          <w:rFonts w:ascii="Cambria Math" w:hAnsi="Cambria Math" w:cs="Cambria Math"/>
          <w:lang w:val="es-ES"/>
        </w:rPr>
        <w:instrText>‐</w:instrText>
      </w:r>
      <w:r w:rsidR="00DD48C7">
        <w:rPr>
          <w:lang w:val="es-ES"/>
        </w:rPr>
        <w:instrText>range lead time; therefore, there is a strong demand for this new generation of forecasts. International efforts are under way to identify key sources of predictability, improve forecast skill and operationalize aspects of S2S forecasts; however, challenges remain in advancing this new frontier. If S2S predictions are to be used effectively, it is important that, along with science advances, an effort is made to develop, communicate and apply these forecasts appropriately. In this study, the emerging operational S2S forecasts are presented to the wider weather and climate applications community by undertaking the first comprehensive review of sectoral applications of S2S predictions, including public health, disaster preparedness, water management, energy and agriculture. The value of applications</w:instrText>
      </w:r>
      <w:r w:rsidR="00DD48C7">
        <w:rPr>
          <w:rFonts w:ascii="Cambria Math" w:hAnsi="Cambria Math" w:cs="Cambria Math"/>
          <w:lang w:val="es-ES"/>
        </w:rPr>
        <w:instrText>‐</w:instrText>
      </w:r>
      <w:r w:rsidR="00DD48C7">
        <w:rPr>
          <w:lang w:val="es-ES"/>
        </w:rPr>
        <w:instrText>relevant S2S predictions is explored, and the opportunities and challenges facing their uptake are highlighted. It is shown how social sciences can be integrated with S2S development, from communication to decision</w:instrText>
      </w:r>
      <w:r w:rsidR="00DD48C7">
        <w:rPr>
          <w:rFonts w:ascii="Cambria Math" w:hAnsi="Cambria Math" w:cs="Cambria Math"/>
          <w:lang w:val="es-ES"/>
        </w:rPr>
        <w:instrText>‐</w:instrText>
      </w:r>
      <w:r w:rsidR="00DD48C7">
        <w:rPr>
          <w:lang w:val="es-ES"/>
        </w:rPr>
        <w:instrText>making and valuation of forecasts, to enhance the benefits of ‘climate services’ approaches for extended</w:instrText>
      </w:r>
      <w:r w:rsidR="00DD48C7">
        <w:rPr>
          <w:rFonts w:ascii="Cambria Math" w:hAnsi="Cambria Math" w:cs="Cambria Math"/>
          <w:lang w:val="es-ES"/>
        </w:rPr>
        <w:instrText>‐</w:instrText>
      </w:r>
      <w:r w:rsidR="00DD48C7">
        <w:rPr>
          <w:lang w:val="es-ES"/>
        </w:rPr>
        <w:instrText>range forecasting. While S2S forecasting is at a relatively early stage of development, it is concluded that it presents a significant new window of opportunity that can be explored for application</w:instrText>
      </w:r>
      <w:r w:rsidR="00DD48C7">
        <w:rPr>
          <w:rFonts w:ascii="Cambria Math" w:hAnsi="Cambria Math" w:cs="Cambria Math"/>
          <w:lang w:val="es-ES"/>
        </w:rPr>
        <w:instrText>‐</w:instrText>
      </w:r>
      <w:r w:rsidR="00DD48C7">
        <w:rPr>
          <w:lang w:val="es-ES"/>
        </w:rPr>
        <w:instrText>ready capabilities that could allow many sectors the opportunity to systematically plan on a new time horizon.","author":[{"dropping-particle":"","family":"White","given":"Christopher J.","non-dropping-particle":"","parse-names":false,"suffix":""},{"dropping-particle":"","family":"Carlsen","given":"Henrik","non-dropping-particle":"","parse-names":false,"suffix":""},{"dropping-particle":"","family":"Robertson","given":"Andrew W.","non-dropping-particle":"","parse-names":false,"suffix":""},{"dropping-particle":"","family":"Klein","given":"Richard J.T.","non-dropping-particle":"","parse-names":false,"suffix":""},{"dropping-particle":"","family":"Lazo","given":"Jeffrey K.","non-dropping-particle":"","parse-names":false,"suffix":""},{"dropping-particle":"","family":"Kumar","given":"Arun","non-dropping-particle":"","parse-names":false,"suffix":""},{"dropping-particle":"","family":"Vitart","given":"Frederic","non-dropping-particle":"","parse-names":false,"suffix":""},{"dropping-particle":"","family":"Coughlan de Perez","given":"Erin","non-dropping-particle":"","parse-names":false,"suffix":""},{"dropping-particle":"","family":"Ray","given":"Andrea J.","non-dropping-particle":"","parse-names":false,"suffix":""},{"dropping-particle":"","family":"Murray","given":"Virginia","non-dropping-particle":"","parse-names":false,"suffix":""},{"dropping-particle":"","family":"Bharwani","given":"Sukaina","non-dropping-particle":"","parse-names":false,"suffix":""},{"dropping-particle":"","family":"MacLeod","given":"Dave","non-dropping-particle":"","parse-names":false,"suffix":""},{"dropping-particle":"","family":"James","given":"Rachel","non-dropping-particle":"","parse-names":false,"suffix":""},{"dropping-particle":"","family":"Fleming","given":"Lora","non-dropping-particle":"","parse-names":false,"suffix":""},{"dropping-particle":"","family":"Morse","given":"Andrew P.","non-dropping-particle":"","parse-names":false,"suffix":""},{"dropping-particle":"","family":"Eggen","given":"Bernd","non-dropping-particle":"","parse-names":false,"suffix":""},{"dropping-particle":"","family":"Graham","given":"Richard","non-dropping-particle":"","parse-names":false,"suffix":""},{"dropping-particle":"","family":"Kjellström","given":"Erik","non-dropping-particle":"","parse-names":false,"suffix":""},{"dropping-particle":"","family":"Becker","given":"Emily","non-dropping-particle":"","parse-names":false,"suffix":""},{"dropping-particle":"V.","family":"Pegion","given":"Kathleen","non-dropping-particle":"","parse-names":false,"suffix":""},{"dropping-particle":"","family":"Holbrook","given":"Neil J.","non-dropping-particle":"","parse-names":false,"suffix":""},{"dropping-particle":"","family":"McEvoy","given":"Darryn","non-dropping-particle":"","parse-names":false,"suffix":""},{"dropping-particle":"","family":"Depledge","given":"Michael","non-dropping-particle":"","parse-names":false,"suffix":""},{"dropping-particle":"","family":"Perkins</w:instrText>
      </w:r>
      <w:r w:rsidR="00DD48C7">
        <w:rPr>
          <w:rFonts w:ascii="Cambria Math" w:hAnsi="Cambria Math" w:cs="Cambria Math"/>
          <w:lang w:val="es-ES"/>
        </w:rPr>
        <w:instrText>‐</w:instrText>
      </w:r>
      <w:r w:rsidR="00DD48C7">
        <w:rPr>
          <w:lang w:val="es-ES"/>
        </w:rPr>
        <w:instrText>Kirkpatrick","given":"Sarah","non-dropping-particle":"","parse-names":false,"suffix":""},{"dropping-particle":"","family":"Brown","given":"Timothy J.","non-dropping-particle":"","parse-names":false,"suffix":""},{"dropping-particle":"","family":"Street","given":"Roger","non-dropping-particle":"","parse-names":false,"suffix":""},{"dropping-particle":"","family":"Jones","given":"Lindsey","non-dropping-particle":"","parse-names":false,"suffix":""},{"dropping-particle":"","family":"Remenyi","given":"Tomas A.","non-dropping-particle":"","parse-names":false,"suffix":""},{"dropping-particle":"","family":"Hodgson</w:instrText>
      </w:r>
      <w:r w:rsidR="00DD48C7">
        <w:rPr>
          <w:rFonts w:ascii="Cambria Math" w:hAnsi="Cambria Math" w:cs="Cambria Math"/>
          <w:lang w:val="es-ES"/>
        </w:rPr>
        <w:instrText>‐</w:instrText>
      </w:r>
      <w:r w:rsidR="00DD48C7">
        <w:rPr>
          <w:lang w:val="es-ES"/>
        </w:rPr>
        <w:instrText>Johnston","given":"Indi","non-dropping-particle":"","parse-names":false,"suffix":""},{"dropping-particle":"","family":"Buontempo","given":"Carlo","non-dropping-particle":"","parse-names":false,"suffix":""},{"dropping-particle":"","family":"Lamb","given":"Rob","non-dropping-particle":"","parse-names":false,"suffix":""},{"dropping-particle":"","family":"Meinke","given":"Holger","non-dropping-particle":"","parse-names":false,"suffix":""},{"dropping-particle":"","family":"Arheimer","given":"Berit","non-dropping-particle":"","parse-names":false,"suffix":""},{"dropping-particle":"","family":"Zebiak","given":"Stephen E.","non-dropping-particle":"","parse-names":false,"suffix":""}],"container-title":"Meteorological Applications","id":"ITEM-1","issue":"3","issued":{"date-parts":[["2017","7","6"]]},"page":"315-325","title":"Potential applications of subseasonal</w:instrText>
      </w:r>
      <w:r w:rsidR="00DD48C7">
        <w:rPr>
          <w:rFonts w:ascii="Cambria Math" w:hAnsi="Cambria Math" w:cs="Cambria Math"/>
          <w:lang w:val="es-ES"/>
        </w:rPr>
        <w:instrText>‐</w:instrText>
      </w:r>
      <w:r w:rsidR="00DD48C7">
        <w:rPr>
          <w:lang w:val="es-ES"/>
        </w:rPr>
        <w:instrText>to</w:instrText>
      </w:r>
      <w:r w:rsidR="00DD48C7">
        <w:rPr>
          <w:rFonts w:ascii="Cambria Math" w:hAnsi="Cambria Math" w:cs="Cambria Math"/>
          <w:lang w:val="es-ES"/>
        </w:rPr>
        <w:instrText>‐</w:instrText>
      </w:r>
      <w:r w:rsidR="00DD48C7">
        <w:rPr>
          <w:lang w:val="es-ES"/>
        </w:rPr>
        <w:instrText>seasonal (S2S) predictions","type":"article-journal","volume":"24"},"uris":["http://www.mendeley.com/documents/?uuid=ffd01091-1b23-47d7-820a-e8dca6a0cda5"]},{"id":"ITEM-2","itemData":{"DOI":"10.1017/9781009157896","ISBN":"9781009157896","author":[{"dropping-particle":"","family":"IPCC","given":"","non-dropping-particle":"","parse-names":false,"suffix":""}],"id":"ITEM-2","issued":{"date-parts":[["2021","7","6"]]},"number-of-pages":"2391","publisher":"Cambridge University Press","publisher-place":"Cambriedge, United Kingdom","title":"Climate Change 2021: The Physical Science Basis","type":"book"},"uris":["http://www.mendeley.com/documents/?uuid=a1d7d935-d050-4e44-b880-c330dabbe2fa"]}],"mendeley":{"formattedCitation":"(IPCC, 2021; White et al., 2017)","plainTextFormattedCitation":"(IPCC, 2021; White et al., 2017)","previouslyFormattedCitation":"(IPCC, 2021; White et al., 2017)"},"properties":{"noteIndex":0},"schema":"https://github.com/citation-style-language/schema/raw/master/csl-citation.json"}</w:instrText>
      </w:r>
      <w:r w:rsidR="00C348F9">
        <w:rPr>
          <w:lang w:val="es-ES"/>
        </w:rPr>
        <w:fldChar w:fldCharType="separate"/>
      </w:r>
      <w:r w:rsidR="00C348F9" w:rsidRPr="00C348F9">
        <w:rPr>
          <w:noProof/>
          <w:lang w:val="es-ES"/>
        </w:rPr>
        <w:t>(IPCC, 2021; White et al., 2017)</w:t>
      </w:r>
      <w:r w:rsidR="00C348F9">
        <w:rPr>
          <w:lang w:val="es-ES"/>
        </w:rPr>
        <w:fldChar w:fldCharType="end"/>
      </w:r>
      <w:r w:rsidR="00165B41">
        <w:rPr>
          <w:lang w:val="es-ES"/>
        </w:rPr>
        <w:t>.</w:t>
      </w:r>
      <w:r w:rsidR="00D11BFE">
        <w:rPr>
          <w:lang w:val="es-ES"/>
        </w:rPr>
        <w:t xml:space="preserve"> </w:t>
      </w:r>
      <w:r w:rsidR="00FE7E83">
        <w:rPr>
          <w:lang w:val="es-ES"/>
        </w:rPr>
        <w:t xml:space="preserve">Específicamente, modelos hidrológicos </w:t>
      </w:r>
      <w:r w:rsidR="000628A7">
        <w:rPr>
          <w:lang w:val="es-ES"/>
        </w:rPr>
        <w:t xml:space="preserve">e hidrodinámicos </w:t>
      </w:r>
      <w:r w:rsidR="001E3134">
        <w:rPr>
          <w:lang w:val="es-ES"/>
        </w:rPr>
        <w:t>–</w:t>
      </w:r>
      <w:r w:rsidR="00FF54F1">
        <w:rPr>
          <w:lang w:val="es-ES"/>
        </w:rPr>
        <w:t xml:space="preserve"> forzados con los pronósticos </w:t>
      </w:r>
      <w:r w:rsidR="000D6DAF">
        <w:rPr>
          <w:lang w:val="es-ES"/>
        </w:rPr>
        <w:t>meteorológicos</w:t>
      </w:r>
      <w:r w:rsidR="00381B3F">
        <w:rPr>
          <w:lang w:val="es-ES"/>
        </w:rPr>
        <w:t xml:space="preserve"> </w:t>
      </w:r>
      <w:r w:rsidR="00FF54F1">
        <w:rPr>
          <w:lang w:val="es-ES"/>
        </w:rPr>
        <w:t xml:space="preserve">estacionales, subestacionales o diarios </w:t>
      </w:r>
      <w:r w:rsidR="00E92A0A">
        <w:rPr>
          <w:lang w:val="es-ES"/>
        </w:rPr>
        <w:t>– son</w:t>
      </w:r>
      <w:r w:rsidR="002E3A09">
        <w:rPr>
          <w:lang w:val="es-ES"/>
        </w:rPr>
        <w:t xml:space="preserve"> l</w:t>
      </w:r>
      <w:r w:rsidR="000628A7">
        <w:rPr>
          <w:lang w:val="es-ES"/>
        </w:rPr>
        <w:t>a</w:t>
      </w:r>
      <w:r w:rsidR="002E3A09">
        <w:rPr>
          <w:lang w:val="es-ES"/>
        </w:rPr>
        <w:t xml:space="preserve">s </w:t>
      </w:r>
      <w:r w:rsidR="000628A7">
        <w:rPr>
          <w:lang w:val="es-ES"/>
        </w:rPr>
        <w:t xml:space="preserve">herramientas </w:t>
      </w:r>
      <w:r w:rsidR="002E3A09">
        <w:rPr>
          <w:lang w:val="es-ES"/>
        </w:rPr>
        <w:t xml:space="preserve">que permiten </w:t>
      </w:r>
      <w:r w:rsidR="006E2EF5">
        <w:rPr>
          <w:lang w:val="es-ES"/>
        </w:rPr>
        <w:t xml:space="preserve">analizar </w:t>
      </w:r>
      <w:r w:rsidR="00A55159">
        <w:rPr>
          <w:lang w:val="es-ES"/>
        </w:rPr>
        <w:t xml:space="preserve">la amenaza, </w:t>
      </w:r>
      <w:r w:rsidR="002958D0">
        <w:rPr>
          <w:lang w:val="es-ES"/>
        </w:rPr>
        <w:t xml:space="preserve">la </w:t>
      </w:r>
      <w:r w:rsidR="00A55159">
        <w:rPr>
          <w:lang w:val="es-ES"/>
        </w:rPr>
        <w:t xml:space="preserve">vulnerabilidad y </w:t>
      </w:r>
      <w:r w:rsidR="006E2EF5">
        <w:rPr>
          <w:lang w:val="es-ES"/>
        </w:rPr>
        <w:t>el riesgo</w:t>
      </w:r>
      <w:r w:rsidR="001A3308">
        <w:rPr>
          <w:lang w:val="es-ES"/>
        </w:rPr>
        <w:t xml:space="preserve"> (impactos)</w:t>
      </w:r>
      <w:r w:rsidR="00A55159">
        <w:rPr>
          <w:lang w:val="es-ES"/>
        </w:rPr>
        <w:t>, y</w:t>
      </w:r>
      <w:r w:rsidR="006E2EF5">
        <w:rPr>
          <w:lang w:val="es-ES"/>
        </w:rPr>
        <w:t xml:space="preserve"> </w:t>
      </w:r>
      <w:r w:rsidR="0057681B">
        <w:rPr>
          <w:lang w:val="es-ES"/>
        </w:rPr>
        <w:t>emitir</w:t>
      </w:r>
      <w:r w:rsidR="006E2EF5">
        <w:rPr>
          <w:lang w:val="es-ES"/>
        </w:rPr>
        <w:t xml:space="preserve"> alertas</w:t>
      </w:r>
      <w:r w:rsidR="00F34309">
        <w:rPr>
          <w:lang w:val="es-ES"/>
        </w:rPr>
        <w:t xml:space="preserve"> tempranas</w:t>
      </w:r>
      <w:r w:rsidR="00A55159">
        <w:rPr>
          <w:lang w:val="es-ES"/>
        </w:rPr>
        <w:t>.</w:t>
      </w:r>
    </w:p>
    <w:p w14:paraId="7AA033D3" w14:textId="159E55DB" w:rsidR="003F0764" w:rsidRDefault="00A76B7A" w:rsidP="001A094C">
      <w:pPr>
        <w:spacing w:line="276" w:lineRule="auto"/>
        <w:rPr>
          <w:lang w:val="es-ES"/>
        </w:rPr>
      </w:pPr>
      <w:r>
        <w:rPr>
          <w:lang w:val="es-ES"/>
        </w:rPr>
        <w:lastRenderedPageBreak/>
        <w:t xml:space="preserve">Colombia requiere </w:t>
      </w:r>
      <w:r w:rsidR="00EC76E3">
        <w:rPr>
          <w:lang w:val="es-ES"/>
        </w:rPr>
        <w:t xml:space="preserve">impulsar la </w:t>
      </w:r>
      <w:r>
        <w:rPr>
          <w:lang w:val="es-ES"/>
        </w:rPr>
        <w:t xml:space="preserve">soberanía en la provisión de servicios </w:t>
      </w:r>
      <w:r w:rsidR="000567D0">
        <w:rPr>
          <w:lang w:val="es-ES"/>
        </w:rPr>
        <w:t>climáticos</w:t>
      </w:r>
      <w:r w:rsidR="00531C94">
        <w:rPr>
          <w:lang w:val="es-ES"/>
        </w:rPr>
        <w:t xml:space="preserve">, </w:t>
      </w:r>
      <w:r w:rsidR="005F591E">
        <w:rPr>
          <w:lang w:val="es-ES"/>
        </w:rPr>
        <w:t xml:space="preserve">mediante </w:t>
      </w:r>
      <w:r w:rsidR="00E46A3D">
        <w:rPr>
          <w:lang w:val="es-ES"/>
        </w:rPr>
        <w:t xml:space="preserve">desarrollos propios que </w:t>
      </w:r>
      <w:r w:rsidR="005F591E">
        <w:rPr>
          <w:lang w:val="es-ES"/>
        </w:rPr>
        <w:t>complement</w:t>
      </w:r>
      <w:r w:rsidR="00E46A3D">
        <w:rPr>
          <w:lang w:val="es-ES"/>
        </w:rPr>
        <w:t>en</w:t>
      </w:r>
      <w:r w:rsidR="00EE1228">
        <w:rPr>
          <w:lang w:val="es-ES"/>
        </w:rPr>
        <w:t xml:space="preserve"> </w:t>
      </w:r>
      <w:r w:rsidR="00E46A3D">
        <w:rPr>
          <w:lang w:val="es-ES"/>
        </w:rPr>
        <w:t>las</w:t>
      </w:r>
      <w:r w:rsidR="00EE1228">
        <w:rPr>
          <w:lang w:val="es-ES"/>
        </w:rPr>
        <w:t xml:space="preserve"> herramientas desarrolladas en otros países</w:t>
      </w:r>
      <w:r w:rsidR="00552C77">
        <w:rPr>
          <w:rStyle w:val="Refdenotaalpie"/>
          <w:lang w:val="es-ES"/>
        </w:rPr>
        <w:footnoteReference w:id="1"/>
      </w:r>
      <w:r w:rsidR="00EC76E3">
        <w:rPr>
          <w:lang w:val="es-ES"/>
        </w:rPr>
        <w:t>.</w:t>
      </w:r>
      <w:r w:rsidR="006166A9">
        <w:rPr>
          <w:lang w:val="es-ES"/>
        </w:rPr>
        <w:t xml:space="preserve"> </w:t>
      </w:r>
      <w:r w:rsidR="00347241">
        <w:rPr>
          <w:lang w:val="es-ES"/>
        </w:rPr>
        <w:t>L</w:t>
      </w:r>
      <w:r w:rsidR="00A43C47">
        <w:rPr>
          <w:lang w:val="es-ES"/>
        </w:rPr>
        <w:t xml:space="preserve">a soberanía se </w:t>
      </w:r>
      <w:r w:rsidR="00B9273D">
        <w:rPr>
          <w:lang w:val="es-ES"/>
        </w:rPr>
        <w:t>alcanza a través de</w:t>
      </w:r>
      <w:r w:rsidR="00347241">
        <w:rPr>
          <w:lang w:val="es-ES"/>
        </w:rPr>
        <w:t xml:space="preserve">l uso </w:t>
      </w:r>
      <w:r w:rsidR="00322C47">
        <w:rPr>
          <w:lang w:val="es-ES"/>
        </w:rPr>
        <w:t xml:space="preserve">competente </w:t>
      </w:r>
      <w:r w:rsidR="00D21FAF">
        <w:rPr>
          <w:lang w:val="es-ES"/>
        </w:rPr>
        <w:t>de las herramientas</w:t>
      </w:r>
      <w:r w:rsidR="00CF1B1A">
        <w:rPr>
          <w:lang w:val="es-ES"/>
        </w:rPr>
        <w:t xml:space="preserve"> por</w:t>
      </w:r>
      <w:r w:rsidR="00D21FAF">
        <w:rPr>
          <w:lang w:val="es-ES"/>
        </w:rPr>
        <w:t xml:space="preserve"> parte de</w:t>
      </w:r>
      <w:r w:rsidR="000567D0">
        <w:rPr>
          <w:lang w:val="es-ES"/>
        </w:rPr>
        <w:t xml:space="preserve"> la sociedad civil</w:t>
      </w:r>
      <w:r w:rsidR="003901A3">
        <w:rPr>
          <w:lang w:val="es-ES"/>
        </w:rPr>
        <w:t>,</w:t>
      </w:r>
      <w:r w:rsidR="00CF1B1A">
        <w:rPr>
          <w:lang w:val="es-ES"/>
        </w:rPr>
        <w:t xml:space="preserve"> </w:t>
      </w:r>
      <w:r w:rsidR="005364BC">
        <w:rPr>
          <w:lang w:val="es-ES"/>
        </w:rPr>
        <w:t>que incluye</w:t>
      </w:r>
      <w:r w:rsidR="00B818A5">
        <w:rPr>
          <w:lang w:val="es-ES"/>
        </w:rPr>
        <w:t>:</w:t>
      </w:r>
      <w:r w:rsidR="00500ED4">
        <w:rPr>
          <w:lang w:val="es-ES"/>
        </w:rPr>
        <w:t xml:space="preserve"> </w:t>
      </w:r>
      <w:r w:rsidR="005364BC">
        <w:rPr>
          <w:lang w:val="es-ES"/>
        </w:rPr>
        <w:t>estudiantes</w:t>
      </w:r>
      <w:r w:rsidR="0049349C">
        <w:rPr>
          <w:lang w:val="es-ES"/>
        </w:rPr>
        <w:t xml:space="preserve"> de pregrado y posgrado</w:t>
      </w:r>
      <w:r w:rsidR="00C30117">
        <w:rPr>
          <w:lang w:val="es-ES"/>
        </w:rPr>
        <w:t xml:space="preserve">, ingenieros que requieran actualizar sus </w:t>
      </w:r>
      <w:r w:rsidR="00F6016A">
        <w:rPr>
          <w:lang w:val="es-ES"/>
        </w:rPr>
        <w:t>conocimientos</w:t>
      </w:r>
      <w:r w:rsidR="00814B9F">
        <w:rPr>
          <w:lang w:val="es-ES"/>
        </w:rPr>
        <w:t xml:space="preserve"> (diplomados)</w:t>
      </w:r>
      <w:r w:rsidR="00812BE5">
        <w:rPr>
          <w:lang w:val="es-ES"/>
        </w:rPr>
        <w:t>,</w:t>
      </w:r>
      <w:r w:rsidR="00F6016A">
        <w:rPr>
          <w:lang w:val="es-ES"/>
        </w:rPr>
        <w:t xml:space="preserve"> o particulares que busquen </w:t>
      </w:r>
      <w:r w:rsidR="00054C58">
        <w:rPr>
          <w:lang w:val="es-ES"/>
        </w:rPr>
        <w:t xml:space="preserve">actualizar su conocimiento </w:t>
      </w:r>
      <w:r w:rsidR="00F35961">
        <w:rPr>
          <w:lang w:val="es-ES"/>
        </w:rPr>
        <w:t>(</w:t>
      </w:r>
      <w:r w:rsidR="00F1456A">
        <w:rPr>
          <w:lang w:val="es-ES"/>
        </w:rPr>
        <w:t xml:space="preserve">ver sección de </w:t>
      </w:r>
      <w:hyperlink w:anchor="_Propuesta_del_componente" w:history="1">
        <w:r w:rsidR="00F1456A" w:rsidRPr="00F1456A">
          <w:rPr>
            <w:rStyle w:val="Hipervnculo"/>
            <w:lang w:val="es-ES"/>
          </w:rPr>
          <w:t>docencia</w:t>
        </w:r>
      </w:hyperlink>
      <w:r w:rsidR="00F1456A">
        <w:rPr>
          <w:lang w:val="es-ES"/>
        </w:rPr>
        <w:t xml:space="preserve"> y </w:t>
      </w:r>
      <w:hyperlink w:anchor="_Propuesta_del_componente_1" w:history="1">
        <w:r w:rsidR="00F1456A" w:rsidRPr="00AB2AF3">
          <w:rPr>
            <w:rStyle w:val="Hipervnculo"/>
            <w:lang w:val="es-ES"/>
          </w:rPr>
          <w:t>extensión</w:t>
        </w:r>
      </w:hyperlink>
      <w:r w:rsidR="00F35961">
        <w:rPr>
          <w:lang w:val="es-ES"/>
        </w:rPr>
        <w:t>)</w:t>
      </w:r>
      <w:r w:rsidR="00606B90">
        <w:rPr>
          <w:lang w:val="es-ES"/>
        </w:rPr>
        <w:t xml:space="preserve">. </w:t>
      </w:r>
      <w:r w:rsidR="00B6203B">
        <w:rPr>
          <w:lang w:val="es-ES"/>
        </w:rPr>
        <w:t>G</w:t>
      </w:r>
      <w:r w:rsidR="00BA15DE">
        <w:rPr>
          <w:lang w:val="es-ES"/>
        </w:rPr>
        <w:t xml:space="preserve">remios y asociaciones de diversos </w:t>
      </w:r>
      <w:r w:rsidR="002063DF">
        <w:rPr>
          <w:lang w:val="es-ES"/>
        </w:rPr>
        <w:t xml:space="preserve">sectores económicos </w:t>
      </w:r>
      <w:r w:rsidR="00B6203B">
        <w:rPr>
          <w:lang w:val="es-ES"/>
        </w:rPr>
        <w:t xml:space="preserve">también </w:t>
      </w:r>
      <w:r w:rsidR="009B40FA">
        <w:rPr>
          <w:lang w:val="es-ES"/>
        </w:rPr>
        <w:t xml:space="preserve">están interesados en servicios climáticos que pueden ser provistos </w:t>
      </w:r>
      <w:r w:rsidR="00BF52A5">
        <w:rPr>
          <w:lang w:val="es-ES"/>
        </w:rPr>
        <w:t>a través de proyectos de extensión</w:t>
      </w:r>
      <w:r w:rsidR="007D719D">
        <w:rPr>
          <w:lang w:val="es-ES"/>
        </w:rPr>
        <w:t>, p.ej. compañías energéticas, gremios agricultores</w:t>
      </w:r>
      <w:r w:rsidR="00532FB0">
        <w:rPr>
          <w:lang w:val="es-ES"/>
        </w:rPr>
        <w:t>, etc</w:t>
      </w:r>
      <w:r w:rsidR="00F6016A">
        <w:rPr>
          <w:lang w:val="es-ES"/>
        </w:rPr>
        <w:t>.</w:t>
      </w:r>
      <w:r w:rsidR="00D9295F">
        <w:rPr>
          <w:lang w:val="es-ES"/>
        </w:rPr>
        <w:t xml:space="preserve"> El desarrollo de herramientas </w:t>
      </w:r>
      <w:r w:rsidR="00A94DB8">
        <w:rPr>
          <w:lang w:val="es-ES"/>
        </w:rPr>
        <w:t xml:space="preserve">confiables </w:t>
      </w:r>
      <w:r w:rsidR="00852A55">
        <w:rPr>
          <w:lang w:val="es-ES"/>
        </w:rPr>
        <w:t xml:space="preserve">requiere </w:t>
      </w:r>
      <w:r w:rsidR="00162DAB">
        <w:rPr>
          <w:lang w:val="es-ES"/>
        </w:rPr>
        <w:t>previamente</w:t>
      </w:r>
      <w:r w:rsidR="00852A55">
        <w:rPr>
          <w:lang w:val="es-ES"/>
        </w:rPr>
        <w:t xml:space="preserve"> investigar </w:t>
      </w:r>
      <w:r w:rsidR="00052B17">
        <w:rPr>
          <w:lang w:val="es-ES"/>
        </w:rPr>
        <w:t>varios</w:t>
      </w:r>
      <w:r w:rsidR="00ED032D">
        <w:rPr>
          <w:lang w:val="es-ES"/>
        </w:rPr>
        <w:t xml:space="preserve"> fenómenos </w:t>
      </w:r>
      <w:r w:rsidR="001A094C">
        <w:rPr>
          <w:lang w:val="es-ES"/>
        </w:rPr>
        <w:t>modula</w:t>
      </w:r>
      <w:r w:rsidR="00ED032D">
        <w:rPr>
          <w:lang w:val="es-ES"/>
        </w:rPr>
        <w:t xml:space="preserve">dores o controladores </w:t>
      </w:r>
      <w:r w:rsidR="000D3D4C">
        <w:rPr>
          <w:lang w:val="es-ES"/>
        </w:rPr>
        <w:t xml:space="preserve">de la variabilidad </w:t>
      </w:r>
      <w:r w:rsidR="008B7DD1">
        <w:rPr>
          <w:lang w:val="es-ES"/>
        </w:rPr>
        <w:t>climática</w:t>
      </w:r>
      <w:r w:rsidR="000A124F">
        <w:rPr>
          <w:lang w:val="es-ES"/>
        </w:rPr>
        <w:t xml:space="preserve"> </w:t>
      </w:r>
      <w:r w:rsidR="00E653E6">
        <w:rPr>
          <w:lang w:val="es-ES"/>
        </w:rPr>
        <w:t xml:space="preserve">para predecir diversas escalas </w:t>
      </w:r>
      <w:r w:rsidR="000A124F">
        <w:rPr>
          <w:lang w:val="es-ES"/>
        </w:rPr>
        <w:t>(</w:t>
      </w:r>
      <w:r w:rsidR="00946797">
        <w:rPr>
          <w:lang w:val="es-ES"/>
        </w:rPr>
        <w:t xml:space="preserve">oscilaciones de </w:t>
      </w:r>
      <w:r w:rsidR="00E33C88">
        <w:rPr>
          <w:lang w:val="es-ES"/>
        </w:rPr>
        <w:t>Madden-Juli</w:t>
      </w:r>
      <w:r w:rsidR="005B2343">
        <w:rPr>
          <w:lang w:val="es-ES"/>
        </w:rPr>
        <w:t>a</w:t>
      </w:r>
      <w:r w:rsidR="00E33C88">
        <w:rPr>
          <w:lang w:val="es-ES"/>
        </w:rPr>
        <w:t>n</w:t>
      </w:r>
      <w:r w:rsidR="00115CD8">
        <w:rPr>
          <w:lang w:val="es-ES"/>
        </w:rPr>
        <w:t xml:space="preserve"> </w:t>
      </w:r>
      <w:r w:rsidR="0088471D">
        <w:rPr>
          <w:lang w:val="es-ES"/>
        </w:rPr>
        <w:t>–</w:t>
      </w:r>
      <w:r w:rsidR="00115CD8">
        <w:rPr>
          <w:lang w:val="es-ES"/>
        </w:rPr>
        <w:t xml:space="preserve"> MJO</w:t>
      </w:r>
      <w:r w:rsidR="0088471D">
        <w:rPr>
          <w:lang w:val="es-ES"/>
        </w:rPr>
        <w:t xml:space="preserve"> y</w:t>
      </w:r>
      <w:r w:rsidR="00946797">
        <w:rPr>
          <w:lang w:val="es-ES"/>
        </w:rPr>
        <w:t xml:space="preserve"> </w:t>
      </w:r>
      <w:r w:rsidR="009436E1">
        <w:rPr>
          <w:lang w:val="es-ES"/>
        </w:rPr>
        <w:t>océano-atmos</w:t>
      </w:r>
      <w:r w:rsidR="0088471D">
        <w:rPr>
          <w:lang w:val="es-ES"/>
        </w:rPr>
        <w:t xml:space="preserve">féricas, </w:t>
      </w:r>
      <w:r w:rsidR="00DD1DC0">
        <w:rPr>
          <w:lang w:val="es-ES"/>
        </w:rPr>
        <w:t>modo meridional del Atlántico, etc.</w:t>
      </w:r>
      <w:r w:rsidR="000A124F">
        <w:rPr>
          <w:lang w:val="es-ES"/>
        </w:rPr>
        <w:t>)</w:t>
      </w:r>
      <w:r w:rsidR="00FF3BD7">
        <w:rPr>
          <w:lang w:val="es-ES"/>
        </w:rPr>
        <w:t xml:space="preserve"> </w:t>
      </w:r>
      <w:r w:rsidR="00005A3C">
        <w:rPr>
          <w:lang w:val="es-ES"/>
        </w:rPr>
        <w:fldChar w:fldCharType="begin" w:fldLock="1"/>
      </w:r>
      <w:r w:rsidR="00F34C5B">
        <w:rPr>
          <w:lang w:val="es-ES"/>
        </w:rPr>
        <w:instrText>ADDIN CSL_CITATION {"citationItems":[{"id":"ITEM-1","itemData":{"DOI":"10.1002/2017GL075483","ISSN":"19448007","abstract":"This paper synthesizes and summarizes atmospheric variability on time scales from seconds to decades through a phenomenological census. We focus mainly on unforced variability in the troposphere, stratosphere, and mesosphere. In addition to atmosphere-only modes, our scope also includes coupled modes, in which the atmosphere interacts with the other components of the Earth system, such as the ocean, hydrosphere, and cryosphere. The topics covered include turbulence on time scales of seconds and minutes, gravity waves on time scales of hours, weather systems on time scales of days, atmospheric blocking on time scales of weeks, the Madden–Julian Oscillation on time scales of months, the Quasi-Biennial Oscillation and El Niño–Southern Oscillation on time scales of years, and the North Atlantic, Arctic, Antarctic, Pacific Decadal, and Atlantic Multidecadal Oscillations on time scales of decades. The paper serves as an introduction to a special collection of Geophysical Research Letters on atmospheric variability. We hope that both this paper and the collection will serve as a useful resource for the atmospheric science community and will act as inspiration for setting future research directions.","author":[{"dropping-particle":"","family":"Williams","given":"Paul D.","non-dropping-particle":"","parse-names":false,"suffix":""},{"dropping-particle":"","family":"Alexander","given":"M. Joan","non-dropping-particle":"","parse-names":false,"suffix":""},{"dropping-particle":"","family":"Barnes","given":"Elizabeth A.","non-dropping-particle":"","parse-names":false,"suffix":""},{"dropping-particle":"","family":"Butler","given":"Amy H.","non-dropping-particle":"","parse-names":false,"suffix":""},{"dropping-particle":"","family":"Davies","given":"Huw C.","non-dropping-particle":"","parse-names":false,"suffix":""},{"dropping-particle":"","family":"Garfinkel","given":"Chaim I.","non-dropping-particle":"","parse-names":false,"suffix":""},{"dropping-particle":"","family":"Kushnir","given":"Yochanan","non-dropping-particle":"","parse-names":false,"suffix":""},{"dropping-particle":"","family":"Lane","given":"Todd P.","non-dropping-particle":"","parse-names":false,"suffix":""},{"dropping-particle":"","family":"Lundquist","given":"Julie K.","non-dropping-particle":"","parse-names":false,"suffix":""},{"dropping-particle":"","family":"Martius","given":"Olivia","non-dropping-particle":"","parse-names":false,"suffix":""},{"dropping-particle":"","family":"Maue","given":"Ryan N.","non-dropping-particle":"","parse-names":false,"suffix":""},{"dropping-particle":"","family":"Peltier","given":"W. Richard","non-dropping-particle":"","parse-names":false,"suffix":""},{"dropping-particle":"","family":"Sato","given":"Kaoru","non-dropping-particle":"","parse-names":false,"suffix":""},{"dropping-particle":"","family":"Scaife","given":"Adam A.","non-dropping-particle":"","parse-names":false,"suffix":""},{"dropping-particle":"","family":"Zhang","given":"Chidong","non-dropping-particle":"","parse-names":false,"suffix":""}],"container-title":"Geophysical Research Letters","id":"ITEM-1","issue":"21","issued":{"date-parts":[["2017"]]},"page":"11,201-11,211","title":"A Census of Atmospheric Variability From Seconds to Decades","type":"article-journal","volume":"44"},"uris":["http://www.mendeley.com/documents/?uuid=828da110-7a83-416d-835f-9d9dd5a3dfaf"]},{"id":"ITEM-2","itemData":{"DOI":"10.1007/978-3-319-19042-6","ISBN":"978-3-319-19041-9","author":[{"dropping-particle":"","family":"Brönnimann","given":"Stefan","non-dropping-particle":"","parse-names":false,"suffix":""}],"collection-title":"Advances in Global Change Research","id":"ITEM-2","issued":{"date-parts":[["2015"]]},"publisher":"Springer International Publishing","publisher-place":"Cham","title":"Climatic Changes Since 1700","type":"book","volume":"55"},"uris":["http://www.mendeley.com/documents/?uuid=3c2c5ef8-6391-4e34-a6d7-3ff17dd78fd4"]}],"mendeley":{"formattedCitation":"(Brönnimann, 2015; Williams et al., 2017)","plainTextFormattedCitation":"(Brönnimann, 2015; Williams et al., 2017)","previouslyFormattedCitation":"(Brönnimann, 2015; Williams et al., 2017)"},"properties":{"noteIndex":0},"schema":"https://github.com/citation-style-language/schema/raw/master/csl-citation.json"}</w:instrText>
      </w:r>
      <w:r w:rsidR="00005A3C">
        <w:rPr>
          <w:lang w:val="es-ES"/>
        </w:rPr>
        <w:fldChar w:fldCharType="separate"/>
      </w:r>
      <w:r w:rsidR="00005A3C" w:rsidRPr="00005A3C">
        <w:rPr>
          <w:noProof/>
          <w:lang w:val="es-ES"/>
        </w:rPr>
        <w:t>(Brönnimann, 2015; Williams et al., 2017)</w:t>
      </w:r>
      <w:r w:rsidR="00005A3C">
        <w:rPr>
          <w:lang w:val="es-ES"/>
        </w:rPr>
        <w:fldChar w:fldCharType="end"/>
      </w:r>
      <w:r w:rsidR="00052B17">
        <w:rPr>
          <w:lang w:val="es-ES"/>
        </w:rPr>
        <w:t xml:space="preserve"> </w:t>
      </w:r>
      <w:r w:rsidR="00E1207F">
        <w:rPr>
          <w:lang w:val="es-ES"/>
        </w:rPr>
        <w:t xml:space="preserve">(ver sección de </w:t>
      </w:r>
      <w:hyperlink w:anchor="_Propuesta_del_componente_2" w:history="1">
        <w:r w:rsidR="00E1207F" w:rsidRPr="00085167">
          <w:rPr>
            <w:rStyle w:val="Hipervnculo"/>
            <w:lang w:val="es-ES"/>
          </w:rPr>
          <w:t>investigación</w:t>
        </w:r>
      </w:hyperlink>
      <w:r w:rsidR="00E1207F">
        <w:rPr>
          <w:lang w:val="es-ES"/>
        </w:rPr>
        <w:t>)</w:t>
      </w:r>
      <w:r w:rsidR="004C7E2A">
        <w:rPr>
          <w:lang w:val="es-ES"/>
        </w:rPr>
        <w:t>.</w:t>
      </w:r>
      <w:r w:rsidR="006428D1">
        <w:rPr>
          <w:lang w:val="es-ES"/>
        </w:rPr>
        <w:t xml:space="preserve"> </w:t>
      </w:r>
      <w:r w:rsidR="00C14410">
        <w:rPr>
          <w:lang w:val="es-ES"/>
        </w:rPr>
        <w:t xml:space="preserve">Recientemente, se han identificado los </w:t>
      </w:r>
      <w:r w:rsidR="003A38AF">
        <w:rPr>
          <w:lang w:val="es-ES"/>
        </w:rPr>
        <w:t>impact</w:t>
      </w:r>
      <w:r w:rsidR="00C14410">
        <w:rPr>
          <w:lang w:val="es-ES"/>
        </w:rPr>
        <w:t xml:space="preserve">os </w:t>
      </w:r>
      <w:r w:rsidR="00885B58">
        <w:rPr>
          <w:lang w:val="es-ES"/>
        </w:rPr>
        <w:t xml:space="preserve">de </w:t>
      </w:r>
      <w:r w:rsidR="00C14410">
        <w:rPr>
          <w:lang w:val="es-ES"/>
        </w:rPr>
        <w:t>v</w:t>
      </w:r>
      <w:r w:rsidR="004C13C4">
        <w:rPr>
          <w:lang w:val="es-ES"/>
        </w:rPr>
        <w:t xml:space="preserve">arios </w:t>
      </w:r>
      <w:r w:rsidR="00C14410">
        <w:rPr>
          <w:lang w:val="es-ES"/>
        </w:rPr>
        <w:t xml:space="preserve">fenómenos </w:t>
      </w:r>
      <w:r w:rsidR="00885B58">
        <w:rPr>
          <w:lang w:val="es-ES"/>
        </w:rPr>
        <w:t xml:space="preserve">que </w:t>
      </w:r>
      <w:r w:rsidR="003A38AF">
        <w:rPr>
          <w:lang w:val="es-ES"/>
        </w:rPr>
        <w:t xml:space="preserve">anteriormente no se reconocían como controladores </w:t>
      </w:r>
      <w:r w:rsidR="0001437D">
        <w:rPr>
          <w:lang w:val="es-ES"/>
        </w:rPr>
        <w:t xml:space="preserve">de la hidroclimatología en Suramérica </w:t>
      </w:r>
      <w:r w:rsidR="00A2215F">
        <w:rPr>
          <w:lang w:val="es-ES"/>
        </w:rPr>
        <w:fldChar w:fldCharType="begin" w:fldLock="1"/>
      </w:r>
      <w:r w:rsidR="006E1F7A">
        <w:rPr>
          <w:lang w:val="es-ES"/>
        </w:rPr>
        <w:instrText>ADDIN CSL_CITATION {"citationItems":[{"id":"ITEM-1","itemData":{"DOI":"10.1002/joc.8848","ISSN":"0899-8418","abstract":"We examine the influence of intraseasonal variability (10–90 days) on hydroclimatic variables across Northern South America, Central America and Mexico. This variability is driven by planetary and tropical oscillations, including Kelvin waves, Tropical Easterly Waves, Mixed Rossby</w:instrText>
      </w:r>
      <w:r w:rsidR="006E1F7A">
        <w:rPr>
          <w:rFonts w:ascii="Cambria Math" w:hAnsi="Cambria Math" w:cs="Cambria Math"/>
          <w:lang w:val="es-ES"/>
        </w:rPr>
        <w:instrText>‐</w:instrText>
      </w:r>
      <w:r w:rsidR="006E1F7A">
        <w:rPr>
          <w:lang w:val="es-ES"/>
        </w:rPr>
        <w:instrText>Gravity Waves and the Madden</w:instrText>
      </w:r>
      <w:r w:rsidR="006E1F7A">
        <w:rPr>
          <w:rFonts w:cs="Arial Narrow"/>
          <w:lang w:val="es-ES"/>
        </w:rPr>
        <w:instrText>–</w:instrText>
      </w:r>
      <w:r w:rsidR="006E1F7A">
        <w:rPr>
          <w:lang w:val="es-ES"/>
        </w:rPr>
        <w:instrText>Julian oscillation, all of which display distinct signals in the wavenumber</w:instrText>
      </w:r>
      <w:r w:rsidR="006E1F7A">
        <w:rPr>
          <w:rFonts w:cs="Arial Narrow"/>
          <w:lang w:val="es-ES"/>
        </w:rPr>
        <w:instrText>–</w:instrText>
      </w:r>
      <w:r w:rsidR="006E1F7A">
        <w:rPr>
          <w:lang w:val="es-ES"/>
        </w:rPr>
        <w:instrText>frequency power spectra. Our findings reveal that intraseasonal variability accounts for 10%–35% of the total variance, depending on the specific location, with Kelvin waves being the largest contributors to the outgoing longwave radiation variance in the study region. Additionally, we observed positive and negative precipitation anomalies across the region associated with each oscillatory process, which can be linked to anomalies in moisture transport and convection within the atmospheric column. The Madden–Julian oscillation contributes 10%–12% of precipitation over continental areas, while Tropical Easterly Waves and Mixed Rossby</w:instrText>
      </w:r>
      <w:r w:rsidR="006E1F7A">
        <w:rPr>
          <w:rFonts w:ascii="Cambria Math" w:hAnsi="Cambria Math" w:cs="Cambria Math"/>
          <w:lang w:val="es-ES"/>
        </w:rPr>
        <w:instrText>‐</w:instrText>
      </w:r>
      <w:r w:rsidR="006E1F7A">
        <w:rPr>
          <w:lang w:val="es-ES"/>
        </w:rPr>
        <w:instrText>Gravity waves account for approximately 40% of the precipitation over the continent. These findings offer new insights into the spatial and temporal patterns within the region. A deeper understanding, diagnosis and prediction of this timescale are crucial for economic sectors such as agriculture, energy generation, risk management and water resources.","author":[{"dropping-particle":"","family":"Builes</w:instrText>
      </w:r>
      <w:r w:rsidR="006E1F7A">
        <w:rPr>
          <w:rFonts w:ascii="Cambria Math" w:hAnsi="Cambria Math" w:cs="Cambria Math"/>
          <w:lang w:val="es-ES"/>
        </w:rPr>
        <w:instrText>‐</w:instrText>
      </w:r>
      <w:r w:rsidR="006E1F7A">
        <w:rPr>
          <w:lang w:val="es-ES"/>
        </w:rPr>
        <w:instrText>Jaramillo","given":"Alejandro","non-dropping-particle":"","parse-names":false,"suffix":""},{"dropping-particle":"","family":"Yepes","given":"Johanna","non-dropping-particle":"","parse-names":false,"suffix":""},{"dropping-particle":"","family":"Salas","given":"Hern</w:instrText>
      </w:r>
      <w:r w:rsidR="006E1F7A">
        <w:rPr>
          <w:rFonts w:cs="Arial Narrow"/>
          <w:lang w:val="es-ES"/>
        </w:rPr>
        <w:instrText>á</w:instrText>
      </w:r>
      <w:r w:rsidR="006E1F7A">
        <w:rPr>
          <w:lang w:val="es-ES"/>
        </w:rPr>
        <w:instrText>n D.","non-dropping-particle":"","parse-names":false,"suffix":""},{"dropping-particle":"","family":"Bedoya</w:instrText>
      </w:r>
      <w:r w:rsidR="006E1F7A">
        <w:rPr>
          <w:rFonts w:ascii="Cambria Math" w:hAnsi="Cambria Math" w:cs="Cambria Math"/>
          <w:lang w:val="es-ES"/>
        </w:rPr>
        <w:instrText>‐</w:instrText>
      </w:r>
      <w:r w:rsidR="006E1F7A">
        <w:rPr>
          <w:lang w:val="es-ES"/>
        </w:rPr>
        <w:instrText>Soto","given":"Juan M.","non-dropping-particle":"","parse-names":false,"suffix":""},{"dropping-particle":"","family":"Rivera","given":"Paris","non-dropping-particle":"","parse-names":false,"suffix":""},{"dropping-particle":"","family":"Valencia","given":"Juliana","non-dropping-particle":"","parse-names":false,"suffix":""},{"dropping-particle":"","family":"Carmona","given":"Alejandra M","non-dropping-particle":"","parse-names":false,"suffix":""}],"container-title":"International Journal of Climatology","id":"ITEM-1","issued":{"date-parts":[["2025","4"]]},"page":"1-17","title":"Intraseasonal Oscillations and Hydroclimate of Northern South America, Central America and Mexico","type":"article-journal"},"uris":["http://www.mendeley.com/documents/?uuid=082c0221-0656-4137-8d32-7cca589cb72e"]},{"id":"ITEM-2","itemData":{"DOI":"10.1007/s00382-023-07028-7","ISBN":"0123456789","ISSN":"0930-7575","abstract":"This study focuses on the analysis of the simulation of the main climatological features of the Orinoco low-level jet (OLLJ) by a set of models included in the Sixth Phase of the Coupled Model Intercomparison Project (CMIP6) and their projected changes under three Shared Socioeconomic Pathways (SSPs): SSP2-4.5, SSP3-7.0, and SSP5-8.5. We consider the 1979–2014 period to evaluate the historical simulations using the ERA5 reanalysis as the reference dataset. In general, CMIP6 models are able to capture the activation of the OLLJ during December-January–February (DJF) in the Orinoco basin, as well as the main links between this circulation and low-level moisture transport patterns in northern South America. Regarding the analysis of projections, CMIP6 models suggest a weakening and shrinking of the OLLJ, especially in its exit region, by the end of the twenty-first century, which in turn induces changes in atmospheric moisture transport patterns in the region during DJF. The projected changes of the OLLJ are associated with variations in the regional gradients of mean sea level pressure, near-surface air temperature, and surface sensible heat flux in association with drier conditions in the Orinoco basin. These projections are consistent with previous studies suggesting a drier Orinoco river basin throughout the twenty-first century. Assessing the projected changes of this low-level jet in northern South America improves our understanding of the different phenomena that modulate atmospheric moisture transport in the region, which is particularly important given its high vulnerability to climate change.","author":[{"dropping-particle":"","family":"Correa","given":"Isabel C","non-dropping-particle":"","parse-names":false,"suffix":""},{"dropping-particle":"","family":"Arias","given":"Paola A","non-dropping-particle":"","parse-names":false,"suffix":""},{"dropping-particle":"","family":"Vieira","given":"Sara C","non-dropping-particle":"","parse-names":false,"suffix":""},{"dropping-particle":"","family":"Martínez","given":"J Alejandro","non-dropping-particle":"","parse-names":false,"suffix":""}],"container-title":"Climate Dynamics","id":"ITEM-2","issue":"0123456789","issued":{"date-parts":[["2024","1","4"]]},"publisher":"Springer Berlin Heidelberg","title":"A drier Orinoco basin during the twenty-first century: the role of the Orinoco low-level jet","type":"article-journal"},"uris":["http://www.mendeley.com/documents/?uuid=168b06c5-f493-4112-9d16-13ce6878388b"]},{"id":"ITEM-3","itemData":{"DOI":"10.5194/hess-29-3277-2025","ISSN":"1607-7938","abstract":"Abstract. Tropical South America's hydroclimate is influenced by ocean–atmospheric variability modes (drivers of climate variability). It is still not known which physical mechanisms teleconnect the Atlantic modes of variability with South America's soil moisture, net radiation, and terrestrial evaporation (evapotranspiration). Understanding these mechanisms is essential to predict the response of ecosystems. This study uses composites of reanalysis and satellite data to identify the processes linking land–surface anomalies and ocean–atmospheric modes. It estimates the control soil moisture and net radiation impose on evapotranspiration (categorised as water- or energy-limited regimes). It shows that these two local controllers of evapotranspiration are influenced by the position of the Intertropical Convergence Zone (ITCZ). However, the evapotranspiration anomalies are driven by the phase of each climate mode, which alter water and radiation availability. The Atlantic Meridional Mode (AMM) generates cross-equatorial wind anomalies that affect moisture convergence, which in turn modify the cloud cover, precipitation, soil moisture, radiation availability, and hence evapotranspiration. The anomalies have important geographical differences depending on the season analysed; they migrate from the east in austral autumn towards the central Amazon and western Orinoco in austral spring. The Atlantic Niño Equatorial mode (Atl3) affects evapotranspiration in the Guianas and eastern Orinoco by means of pressure and trade wind variability, which in turn affect local hydrometeorological conditions and evapotranspiration. Both Atlantic modes mainly impact regions different from those impacted by El Niño–Southern Oscillation (ENSO), although northeast Brazil and the Guianas might experience overlapping effects. Therefore, these ocean–atmospheric modes impact the water, energy, and carbon cycles; they might influence regional climate extremes (e.g. droughts and floods); and they are critical for achieving sustainable development goals (SDGs).","author":[{"dropping-particle":"","family":"Duque-Gardeazabal","given":"Nicolás","non-dropping-particle":"","parse-names":false,"suffix":""},{"dropping-particle":"","family":"Friedman","given":"Andrew R.","non-dropping-particle":"","parse-names":false,"suffix":""},{"dropping-particle":"","family":"Brönnimann","given":"Stefan","non-dropping-particle":"","parse-names":false,"suffix":""}],"container-title":"Hydrology and Earth System Sciences","id":"ITEM-3","issue":"14","issued":{"date-parts":[["2025","7","28"]]},"page":"3277-3295","title":"An Atlantic influence on evapotranspiration in the Orinoco and Amazon basins","type":"article-journal","volume":"29"},"uris":["http://www.mendeley.com/documents/?uuid=a7c9fe76-446d-4196-a609-c9831531beb9"]}],"mendeley":{"formattedCitation":"(Builes</w:instrText>
      </w:r>
      <w:r w:rsidR="006E1F7A">
        <w:rPr>
          <w:rFonts w:ascii="Cambria Math" w:hAnsi="Cambria Math" w:cs="Cambria Math"/>
          <w:lang w:val="es-ES"/>
        </w:rPr>
        <w:instrText>‐</w:instrText>
      </w:r>
      <w:r w:rsidR="006E1F7A">
        <w:rPr>
          <w:lang w:val="es-ES"/>
        </w:rPr>
        <w:instrText>Jaramillo et al., 2025; Correa et al., 2024; Duque-Gardeazabal, Friedman, et al., 2025)","manualFormatting":"(Builes</w:instrText>
      </w:r>
      <w:r w:rsidR="006E1F7A">
        <w:rPr>
          <w:rFonts w:ascii="Cambria Math" w:hAnsi="Cambria Math" w:cs="Cambria Math"/>
          <w:lang w:val="es-ES"/>
        </w:rPr>
        <w:instrText>‐</w:instrText>
      </w:r>
      <w:r w:rsidR="006E1F7A">
        <w:rPr>
          <w:lang w:val="es-ES"/>
        </w:rPr>
        <w:instrText>Jaramillo et al., 2025; Correa et al., 2024; Duque-Gardeazabal, Friedman, et al., 2025)","plainTextFormattedCitation":"(Builes</w:instrText>
      </w:r>
      <w:r w:rsidR="006E1F7A">
        <w:rPr>
          <w:rFonts w:ascii="Cambria Math" w:hAnsi="Cambria Math" w:cs="Cambria Math"/>
          <w:lang w:val="es-ES"/>
        </w:rPr>
        <w:instrText>‐</w:instrText>
      </w:r>
      <w:r w:rsidR="006E1F7A">
        <w:rPr>
          <w:lang w:val="es-ES"/>
        </w:rPr>
        <w:instrText>Jaramillo et al., 2025; Correa et al., 2024; Duque-Gardeazabal, Friedman, et al., 2025)","previouslyFormattedCitation":"(Builes</w:instrText>
      </w:r>
      <w:r w:rsidR="006E1F7A">
        <w:rPr>
          <w:rFonts w:ascii="Cambria Math" w:hAnsi="Cambria Math" w:cs="Cambria Math"/>
          <w:lang w:val="es-ES"/>
        </w:rPr>
        <w:instrText>‐</w:instrText>
      </w:r>
      <w:r w:rsidR="006E1F7A">
        <w:rPr>
          <w:lang w:val="es-ES"/>
        </w:rPr>
        <w:instrText>Jaramillo et al., 2025; Correa et al., 2024; Duque-Gardeazabal, Friedman, et al., 2025)"},"properties":{"noteIndex":0},"schema":"https://github.com/citation-style-language/schema/raw/master/csl-citation.json"}</w:instrText>
      </w:r>
      <w:r w:rsidR="00A2215F">
        <w:rPr>
          <w:lang w:val="es-ES"/>
        </w:rPr>
        <w:fldChar w:fldCharType="separate"/>
      </w:r>
      <w:r w:rsidR="008A5AD1" w:rsidRPr="008A5AD1">
        <w:rPr>
          <w:noProof/>
          <w:lang w:val="es-ES"/>
        </w:rPr>
        <w:t>(Builes</w:t>
      </w:r>
      <w:r w:rsidR="008A5AD1" w:rsidRPr="008A5AD1">
        <w:rPr>
          <w:rFonts w:ascii="Cambria Math" w:hAnsi="Cambria Math" w:cs="Cambria Math"/>
          <w:noProof/>
          <w:lang w:val="es-ES"/>
        </w:rPr>
        <w:t>‐</w:t>
      </w:r>
      <w:r w:rsidR="008A5AD1" w:rsidRPr="008A5AD1">
        <w:rPr>
          <w:noProof/>
          <w:lang w:val="es-ES"/>
        </w:rPr>
        <w:t xml:space="preserve">Jaramillo et al., 2025; Correa et al., 2024; </w:t>
      </w:r>
      <w:r w:rsidR="008A5AD1" w:rsidRPr="002C3471">
        <w:rPr>
          <w:i/>
          <w:iCs/>
          <w:noProof/>
          <w:lang w:val="es-ES"/>
        </w:rPr>
        <w:t>Duque-Gardeazabal</w:t>
      </w:r>
      <w:r w:rsidR="008A5AD1" w:rsidRPr="008A5AD1">
        <w:rPr>
          <w:noProof/>
          <w:lang w:val="es-ES"/>
        </w:rPr>
        <w:t>, Friedman, et al., 2025)</w:t>
      </w:r>
      <w:r w:rsidR="00A2215F">
        <w:rPr>
          <w:lang w:val="es-ES"/>
        </w:rPr>
        <w:fldChar w:fldCharType="end"/>
      </w:r>
      <w:r w:rsidR="00F92955">
        <w:rPr>
          <w:lang w:val="es-ES"/>
        </w:rPr>
        <w:t xml:space="preserve">, y </w:t>
      </w:r>
      <w:r w:rsidR="006D090A">
        <w:rPr>
          <w:lang w:val="es-ES"/>
        </w:rPr>
        <w:t>en consecuencia</w:t>
      </w:r>
      <w:r w:rsidR="00034795">
        <w:rPr>
          <w:lang w:val="es-ES"/>
        </w:rPr>
        <w:t>,</w:t>
      </w:r>
      <w:r w:rsidR="00F92955">
        <w:rPr>
          <w:lang w:val="es-ES"/>
        </w:rPr>
        <w:t xml:space="preserve"> debe continuarse </w:t>
      </w:r>
      <w:r w:rsidR="00601B09">
        <w:rPr>
          <w:lang w:val="es-ES"/>
        </w:rPr>
        <w:t>la investigación sobre ellos.</w:t>
      </w:r>
    </w:p>
    <w:p w14:paraId="11211261" w14:textId="370C14D3" w:rsidR="004421BC" w:rsidRPr="006428D1" w:rsidRDefault="008D485F" w:rsidP="00B20457">
      <w:pPr>
        <w:spacing w:line="276" w:lineRule="auto"/>
        <w:rPr>
          <w:lang w:val="es-ES"/>
        </w:rPr>
      </w:pPr>
      <w:r>
        <w:rPr>
          <w:lang w:val="es-ES"/>
        </w:rPr>
        <w:t>Considerando todo lo anterior</w:t>
      </w:r>
      <w:r w:rsidR="006428D1">
        <w:rPr>
          <w:lang w:val="es-ES"/>
        </w:rPr>
        <w:t>, l</w:t>
      </w:r>
      <w:r w:rsidR="008C1D71">
        <w:rPr>
          <w:lang w:val="es-ES"/>
        </w:rPr>
        <w:t>a Universidad Nacional de Colombia</w:t>
      </w:r>
      <w:r w:rsidR="006428D1">
        <w:rPr>
          <w:lang w:val="es-ES"/>
        </w:rPr>
        <w:t xml:space="preserve"> r</w:t>
      </w:r>
      <w:r w:rsidR="00103CB8">
        <w:rPr>
          <w:lang w:val="es-ES"/>
        </w:rPr>
        <w:t xml:space="preserve">equiere un profesor que impulse </w:t>
      </w:r>
      <w:r w:rsidR="00882270">
        <w:rPr>
          <w:lang w:val="es-ES"/>
        </w:rPr>
        <w:t>la investigación</w:t>
      </w:r>
      <w:r w:rsidR="00B0763D">
        <w:rPr>
          <w:lang w:val="es-ES"/>
        </w:rPr>
        <w:t>,</w:t>
      </w:r>
      <w:r w:rsidR="0015721E">
        <w:rPr>
          <w:lang w:val="es-ES"/>
        </w:rPr>
        <w:t xml:space="preserve"> </w:t>
      </w:r>
      <w:r w:rsidR="00B0763D">
        <w:rPr>
          <w:lang w:val="es-ES"/>
        </w:rPr>
        <w:t xml:space="preserve">enseñanza y despliegue de </w:t>
      </w:r>
      <w:r w:rsidR="00B0763D" w:rsidRPr="00A37C5A">
        <w:rPr>
          <w:i/>
          <w:iCs/>
          <w:lang w:val="es-ES"/>
        </w:rPr>
        <w:t>herramientas predictivas</w:t>
      </w:r>
      <w:r w:rsidR="00B0763D">
        <w:rPr>
          <w:lang w:val="es-ES"/>
        </w:rPr>
        <w:t xml:space="preserve"> que fortalezcan la </w:t>
      </w:r>
      <w:r w:rsidR="00794327">
        <w:rPr>
          <w:lang w:val="es-ES"/>
        </w:rPr>
        <w:t>GIRH</w:t>
      </w:r>
      <w:r w:rsidR="00A9410B">
        <w:rPr>
          <w:lang w:val="es-ES"/>
        </w:rPr>
        <w:t>, adaptadas al contexto colombiano</w:t>
      </w:r>
      <w:r w:rsidR="0028760C">
        <w:rPr>
          <w:lang w:val="es-ES"/>
        </w:rPr>
        <w:t xml:space="preserve"> (instrumentos de la PNGIRH)</w:t>
      </w:r>
      <w:r w:rsidR="00B0763D">
        <w:rPr>
          <w:lang w:val="es-ES"/>
        </w:rPr>
        <w:t>.</w:t>
      </w:r>
      <w:r w:rsidR="003F0764">
        <w:rPr>
          <w:lang w:val="es-ES"/>
        </w:rPr>
        <w:t xml:space="preserve"> La ejecución de estas actividades puede hacerse </w:t>
      </w:r>
      <w:r w:rsidR="00227040">
        <w:rPr>
          <w:lang w:val="es-ES"/>
        </w:rPr>
        <w:t xml:space="preserve">en colaboración </w:t>
      </w:r>
      <w:r w:rsidR="003117F9">
        <w:rPr>
          <w:lang w:val="es-ES"/>
        </w:rPr>
        <w:t xml:space="preserve">con </w:t>
      </w:r>
      <w:r w:rsidR="00F819E1">
        <w:rPr>
          <w:lang w:val="es-ES"/>
        </w:rPr>
        <w:t xml:space="preserve">otros profesores </w:t>
      </w:r>
      <w:r w:rsidR="00461A93">
        <w:rPr>
          <w:lang w:val="es-ES"/>
        </w:rPr>
        <w:t>de</w:t>
      </w:r>
      <w:r w:rsidR="006F35B8">
        <w:rPr>
          <w:lang w:val="es-ES"/>
        </w:rPr>
        <w:t xml:space="preserve"> otras </w:t>
      </w:r>
      <w:r w:rsidR="00045C48">
        <w:rPr>
          <w:lang w:val="es-ES"/>
        </w:rPr>
        <w:t>ramas de la hidrología (</w:t>
      </w:r>
      <w:r w:rsidR="00FA36B9">
        <w:rPr>
          <w:lang w:val="es-ES"/>
        </w:rPr>
        <w:t>hidrogeología</w:t>
      </w:r>
      <w:r w:rsidR="00F819E1">
        <w:rPr>
          <w:lang w:val="es-ES"/>
        </w:rPr>
        <w:t xml:space="preserve">, </w:t>
      </w:r>
      <w:r w:rsidR="00337D0F">
        <w:rPr>
          <w:lang w:val="es-ES"/>
        </w:rPr>
        <w:t xml:space="preserve">drenaje urbano, </w:t>
      </w:r>
      <w:r w:rsidR="00F819E1">
        <w:rPr>
          <w:lang w:val="es-ES"/>
        </w:rPr>
        <w:t>calidad del agua, etc.</w:t>
      </w:r>
      <w:r w:rsidR="00045C48">
        <w:rPr>
          <w:lang w:val="es-ES"/>
        </w:rPr>
        <w:t xml:space="preserve">), </w:t>
      </w:r>
      <w:r w:rsidR="00F8047E">
        <w:rPr>
          <w:lang w:val="es-ES"/>
        </w:rPr>
        <w:t xml:space="preserve">o </w:t>
      </w:r>
      <w:r w:rsidR="006F35B8">
        <w:rPr>
          <w:lang w:val="es-ES"/>
        </w:rPr>
        <w:t>áreas del conocimiento</w:t>
      </w:r>
      <w:r w:rsidR="00045C48">
        <w:rPr>
          <w:lang w:val="es-ES"/>
        </w:rPr>
        <w:t xml:space="preserve"> </w:t>
      </w:r>
      <w:r w:rsidR="00F819E1">
        <w:rPr>
          <w:lang w:val="es-ES"/>
        </w:rPr>
        <w:t>(</w:t>
      </w:r>
      <w:r w:rsidR="00461A93">
        <w:rPr>
          <w:lang w:val="es-ES"/>
        </w:rPr>
        <w:t>ciencias sociales, económicas, etc.</w:t>
      </w:r>
      <w:r w:rsidR="00F819E1">
        <w:rPr>
          <w:lang w:val="es-ES"/>
        </w:rPr>
        <w:t>)</w:t>
      </w:r>
      <w:r w:rsidR="00F8047E">
        <w:rPr>
          <w:lang w:val="es-ES"/>
        </w:rPr>
        <w:t>.</w:t>
      </w:r>
      <w:r w:rsidR="00874932">
        <w:rPr>
          <w:lang w:val="es-ES"/>
        </w:rPr>
        <w:t xml:space="preserve"> </w:t>
      </w:r>
      <w:r w:rsidR="000A5C44">
        <w:rPr>
          <w:lang w:val="es-ES"/>
        </w:rPr>
        <w:t xml:space="preserve">Los </w:t>
      </w:r>
      <w:r w:rsidR="00B20457">
        <w:rPr>
          <w:lang w:val="es-ES"/>
        </w:rPr>
        <w:t xml:space="preserve">proyectos y </w:t>
      </w:r>
      <w:r w:rsidR="000A5C44">
        <w:rPr>
          <w:lang w:val="es-ES"/>
        </w:rPr>
        <w:t xml:space="preserve">resultados </w:t>
      </w:r>
      <w:r w:rsidR="00B20457">
        <w:rPr>
          <w:lang w:val="es-ES"/>
        </w:rPr>
        <w:t xml:space="preserve">asociados a </w:t>
      </w:r>
      <w:r w:rsidR="009538A4">
        <w:rPr>
          <w:lang w:val="es-ES"/>
        </w:rPr>
        <w:t>esta</w:t>
      </w:r>
      <w:r w:rsidR="00B20457">
        <w:rPr>
          <w:lang w:val="es-ES"/>
        </w:rPr>
        <w:t xml:space="preserve"> posición profesoral avanzarán el cumplimiento de las funciones misionales de la universidad.</w:t>
      </w:r>
    </w:p>
    <w:p w14:paraId="2A12CC8C" w14:textId="1FAF7503" w:rsidR="00EA0532" w:rsidRPr="000D50F9" w:rsidRDefault="00EA0532" w:rsidP="003E5D02">
      <w:pPr>
        <w:pStyle w:val="Ttulo1"/>
        <w:numPr>
          <w:ilvl w:val="0"/>
          <w:numId w:val="3"/>
        </w:numPr>
        <w:spacing w:line="276" w:lineRule="auto"/>
        <w:rPr>
          <w:lang w:val="es-ES"/>
        </w:rPr>
      </w:pPr>
      <w:r w:rsidRPr="000D50F9">
        <w:rPr>
          <w:lang w:val="es-ES"/>
        </w:rPr>
        <w:t>Objetivos</w:t>
      </w:r>
    </w:p>
    <w:p w14:paraId="0D176C4E" w14:textId="77777777" w:rsidR="00172CC3" w:rsidRDefault="00FB2861" w:rsidP="009509FB">
      <w:pPr>
        <w:spacing w:line="276" w:lineRule="auto"/>
        <w:rPr>
          <w:lang w:val="es-ES"/>
        </w:rPr>
      </w:pPr>
      <w:r>
        <w:rPr>
          <w:lang w:val="es-ES"/>
        </w:rPr>
        <w:t xml:space="preserve">General: </w:t>
      </w:r>
    </w:p>
    <w:p w14:paraId="1A8876A1" w14:textId="04B81353" w:rsidR="00EA0532" w:rsidRDefault="006B67B6" w:rsidP="009509FB">
      <w:pPr>
        <w:spacing w:line="276" w:lineRule="auto"/>
        <w:rPr>
          <w:lang w:val="es-ES"/>
        </w:rPr>
      </w:pPr>
      <w:r>
        <w:rPr>
          <w:lang w:val="es-ES"/>
        </w:rPr>
        <w:t xml:space="preserve">Impulsar </w:t>
      </w:r>
      <w:r w:rsidR="00384C1F">
        <w:rPr>
          <w:lang w:val="es-ES"/>
        </w:rPr>
        <w:t>el desarrollo y liderazgo de la GIRH predicti</w:t>
      </w:r>
      <w:r w:rsidR="00232E20">
        <w:rPr>
          <w:lang w:val="es-ES"/>
        </w:rPr>
        <w:t>va en Colombia</w:t>
      </w:r>
      <w:r w:rsidR="00D42D26">
        <w:rPr>
          <w:lang w:val="es-ES"/>
        </w:rPr>
        <w:t xml:space="preserve"> y </w:t>
      </w:r>
      <w:r w:rsidR="001C4F04">
        <w:rPr>
          <w:lang w:val="es-ES"/>
        </w:rPr>
        <w:t>Suramérica</w:t>
      </w:r>
      <w:r w:rsidR="00232E20">
        <w:rPr>
          <w:lang w:val="es-ES"/>
        </w:rPr>
        <w:t>, a través de la investigación</w:t>
      </w:r>
      <w:r w:rsidR="000F4F99">
        <w:rPr>
          <w:lang w:val="es-ES"/>
        </w:rPr>
        <w:t xml:space="preserve"> hidroclimatológica</w:t>
      </w:r>
      <w:r w:rsidR="009532AC">
        <w:rPr>
          <w:lang w:val="es-ES"/>
        </w:rPr>
        <w:t>,</w:t>
      </w:r>
      <w:r w:rsidR="00C54EB6">
        <w:rPr>
          <w:lang w:val="es-ES"/>
        </w:rPr>
        <w:t xml:space="preserve"> </w:t>
      </w:r>
      <w:r w:rsidR="000F4F99">
        <w:rPr>
          <w:lang w:val="es-ES"/>
        </w:rPr>
        <w:t xml:space="preserve">la </w:t>
      </w:r>
      <w:r w:rsidR="00BC7DC9">
        <w:rPr>
          <w:lang w:val="es-ES"/>
        </w:rPr>
        <w:t xml:space="preserve">transmisión de conocimiento </w:t>
      </w:r>
      <w:r w:rsidR="009532AC">
        <w:rPr>
          <w:lang w:val="es-ES"/>
        </w:rPr>
        <w:t xml:space="preserve">y </w:t>
      </w:r>
      <w:r w:rsidR="00DA5690">
        <w:rPr>
          <w:lang w:val="es-ES"/>
        </w:rPr>
        <w:t xml:space="preserve">el </w:t>
      </w:r>
      <w:r w:rsidR="009532AC">
        <w:rPr>
          <w:lang w:val="es-ES"/>
        </w:rPr>
        <w:t xml:space="preserve">desarrollo de </w:t>
      </w:r>
      <w:r w:rsidR="00EB39AE">
        <w:rPr>
          <w:lang w:val="es-ES"/>
        </w:rPr>
        <w:t xml:space="preserve">herramientas </w:t>
      </w:r>
      <w:r w:rsidR="0013357C">
        <w:rPr>
          <w:lang w:val="es-ES"/>
        </w:rPr>
        <w:t xml:space="preserve">– </w:t>
      </w:r>
      <w:r w:rsidR="00E33A26">
        <w:rPr>
          <w:lang w:val="es-ES"/>
        </w:rPr>
        <w:t xml:space="preserve">centrándose en las </w:t>
      </w:r>
      <w:r w:rsidR="0013357C">
        <w:rPr>
          <w:lang w:val="es-ES"/>
        </w:rPr>
        <w:t xml:space="preserve">escalas </w:t>
      </w:r>
      <w:r w:rsidR="00413DBE">
        <w:rPr>
          <w:lang w:val="es-ES"/>
        </w:rPr>
        <w:t>s</w:t>
      </w:r>
      <w:r w:rsidR="00E33A26">
        <w:rPr>
          <w:lang w:val="es-ES"/>
        </w:rPr>
        <w:t xml:space="preserve">ubestacional y estacional </w:t>
      </w:r>
      <w:r w:rsidR="0013357C">
        <w:rPr>
          <w:lang w:val="es-ES"/>
        </w:rPr>
        <w:t xml:space="preserve">– </w:t>
      </w:r>
      <w:r w:rsidR="00E33A26">
        <w:rPr>
          <w:lang w:val="es-ES"/>
        </w:rPr>
        <w:t>para</w:t>
      </w:r>
      <w:r w:rsidR="000F4F99">
        <w:rPr>
          <w:lang w:val="es-ES"/>
        </w:rPr>
        <w:t xml:space="preserve"> fortale</w:t>
      </w:r>
      <w:r w:rsidR="00413DBE">
        <w:rPr>
          <w:lang w:val="es-ES"/>
        </w:rPr>
        <w:t>cer</w:t>
      </w:r>
      <w:r w:rsidR="000F4F99">
        <w:rPr>
          <w:lang w:val="es-ES"/>
        </w:rPr>
        <w:t xml:space="preserve"> </w:t>
      </w:r>
      <w:r w:rsidR="00110C8E">
        <w:rPr>
          <w:lang w:val="es-ES"/>
        </w:rPr>
        <w:t xml:space="preserve">la provisión de servicios climáticos y </w:t>
      </w:r>
      <w:r w:rsidR="002C3A83">
        <w:rPr>
          <w:lang w:val="es-ES"/>
        </w:rPr>
        <w:t xml:space="preserve">los instrumentos de </w:t>
      </w:r>
      <w:r w:rsidR="00110C8E">
        <w:rPr>
          <w:lang w:val="es-ES"/>
        </w:rPr>
        <w:t>la GIRH</w:t>
      </w:r>
      <w:r w:rsidR="00120BEB">
        <w:rPr>
          <w:lang w:val="es-ES"/>
        </w:rPr>
        <w:t>, adaptados al contexto colombiano</w:t>
      </w:r>
      <w:r w:rsidR="00110C8E">
        <w:rPr>
          <w:lang w:val="es-ES"/>
        </w:rPr>
        <w:t>.</w:t>
      </w:r>
    </w:p>
    <w:p w14:paraId="515235F4" w14:textId="7E137985" w:rsidR="00FB2861" w:rsidRDefault="00FB2861" w:rsidP="009509FB">
      <w:pPr>
        <w:spacing w:line="276" w:lineRule="auto"/>
        <w:rPr>
          <w:lang w:val="es-ES"/>
        </w:rPr>
      </w:pPr>
      <w:r>
        <w:rPr>
          <w:lang w:val="es-ES"/>
        </w:rPr>
        <w:t>Específicos:</w:t>
      </w:r>
    </w:p>
    <w:p w14:paraId="00B28692" w14:textId="1CD0EF08" w:rsidR="00FB2861" w:rsidRDefault="00023316" w:rsidP="00FB2861">
      <w:pPr>
        <w:pStyle w:val="Prrafodelista"/>
        <w:numPr>
          <w:ilvl w:val="0"/>
          <w:numId w:val="1"/>
        </w:numPr>
        <w:spacing w:line="276" w:lineRule="auto"/>
        <w:rPr>
          <w:lang w:val="es-ES"/>
        </w:rPr>
      </w:pPr>
      <w:r>
        <w:rPr>
          <w:lang w:val="es-ES"/>
        </w:rPr>
        <w:t xml:space="preserve">Docencia: </w:t>
      </w:r>
      <w:r w:rsidR="00172CC3">
        <w:rPr>
          <w:lang w:val="es-ES"/>
        </w:rPr>
        <w:t xml:space="preserve">Incluir </w:t>
      </w:r>
      <w:r w:rsidR="00917461">
        <w:rPr>
          <w:lang w:val="es-ES"/>
        </w:rPr>
        <w:t xml:space="preserve">en la transmisión del conocimiento </w:t>
      </w:r>
      <w:r w:rsidR="00A74246">
        <w:rPr>
          <w:lang w:val="es-ES"/>
        </w:rPr>
        <w:t xml:space="preserve">hidrometeorológico </w:t>
      </w:r>
      <w:r w:rsidR="00917461">
        <w:rPr>
          <w:lang w:val="es-ES"/>
        </w:rPr>
        <w:t xml:space="preserve">los nuevos descubrimientos y </w:t>
      </w:r>
      <w:r w:rsidR="00A36EDF">
        <w:rPr>
          <w:lang w:val="es-ES"/>
        </w:rPr>
        <w:t xml:space="preserve">el </w:t>
      </w:r>
      <w:r w:rsidR="00917461">
        <w:rPr>
          <w:lang w:val="es-ES"/>
        </w:rPr>
        <w:t>desarrollo</w:t>
      </w:r>
      <w:r w:rsidR="00EF2D5C">
        <w:rPr>
          <w:lang w:val="es-ES"/>
        </w:rPr>
        <w:t xml:space="preserve"> de </w:t>
      </w:r>
      <w:r w:rsidR="00E25F39">
        <w:rPr>
          <w:lang w:val="es-ES"/>
        </w:rPr>
        <w:t>instrumentos</w:t>
      </w:r>
      <w:r w:rsidR="00917461">
        <w:rPr>
          <w:lang w:val="es-ES"/>
        </w:rPr>
        <w:t xml:space="preserve"> </w:t>
      </w:r>
      <w:r w:rsidR="00FA0048">
        <w:rPr>
          <w:lang w:val="es-ES"/>
        </w:rPr>
        <w:t>que consideran</w:t>
      </w:r>
      <w:r w:rsidR="00D934D6">
        <w:rPr>
          <w:lang w:val="es-ES"/>
        </w:rPr>
        <w:t xml:space="preserve"> l</w:t>
      </w:r>
      <w:r w:rsidR="003A7D30">
        <w:rPr>
          <w:lang w:val="es-ES"/>
        </w:rPr>
        <w:t>o</w:t>
      </w:r>
      <w:r w:rsidR="00D934D6">
        <w:rPr>
          <w:lang w:val="es-ES"/>
        </w:rPr>
        <w:t xml:space="preserve">s </w:t>
      </w:r>
      <w:r w:rsidR="00153C69">
        <w:rPr>
          <w:lang w:val="es-ES"/>
        </w:rPr>
        <w:t xml:space="preserve">moduladores </w:t>
      </w:r>
      <w:r w:rsidR="00D934D6">
        <w:rPr>
          <w:lang w:val="es-ES"/>
        </w:rPr>
        <w:t xml:space="preserve">de </w:t>
      </w:r>
      <w:r w:rsidR="00A74246">
        <w:rPr>
          <w:lang w:val="es-ES"/>
        </w:rPr>
        <w:t xml:space="preserve">la </w:t>
      </w:r>
      <w:r w:rsidR="00D934D6">
        <w:rPr>
          <w:lang w:val="es-ES"/>
        </w:rPr>
        <w:t xml:space="preserve">variabilidad </w:t>
      </w:r>
      <w:r w:rsidR="003A7D30">
        <w:rPr>
          <w:lang w:val="es-ES"/>
        </w:rPr>
        <w:t>hidroclimática</w:t>
      </w:r>
      <w:r w:rsidR="00EF2D5C">
        <w:rPr>
          <w:lang w:val="es-ES"/>
        </w:rPr>
        <w:t xml:space="preserve">, en los </w:t>
      </w:r>
      <w:r w:rsidR="00CC27A2">
        <w:rPr>
          <w:lang w:val="es-ES"/>
        </w:rPr>
        <w:t>diferentes</w:t>
      </w:r>
      <w:r w:rsidR="00EF2D5C">
        <w:rPr>
          <w:lang w:val="es-ES"/>
        </w:rPr>
        <w:t xml:space="preserve"> niveles de educación (pregrado</w:t>
      </w:r>
      <w:r w:rsidR="00E25F39">
        <w:rPr>
          <w:lang w:val="es-ES"/>
        </w:rPr>
        <w:t>, posgrado y educación continua).</w:t>
      </w:r>
    </w:p>
    <w:p w14:paraId="22E497C7" w14:textId="2C1410A9" w:rsidR="008718ED" w:rsidRPr="00926B9A" w:rsidRDefault="00023316" w:rsidP="0052324F">
      <w:pPr>
        <w:pStyle w:val="Prrafodelista"/>
        <w:numPr>
          <w:ilvl w:val="0"/>
          <w:numId w:val="1"/>
        </w:numPr>
        <w:spacing w:line="276" w:lineRule="auto"/>
        <w:rPr>
          <w:lang w:val="es-ES"/>
        </w:rPr>
      </w:pPr>
      <w:r>
        <w:rPr>
          <w:lang w:val="es-ES"/>
        </w:rPr>
        <w:t xml:space="preserve">Investigación: </w:t>
      </w:r>
      <w:r w:rsidR="00CC27A2">
        <w:rPr>
          <w:lang w:val="es-ES"/>
        </w:rPr>
        <w:t>Continuar y complementar l</w:t>
      </w:r>
      <w:r w:rsidR="00EE0200">
        <w:rPr>
          <w:lang w:val="es-ES"/>
        </w:rPr>
        <w:t>a</w:t>
      </w:r>
      <w:r w:rsidR="00CC27A2">
        <w:rPr>
          <w:lang w:val="es-ES"/>
        </w:rPr>
        <w:t xml:space="preserve">s </w:t>
      </w:r>
      <w:r w:rsidR="00EE0200">
        <w:rPr>
          <w:lang w:val="es-ES"/>
        </w:rPr>
        <w:t>recientes investigaciones sobre</w:t>
      </w:r>
      <w:r w:rsidR="00EB6AE7">
        <w:rPr>
          <w:lang w:val="es-ES"/>
        </w:rPr>
        <w:t xml:space="preserve"> las fuentes de variabilidad hidroclimatológica</w:t>
      </w:r>
      <w:r w:rsidR="00BF3A37">
        <w:rPr>
          <w:lang w:val="es-ES"/>
        </w:rPr>
        <w:t xml:space="preserve"> y sus impactos</w:t>
      </w:r>
      <w:r w:rsidR="00EE0200">
        <w:rPr>
          <w:lang w:val="es-ES"/>
        </w:rPr>
        <w:t xml:space="preserve"> en </w:t>
      </w:r>
      <w:r w:rsidR="008D07AF">
        <w:rPr>
          <w:lang w:val="es-ES"/>
        </w:rPr>
        <w:t>Suramérica tropical</w:t>
      </w:r>
      <w:r w:rsidR="00926B9A">
        <w:rPr>
          <w:lang w:val="es-ES"/>
        </w:rPr>
        <w:t>, p</w:t>
      </w:r>
      <w:r w:rsidR="008718ED" w:rsidRPr="00926B9A">
        <w:rPr>
          <w:lang w:val="es-ES"/>
        </w:rPr>
        <w:t>rincipalmente a escala estacional y subestacional</w:t>
      </w:r>
      <w:r w:rsidR="00D6372D">
        <w:rPr>
          <w:lang w:val="es-ES"/>
        </w:rPr>
        <w:t xml:space="preserve">, y </w:t>
      </w:r>
      <w:r w:rsidR="00B0701E">
        <w:rPr>
          <w:lang w:val="es-ES"/>
        </w:rPr>
        <w:t>utilizar esos conocimientos en el desarrollo de</w:t>
      </w:r>
      <w:r w:rsidR="00D6372D">
        <w:rPr>
          <w:lang w:val="es-ES"/>
        </w:rPr>
        <w:t xml:space="preserve"> herramientas </w:t>
      </w:r>
      <w:r w:rsidR="009B0C0E">
        <w:rPr>
          <w:lang w:val="es-ES"/>
        </w:rPr>
        <w:t>proveedoras de</w:t>
      </w:r>
      <w:r w:rsidR="00D6372D">
        <w:rPr>
          <w:lang w:val="es-ES"/>
        </w:rPr>
        <w:t xml:space="preserve"> servicios climáticos</w:t>
      </w:r>
      <w:r w:rsidR="00A36EDF">
        <w:rPr>
          <w:lang w:val="es-ES"/>
        </w:rPr>
        <w:t>.</w:t>
      </w:r>
    </w:p>
    <w:p w14:paraId="56ABF895" w14:textId="1004D707" w:rsidR="00FB2861" w:rsidRPr="00FB2861" w:rsidRDefault="00FB2861" w:rsidP="00FB2861">
      <w:pPr>
        <w:pStyle w:val="Prrafodelista"/>
        <w:numPr>
          <w:ilvl w:val="0"/>
          <w:numId w:val="1"/>
        </w:numPr>
        <w:spacing w:line="276" w:lineRule="auto"/>
        <w:rPr>
          <w:lang w:val="es-ES"/>
        </w:rPr>
      </w:pPr>
      <w:r>
        <w:rPr>
          <w:lang w:val="es-ES"/>
        </w:rPr>
        <w:t>Extensión</w:t>
      </w:r>
      <w:r w:rsidR="00023316">
        <w:rPr>
          <w:lang w:val="es-ES"/>
        </w:rPr>
        <w:t xml:space="preserve">: </w:t>
      </w:r>
      <w:r w:rsidR="008174BF">
        <w:rPr>
          <w:lang w:val="es-ES"/>
        </w:rPr>
        <w:t xml:space="preserve">cooperar </w:t>
      </w:r>
      <w:r w:rsidR="009A5972">
        <w:rPr>
          <w:lang w:val="es-ES"/>
        </w:rPr>
        <w:t>y ofrecer a</w:t>
      </w:r>
      <w:r w:rsidR="008174BF">
        <w:rPr>
          <w:lang w:val="es-ES"/>
        </w:rPr>
        <w:t xml:space="preserve"> instituciones </w:t>
      </w:r>
      <w:r w:rsidR="00CC3D61">
        <w:rPr>
          <w:lang w:val="es-ES"/>
        </w:rPr>
        <w:t>públicas</w:t>
      </w:r>
      <w:r w:rsidR="008174BF">
        <w:rPr>
          <w:lang w:val="es-ES"/>
        </w:rPr>
        <w:t xml:space="preserve"> y privadas</w:t>
      </w:r>
      <w:r w:rsidR="0092539F">
        <w:rPr>
          <w:lang w:val="es-ES"/>
        </w:rPr>
        <w:t xml:space="preserve"> </w:t>
      </w:r>
      <w:r w:rsidR="009A5972">
        <w:rPr>
          <w:lang w:val="es-ES"/>
        </w:rPr>
        <w:t>los conocimientos generad</w:t>
      </w:r>
      <w:r w:rsidR="00001921">
        <w:rPr>
          <w:lang w:val="es-ES"/>
        </w:rPr>
        <w:t>o</w:t>
      </w:r>
      <w:r w:rsidR="009A5972">
        <w:rPr>
          <w:lang w:val="es-ES"/>
        </w:rPr>
        <w:t xml:space="preserve">s </w:t>
      </w:r>
      <w:r w:rsidR="004A51DD">
        <w:rPr>
          <w:lang w:val="es-ES"/>
        </w:rPr>
        <w:t>a partir de la investigación sobre fuentes de variabilidad climática</w:t>
      </w:r>
      <w:r w:rsidR="0031519F">
        <w:rPr>
          <w:lang w:val="es-ES"/>
        </w:rPr>
        <w:t>,</w:t>
      </w:r>
      <w:r w:rsidR="00F370D2">
        <w:rPr>
          <w:lang w:val="es-ES"/>
        </w:rPr>
        <w:t xml:space="preserve"> la predicción </w:t>
      </w:r>
      <w:r w:rsidR="00001921">
        <w:rPr>
          <w:lang w:val="es-ES"/>
        </w:rPr>
        <w:t>estacional y subestacional</w:t>
      </w:r>
      <w:r w:rsidR="0031519F">
        <w:rPr>
          <w:lang w:val="es-ES"/>
        </w:rPr>
        <w:t xml:space="preserve">, y construir conjuntamente </w:t>
      </w:r>
      <w:r w:rsidR="0052324F">
        <w:rPr>
          <w:lang w:val="es-ES"/>
        </w:rPr>
        <w:t>las herramientas proveedoras de servicios climáticos</w:t>
      </w:r>
      <w:r w:rsidR="00001921">
        <w:rPr>
          <w:lang w:val="es-ES"/>
        </w:rPr>
        <w:t>.</w:t>
      </w:r>
    </w:p>
    <w:p w14:paraId="11D00CBC" w14:textId="1CE5E8D9" w:rsidR="00EA0532" w:rsidRPr="000D50F9" w:rsidRDefault="00EA0532" w:rsidP="003E5D02">
      <w:pPr>
        <w:pStyle w:val="Ttulo1"/>
        <w:numPr>
          <w:ilvl w:val="0"/>
          <w:numId w:val="3"/>
        </w:numPr>
        <w:spacing w:line="276" w:lineRule="auto"/>
        <w:rPr>
          <w:lang w:val="es-ES"/>
        </w:rPr>
      </w:pPr>
      <w:bookmarkStart w:id="1" w:name="_Propuesta_del_componente"/>
      <w:bookmarkEnd w:id="1"/>
      <w:r w:rsidRPr="000D50F9">
        <w:rPr>
          <w:lang w:val="es-ES"/>
        </w:rPr>
        <w:t>Propuesta del componente de docencia</w:t>
      </w:r>
    </w:p>
    <w:p w14:paraId="03BC8C56" w14:textId="20385975" w:rsidR="001C5A16" w:rsidRDefault="0086699B" w:rsidP="002F1D24">
      <w:pPr>
        <w:spacing w:line="276" w:lineRule="auto"/>
        <w:rPr>
          <w:lang w:val="es-ES"/>
        </w:rPr>
      </w:pPr>
      <w:r>
        <w:rPr>
          <w:lang w:val="es-ES"/>
        </w:rPr>
        <w:t xml:space="preserve">Se </w:t>
      </w:r>
      <w:r w:rsidR="002333C1">
        <w:rPr>
          <w:lang w:val="es-ES"/>
        </w:rPr>
        <w:t>describe a continuación la propuesta para</w:t>
      </w:r>
      <w:r w:rsidR="002F1067">
        <w:rPr>
          <w:lang w:val="es-ES"/>
        </w:rPr>
        <w:t xml:space="preserve"> tres tipos de docencia</w:t>
      </w:r>
      <w:r w:rsidR="00C74630">
        <w:rPr>
          <w:lang w:val="es-ES"/>
        </w:rPr>
        <w:t>,</w:t>
      </w:r>
      <w:r w:rsidR="002333C1">
        <w:rPr>
          <w:lang w:val="es-ES"/>
        </w:rPr>
        <w:t xml:space="preserve"> parte </w:t>
      </w:r>
      <w:r w:rsidR="000B2200">
        <w:rPr>
          <w:lang w:val="es-ES"/>
        </w:rPr>
        <w:t xml:space="preserve">importante </w:t>
      </w:r>
      <w:r w:rsidR="00CC1601">
        <w:rPr>
          <w:lang w:val="es-ES"/>
        </w:rPr>
        <w:t xml:space="preserve">de la </w:t>
      </w:r>
      <w:r w:rsidR="000B2200">
        <w:rPr>
          <w:lang w:val="es-ES"/>
        </w:rPr>
        <w:t>misionalidad de la universidad</w:t>
      </w:r>
      <w:r w:rsidR="00CC1601">
        <w:rPr>
          <w:lang w:val="es-ES"/>
        </w:rPr>
        <w:t>:</w:t>
      </w:r>
      <w:r w:rsidR="00A46C96">
        <w:rPr>
          <w:lang w:val="es-ES"/>
        </w:rPr>
        <w:t xml:space="preserve"> pregrado, posgrado y educación continua.</w:t>
      </w:r>
    </w:p>
    <w:p w14:paraId="4E78B1C4" w14:textId="667F855E" w:rsidR="000B0606" w:rsidRDefault="000B0606" w:rsidP="00646B92">
      <w:pPr>
        <w:spacing w:line="276" w:lineRule="auto"/>
        <w:rPr>
          <w:lang w:val="es-ES"/>
        </w:rPr>
      </w:pPr>
      <w:r>
        <w:rPr>
          <w:lang w:val="es-ES"/>
        </w:rPr>
        <w:lastRenderedPageBreak/>
        <w:t xml:space="preserve">La enseñanza a nivel de pregrado </w:t>
      </w:r>
      <w:r w:rsidR="00C928D1">
        <w:rPr>
          <w:lang w:val="es-ES"/>
        </w:rPr>
        <w:t xml:space="preserve">incluirá –además de los temas ya establecidos– </w:t>
      </w:r>
      <w:r w:rsidR="00C42E2E">
        <w:rPr>
          <w:lang w:val="es-ES"/>
        </w:rPr>
        <w:t xml:space="preserve">la descripción de nuevas tecnologías </w:t>
      </w:r>
      <w:r w:rsidR="0008334C">
        <w:rPr>
          <w:lang w:val="es-ES"/>
        </w:rPr>
        <w:t xml:space="preserve">de monitoreo como satélites y reanálisis meteorológicos. </w:t>
      </w:r>
      <w:r w:rsidR="00BE13FB">
        <w:rPr>
          <w:lang w:val="es-ES"/>
        </w:rPr>
        <w:t xml:space="preserve">Respecto de la predicción hidroclimatológica, se </w:t>
      </w:r>
      <w:r w:rsidR="00F36FD5">
        <w:rPr>
          <w:lang w:val="es-ES"/>
        </w:rPr>
        <w:t>cen</w:t>
      </w:r>
      <w:r w:rsidR="00237465">
        <w:rPr>
          <w:lang w:val="es-ES"/>
        </w:rPr>
        <w:t>t</w:t>
      </w:r>
      <w:r w:rsidR="00F36FD5">
        <w:rPr>
          <w:lang w:val="es-ES"/>
        </w:rPr>
        <w:t>r</w:t>
      </w:r>
      <w:r w:rsidR="00237465">
        <w:rPr>
          <w:lang w:val="es-ES"/>
        </w:rPr>
        <w:t>ará</w:t>
      </w:r>
      <w:r w:rsidR="00BE13FB">
        <w:rPr>
          <w:lang w:val="es-ES"/>
        </w:rPr>
        <w:t xml:space="preserve"> </w:t>
      </w:r>
      <w:r w:rsidR="00F36FD5">
        <w:rPr>
          <w:lang w:val="es-ES"/>
        </w:rPr>
        <w:t>en</w:t>
      </w:r>
      <w:r w:rsidR="00BE13FB">
        <w:rPr>
          <w:lang w:val="es-ES"/>
        </w:rPr>
        <w:t xml:space="preserve"> una descripción introductoria de sistemas ofrecidos por el IDEAM y el ECMWF</w:t>
      </w:r>
      <w:r w:rsidR="004A4AC0">
        <w:rPr>
          <w:lang w:val="es-ES"/>
        </w:rPr>
        <w:t xml:space="preserve"> </w:t>
      </w:r>
      <w:r w:rsidR="004A4AC0">
        <w:rPr>
          <w:lang w:val="es-ES"/>
        </w:rPr>
        <w:fldChar w:fldCharType="begin" w:fldLock="1"/>
      </w:r>
      <w:r w:rsidR="00A375CE">
        <w:rPr>
          <w:lang w:val="es-ES"/>
        </w:rPr>
        <w:instrText>ADDIN CSL_CITATION {"citationItems":[{"id":"ITEM-1","itemData":{"DOI":"10.5194/gmd-12-1087-2019","ISSN":"19919603","abstract":"In this paper we describe SEAS5, ECMWF's fifth generation seasonal forecast system, which became operational in November 2017. Compared to its predecessor, System 4, SEAS5 is a substantially changed forecast system. It includes upgraded versions of the atmosphere and ocean models at higher resolutions, and adds a prognostic sea-ice model. Here, we describe the configuration of SEAS5 and summarise the most noticeable results from a set of diagnostics including biases, variability, teleconnections and forecast skill.&lt;/p&gt; &lt;p&gt;An important improvement in SEAS5 is the reduction of the equatorial Pacific cold tongue bias, which is accompanied by a more realistic El Niño amplitude and an improvement in El Niño prediction skill over the central-west Pacific. Improvements in 2&amp;thinsp;m temperature skill are also clear over the tropical Pacific. Sea-surface temperature (SST) biases in the northern extratropics change due to increased ocean resolution, especially in regions associated with western boundary currents. The increased ocean resolution exposes a new problem in the northwest Atlantic, where SEAS5 fails to capture decadal variability of the North Atlantic subpolar gyre, resulting in a degradation of DJF 2&amp;thinsp;m temperature prediction skill in this region. The prognostic sea-ice model improves seasonal predictions of sea-ice cover, although some regions and seasons suffer from biases introduced by employing a fully dynamical model rather than the simple, empirical scheme used in System 4. There are also improvements in 2&amp;thinsp;m temperature skill in the vicinity of the Arctic sea-ice edge. Cold temperature biases in the troposphere improve, but increase at the tropopause. Biases in the extratropical jets are larger than in System 4: extratropical jets are too strong, and displaced northwards in JJA. In summary, development and added complexity since System 4 has ensured that SEAS5 is a state-of-The-Art seasonal forecast system which continues to display a particular strength in the El Niño Southern Oscillation (ENSO) prediction.&lt;/p&gt;.","author":[{"dropping-particle":"","family":"Johnson","given":"Stephanie J.","non-dropping-particle":"","parse-names":false,"suffix":""},{"dropping-particle":"","family":"Stockdale","given":"Timothy N.","non-dropping-particle":"","parse-names":false,"suffix":""},{"dropping-particle":"","family":"Ferranti","given":"Laura","non-dropping-particle":"","parse-names":false,"suffix":""},{"dropping-particle":"","family":"Balmaseda","given":"Magdalena A.","non-dropping-particle":"","parse-names":false,"suffix":""},{"dropping-particle":"","family":"Molteni","given":"Franco","non-dropping-particle":"","parse-names":false,"suffix":""},{"dropping-particle":"","family":"Magnusson","given":"Linus","non-dropping-particle":"","parse-names":false,"suffix":""},{"dropping-particle":"","family":"Tietsche","given":"Steffen","non-dropping-particle":"","parse-names":false,"suffix":""},{"dropping-particle":"","family":"Decremer","given":"Damien","non-dropping-particle":"","parse-names":false,"suffix":""},{"dropping-particle":"","family":"Weisheimer","given":"Antje","non-dropping-particle":"","parse-names":false,"suffix":""},{"dropping-particle":"","family":"Balsamo","given":"Gianpaolo","non-dropping-particle":"","parse-names":false,"suffix":""},{"dropping-particle":"","family":"Keeley","given":"Sarah P.E.","non-dropping-particle":"","parse-names":false,"suffix":""},{"dropping-particle":"","family":"Mogensen","given":"Kristian","non-dropping-particle":"","parse-names":false,"suffix":""},{"dropping-particle":"","family":"Zuo","given":"Hao","non-dropping-particle":"","parse-names":false,"suffix":""},{"dropping-particle":"","family":"Monge-Sanz","given":"Beatriz M.","non-dropping-particle":"","parse-names":false,"suffix":""}],"container-title":"Geoscientific Model Development","id":"ITEM-1","issue":"3","issued":{"date-parts":[["2019"]]},"page":"1087-1117","title":"SEAS5: The new ECMWF seasonal forecast system","type":"article-journal","volume":"12"},"uris":["http://www.mendeley.com/documents/?uuid=9a97a2cd-a13c-4d94-b30f-d6ccb8f49e3d"]},{"id":"ITEM-2","itemData":{"author":[{"dropping-particle":"","family":"Ruiz Murcia","given":"Franklin","non-dropping-particle":"","parse-names":false,"suffix":""},{"dropping-particle":"","family":"Melo Franco","given":"J","non-dropping-particle":"","parse-names":false,"suffix":""}],"id":"ITEM-2","issued":{"date-parts":[["2020"]]},"title":"Aspectos metodológicos de la predicción climática mensual de la precipitación en Colombia (Nota Técnica IDEAM–METEO/001-2020)","type":"report"},"uris":["http://www.mendeley.com/documents/?uuid=50d64fe8-7ac3-4574-9ece-0b0f75e0d7f2"]}],"mendeley":{"formattedCitation":"(Johnson et al., 2019; Ruiz Murcia &amp; Melo Franco, 2020)","plainTextFormattedCitation":"(Johnson et al., 2019; Ruiz Murcia &amp; Melo Franco, 2020)","previouslyFormattedCitation":"(Johnson et al., 2019; Ruiz Murcia &amp; Melo Franco, 2020)"},"properties":{"noteIndex":0},"schema":"https://github.com/citation-style-language/schema/raw/master/csl-citation.json"}</w:instrText>
      </w:r>
      <w:r w:rsidR="004A4AC0">
        <w:rPr>
          <w:lang w:val="es-ES"/>
        </w:rPr>
        <w:fldChar w:fldCharType="separate"/>
      </w:r>
      <w:r w:rsidR="004A4AC0" w:rsidRPr="004A4AC0">
        <w:rPr>
          <w:noProof/>
          <w:lang w:val="es-ES"/>
        </w:rPr>
        <w:t>(Johnson et al., 2019; Ruiz Murcia &amp; Melo Franco, 2020)</w:t>
      </w:r>
      <w:r w:rsidR="004A4AC0">
        <w:rPr>
          <w:lang w:val="es-ES"/>
        </w:rPr>
        <w:fldChar w:fldCharType="end"/>
      </w:r>
      <w:r w:rsidR="00BE13FB">
        <w:rPr>
          <w:lang w:val="es-ES"/>
        </w:rPr>
        <w:t xml:space="preserve">. </w:t>
      </w:r>
      <w:r w:rsidR="00ED2423">
        <w:rPr>
          <w:lang w:val="es-ES"/>
        </w:rPr>
        <w:t xml:space="preserve">Se </w:t>
      </w:r>
      <w:r w:rsidR="007B1129">
        <w:rPr>
          <w:lang w:val="es-ES"/>
        </w:rPr>
        <w:t>incentiva</w:t>
      </w:r>
      <w:r w:rsidR="00ED2423">
        <w:rPr>
          <w:lang w:val="es-ES"/>
        </w:rPr>
        <w:t xml:space="preserve">rá el uso de lenguajes de programación abiertos, como R o Python, para </w:t>
      </w:r>
      <w:r w:rsidR="00791022">
        <w:rPr>
          <w:lang w:val="es-ES"/>
        </w:rPr>
        <w:t>cálculos reproducibles</w:t>
      </w:r>
      <w:r w:rsidR="00D02C32">
        <w:rPr>
          <w:lang w:val="es-ES"/>
        </w:rPr>
        <w:t xml:space="preserve"> y </w:t>
      </w:r>
      <w:r w:rsidR="00451582">
        <w:rPr>
          <w:lang w:val="es-ES"/>
        </w:rPr>
        <w:t xml:space="preserve">posiblemente </w:t>
      </w:r>
      <w:r w:rsidR="00D02C32">
        <w:rPr>
          <w:lang w:val="es-ES"/>
        </w:rPr>
        <w:t xml:space="preserve">se </w:t>
      </w:r>
      <w:r w:rsidR="00113834">
        <w:rPr>
          <w:lang w:val="es-ES"/>
        </w:rPr>
        <w:t>mostr</w:t>
      </w:r>
      <w:r w:rsidR="00D02C32">
        <w:rPr>
          <w:lang w:val="es-ES"/>
        </w:rPr>
        <w:t>ará una introducción a algunos formatos de datos especializados (</w:t>
      </w:r>
      <w:r w:rsidR="00975903">
        <w:rPr>
          <w:lang w:val="es-ES"/>
        </w:rPr>
        <w:t>p.e</w:t>
      </w:r>
      <w:r w:rsidR="008754C4">
        <w:rPr>
          <w:lang w:val="es-ES"/>
        </w:rPr>
        <w:t xml:space="preserve">j. </w:t>
      </w:r>
      <w:r w:rsidR="00D02C32">
        <w:rPr>
          <w:lang w:val="es-ES"/>
        </w:rPr>
        <w:t>NetCDF</w:t>
      </w:r>
      <w:r w:rsidR="00975903">
        <w:rPr>
          <w:lang w:val="es-ES"/>
        </w:rPr>
        <w:t>)</w:t>
      </w:r>
      <w:r w:rsidR="00FA7032">
        <w:rPr>
          <w:lang w:val="es-ES"/>
        </w:rPr>
        <w:t>.</w:t>
      </w:r>
      <w:r w:rsidR="008754C4">
        <w:rPr>
          <w:lang w:val="es-ES"/>
        </w:rPr>
        <w:t xml:space="preserve"> </w:t>
      </w:r>
      <w:r w:rsidR="00E34170">
        <w:rPr>
          <w:lang w:val="es-ES"/>
        </w:rPr>
        <w:t>Además, d</w:t>
      </w:r>
      <w:r w:rsidR="00A56436">
        <w:rPr>
          <w:lang w:val="es-ES"/>
        </w:rPr>
        <w:t xml:space="preserve">ada la proliferación </w:t>
      </w:r>
      <w:r w:rsidR="000244FD">
        <w:rPr>
          <w:lang w:val="es-ES"/>
        </w:rPr>
        <w:t xml:space="preserve">de </w:t>
      </w:r>
      <w:r w:rsidR="00D7513D">
        <w:rPr>
          <w:lang w:val="es-ES"/>
        </w:rPr>
        <w:t>la inteligencia artificial generativa</w:t>
      </w:r>
      <w:r w:rsidR="00B060D6">
        <w:rPr>
          <w:lang w:val="es-ES"/>
        </w:rPr>
        <w:t xml:space="preserve"> </w:t>
      </w:r>
      <w:r w:rsidR="00C402A2">
        <w:rPr>
          <w:lang w:val="es-ES"/>
        </w:rPr>
        <w:t xml:space="preserve">en la educación </w:t>
      </w:r>
      <w:r w:rsidR="00B060D6">
        <w:rPr>
          <w:lang w:val="es-ES"/>
        </w:rPr>
        <w:t>(I</w:t>
      </w:r>
      <w:r w:rsidR="00DB4904">
        <w:rPr>
          <w:lang w:val="es-ES"/>
        </w:rPr>
        <w:t>A</w:t>
      </w:r>
      <w:r w:rsidR="00F1698F">
        <w:rPr>
          <w:lang w:val="es-ES"/>
        </w:rPr>
        <w:t>gen</w:t>
      </w:r>
      <w:r w:rsidR="00C402A2">
        <w:rPr>
          <w:lang w:val="es-ES"/>
        </w:rPr>
        <w:t>)</w:t>
      </w:r>
      <w:r w:rsidR="00D7513D">
        <w:rPr>
          <w:lang w:val="es-ES"/>
        </w:rPr>
        <w:t xml:space="preserve">, se </w:t>
      </w:r>
      <w:r w:rsidR="0039692F">
        <w:rPr>
          <w:lang w:val="es-ES"/>
        </w:rPr>
        <w:t>mostra</w:t>
      </w:r>
      <w:r w:rsidR="00D7513D">
        <w:rPr>
          <w:lang w:val="es-ES"/>
        </w:rPr>
        <w:t xml:space="preserve">rá </w:t>
      </w:r>
      <w:r w:rsidR="0039692F">
        <w:rPr>
          <w:lang w:val="es-ES"/>
        </w:rPr>
        <w:t>a</w:t>
      </w:r>
      <w:r w:rsidR="00D7513D">
        <w:rPr>
          <w:lang w:val="es-ES"/>
        </w:rPr>
        <w:t xml:space="preserve"> los estudiantes las ventajas de usarla de forma consciente</w:t>
      </w:r>
      <w:r w:rsidR="00A21DF7">
        <w:rPr>
          <w:lang w:val="es-ES"/>
        </w:rPr>
        <w:t xml:space="preserve"> y responsable</w:t>
      </w:r>
      <w:r w:rsidR="00E36179">
        <w:rPr>
          <w:lang w:val="es-ES"/>
        </w:rPr>
        <w:t xml:space="preserve"> en trabajos escritos</w:t>
      </w:r>
      <w:r w:rsidR="00573AFA">
        <w:rPr>
          <w:lang w:val="es-ES"/>
        </w:rPr>
        <w:t>,</w:t>
      </w:r>
      <w:r w:rsidR="00D7513D">
        <w:rPr>
          <w:lang w:val="es-ES"/>
        </w:rPr>
        <w:t xml:space="preserve"> mediante </w:t>
      </w:r>
      <w:r w:rsidR="001D043D">
        <w:rPr>
          <w:lang w:val="es-ES"/>
        </w:rPr>
        <w:t>lineamientos de uso (</w:t>
      </w:r>
      <w:r w:rsidR="000A4836">
        <w:rPr>
          <w:lang w:val="es-ES"/>
        </w:rPr>
        <w:t>semáforo</w:t>
      </w:r>
      <w:r w:rsidR="00F85B19">
        <w:rPr>
          <w:lang w:val="es-ES"/>
        </w:rPr>
        <w:t xml:space="preserve"> y sugerencias de </w:t>
      </w:r>
      <w:r w:rsidR="00F85B19" w:rsidRPr="00F85B19">
        <w:rPr>
          <w:i/>
          <w:iCs/>
          <w:lang w:val="es-ES"/>
        </w:rPr>
        <w:t>prompts</w:t>
      </w:r>
      <w:r w:rsidR="00F85B19">
        <w:rPr>
          <w:lang w:val="es-ES"/>
        </w:rPr>
        <w:t xml:space="preserve"> específicos</w:t>
      </w:r>
      <w:r w:rsidR="001247FF">
        <w:rPr>
          <w:lang w:val="es-ES"/>
        </w:rPr>
        <w:t>, Fig</w:t>
      </w:r>
      <w:r w:rsidR="002179E0">
        <w:rPr>
          <w:lang w:val="es-ES"/>
        </w:rPr>
        <w:t xml:space="preserve">ura </w:t>
      </w:r>
      <w:r w:rsidR="001247FF">
        <w:rPr>
          <w:lang w:val="es-ES"/>
        </w:rPr>
        <w:t>2</w:t>
      </w:r>
      <w:r w:rsidR="001D043D">
        <w:rPr>
          <w:lang w:val="es-ES"/>
        </w:rPr>
        <w:t>)</w:t>
      </w:r>
      <w:r w:rsidR="005B3734">
        <w:rPr>
          <w:lang w:val="es-ES"/>
        </w:rPr>
        <w:t>.</w:t>
      </w:r>
      <w:r w:rsidR="001D043D">
        <w:rPr>
          <w:lang w:val="es-ES"/>
        </w:rPr>
        <w:t xml:space="preserve"> </w:t>
      </w:r>
      <w:r w:rsidR="005B3734">
        <w:rPr>
          <w:lang w:val="es-ES"/>
        </w:rPr>
        <w:t xml:space="preserve">Habrá chequeos </w:t>
      </w:r>
      <w:r w:rsidR="00593CDC">
        <w:rPr>
          <w:lang w:val="es-ES"/>
        </w:rPr>
        <w:t xml:space="preserve">mediante </w:t>
      </w:r>
      <w:r w:rsidR="00214E23">
        <w:rPr>
          <w:lang w:val="es-ES"/>
        </w:rPr>
        <w:t>tests cortos</w:t>
      </w:r>
      <w:r w:rsidR="000A4836">
        <w:rPr>
          <w:lang w:val="es-ES"/>
        </w:rPr>
        <w:t xml:space="preserve"> aleatorios</w:t>
      </w:r>
      <w:r w:rsidR="00C402A2">
        <w:rPr>
          <w:lang w:val="es-ES"/>
        </w:rPr>
        <w:t xml:space="preserve"> </w:t>
      </w:r>
      <w:r w:rsidR="00D64A78">
        <w:rPr>
          <w:lang w:val="es-ES"/>
        </w:rPr>
        <w:t xml:space="preserve">con retroalimentación para el estudiante </w:t>
      </w:r>
      <w:r w:rsidR="00C402A2">
        <w:rPr>
          <w:lang w:val="es-ES"/>
        </w:rPr>
        <w:fldChar w:fldCharType="begin" w:fldLock="1"/>
      </w:r>
      <w:r w:rsidR="00282229">
        <w:rPr>
          <w:lang w:val="es-ES"/>
        </w:rPr>
        <w:instrText>ADDIN CSL_CITATION {"citationItems":[{"id":"ITEM-1","itemData":{"ISBN":"978-92-3-300221-0","author":[{"dropping-particle":"","family":"UNESCO","given":"","non-dropping-particle":"","parse-names":false,"suffix":""}],"id":"ITEM-1","issued":{"date-parts":[["2024"]]},"publisher":"Organización de las Naciones Unidas para la Educación, la Ciencia y la Cultura","title":"Guía para el uso de IA generativa en educación e investigación","type":"book"},"uris":["http://www.mendeley.com/documents/?uuid=e328fa14-df30-40b5-963c-95fa0302cc16"]}],"mendeley":{"formattedCitation":"(UNESCO, 2024)","plainTextFormattedCitation":"(UNESCO, 2024)","previouslyFormattedCitation":"(UNESCO, 2024)"},"properties":{"noteIndex":0},"schema":"https://github.com/citation-style-language/schema/raw/master/csl-citation.json"}</w:instrText>
      </w:r>
      <w:r w:rsidR="00C402A2">
        <w:rPr>
          <w:lang w:val="es-ES"/>
        </w:rPr>
        <w:fldChar w:fldCharType="separate"/>
      </w:r>
      <w:r w:rsidR="00C402A2" w:rsidRPr="00C402A2">
        <w:rPr>
          <w:noProof/>
          <w:lang w:val="es-ES"/>
        </w:rPr>
        <w:t>(UNESCO, 2024)</w:t>
      </w:r>
      <w:r w:rsidR="00C402A2">
        <w:rPr>
          <w:lang w:val="es-ES"/>
        </w:rPr>
        <w:fldChar w:fldCharType="end"/>
      </w:r>
      <w:r w:rsidR="00593CDC">
        <w:rPr>
          <w:lang w:val="es-ES"/>
        </w:rPr>
        <w:t>.</w:t>
      </w:r>
      <w:r w:rsidR="00FA56F3">
        <w:rPr>
          <w:lang w:val="es-ES"/>
        </w:rPr>
        <w:t xml:space="preserve"> Con lo anterior</w:t>
      </w:r>
      <w:r w:rsidR="00317555">
        <w:rPr>
          <w:lang w:val="es-ES"/>
        </w:rPr>
        <w:t>,</w:t>
      </w:r>
      <w:r w:rsidR="00FA56F3">
        <w:rPr>
          <w:lang w:val="es-ES"/>
        </w:rPr>
        <w:t xml:space="preserve"> se busca que </w:t>
      </w:r>
      <w:r w:rsidR="002801CB">
        <w:rPr>
          <w:lang w:val="es-ES"/>
        </w:rPr>
        <w:t xml:space="preserve">el estudiante </w:t>
      </w:r>
      <w:r w:rsidR="00FD2B01">
        <w:rPr>
          <w:lang w:val="es-ES"/>
        </w:rPr>
        <w:t xml:space="preserve">ejercite la mente </w:t>
      </w:r>
      <w:r w:rsidR="00317555">
        <w:rPr>
          <w:lang w:val="es-ES"/>
        </w:rPr>
        <w:t xml:space="preserve">en </w:t>
      </w:r>
      <w:r w:rsidR="007346C2">
        <w:rPr>
          <w:lang w:val="es-ES"/>
        </w:rPr>
        <w:t xml:space="preserve">la construcción de </w:t>
      </w:r>
      <w:r w:rsidR="007143CB">
        <w:rPr>
          <w:lang w:val="es-ES"/>
        </w:rPr>
        <w:t>textos</w:t>
      </w:r>
      <w:r w:rsidR="00635317">
        <w:rPr>
          <w:lang w:val="es-ES"/>
        </w:rPr>
        <w:t xml:space="preserve"> –</w:t>
      </w:r>
      <w:r w:rsidR="006E59A2">
        <w:rPr>
          <w:lang w:val="es-ES"/>
        </w:rPr>
        <w:t xml:space="preserve"> </w:t>
      </w:r>
      <w:r w:rsidR="00635317">
        <w:rPr>
          <w:lang w:val="es-ES"/>
        </w:rPr>
        <w:t>que contienen la esencia temática</w:t>
      </w:r>
      <w:r w:rsidR="006E59A2">
        <w:rPr>
          <w:lang w:val="es-ES"/>
        </w:rPr>
        <w:t xml:space="preserve"> </w:t>
      </w:r>
      <w:r w:rsidR="00635317">
        <w:rPr>
          <w:lang w:val="es-ES"/>
        </w:rPr>
        <w:t>–</w:t>
      </w:r>
      <w:r w:rsidR="007346C2">
        <w:rPr>
          <w:lang w:val="es-ES"/>
        </w:rPr>
        <w:t xml:space="preserve"> y posiblemente se ayude </w:t>
      </w:r>
      <w:r w:rsidR="007143CB">
        <w:rPr>
          <w:lang w:val="es-ES"/>
        </w:rPr>
        <w:t>mejorándolos</w:t>
      </w:r>
      <w:r w:rsidR="00B060D6">
        <w:rPr>
          <w:lang w:val="es-ES"/>
        </w:rPr>
        <w:t xml:space="preserve"> con </w:t>
      </w:r>
      <w:r w:rsidR="00317555">
        <w:rPr>
          <w:lang w:val="es-ES"/>
        </w:rPr>
        <w:t>las I</w:t>
      </w:r>
      <w:r w:rsidR="00F64227">
        <w:rPr>
          <w:lang w:val="es-ES"/>
        </w:rPr>
        <w:t>A</w:t>
      </w:r>
      <w:r w:rsidR="00F1698F">
        <w:rPr>
          <w:lang w:val="es-ES"/>
        </w:rPr>
        <w:t>gen</w:t>
      </w:r>
      <w:r w:rsidR="00F42E1F">
        <w:rPr>
          <w:lang w:val="es-ES"/>
        </w:rPr>
        <w:t xml:space="preserve">; </w:t>
      </w:r>
      <w:r w:rsidR="00F64227">
        <w:rPr>
          <w:lang w:val="es-ES"/>
        </w:rPr>
        <w:t xml:space="preserve">los tests </w:t>
      </w:r>
      <w:r w:rsidR="00F42E1F">
        <w:rPr>
          <w:lang w:val="es-ES"/>
        </w:rPr>
        <w:t>también</w:t>
      </w:r>
      <w:r w:rsidR="00F64227">
        <w:rPr>
          <w:lang w:val="es-ES"/>
        </w:rPr>
        <w:t xml:space="preserve"> permiten corregir </w:t>
      </w:r>
      <w:r w:rsidR="008C03BE">
        <w:rPr>
          <w:lang w:val="es-ES"/>
        </w:rPr>
        <w:t xml:space="preserve">o minimizar los riesgos de desinformación </w:t>
      </w:r>
      <w:r w:rsidR="008C03BE">
        <w:rPr>
          <w:lang w:val="es-ES"/>
        </w:rPr>
        <w:fldChar w:fldCharType="begin" w:fldLock="1"/>
      </w:r>
      <w:r w:rsidR="00282229">
        <w:rPr>
          <w:lang w:val="es-ES"/>
        </w:rPr>
        <w:instrText>ADDIN CSL_CITATION {"citationItems":[{"id":"ITEM-1","itemData":{"ISBN":"978-92-3-300221-0","author":[{"dropping-particle":"","family":"UNESCO","given":"","non-dropping-particle":"","parse-names":false,"suffix":""}],"id":"ITEM-1","issued":{"date-parts":[["2024"]]},"publisher":"Organización de las Naciones Unidas para la Educación, la Ciencia y la Cultura","title":"Guía para el uso de IA generativa en educación e investigación","type":"book"},"uris":["http://www.mendeley.com/documents/?uuid=e328fa14-df30-40b5-963c-95fa0302cc16"]}],"mendeley":{"formattedCitation":"(UNESCO, 2024)","plainTextFormattedCitation":"(UNESCO, 2024)","previouslyFormattedCitation":"(UNESCO, 2024)"},"properties":{"noteIndex":0},"schema":"https://github.com/citation-style-language/schema/raw/master/csl-citation.json"}</w:instrText>
      </w:r>
      <w:r w:rsidR="008C03BE">
        <w:rPr>
          <w:lang w:val="es-ES"/>
        </w:rPr>
        <w:fldChar w:fldCharType="separate"/>
      </w:r>
      <w:r w:rsidR="008C03BE" w:rsidRPr="00C402A2">
        <w:rPr>
          <w:noProof/>
          <w:lang w:val="es-ES"/>
        </w:rPr>
        <w:t>(UNESCO, 2024)</w:t>
      </w:r>
      <w:r w:rsidR="008C03BE">
        <w:rPr>
          <w:lang w:val="es-ES"/>
        </w:rPr>
        <w:fldChar w:fldCharType="end"/>
      </w:r>
      <w:r w:rsidR="00317555">
        <w:rPr>
          <w:lang w:val="es-ES"/>
        </w:rPr>
        <w:t>.</w:t>
      </w:r>
    </w:p>
    <w:p w14:paraId="49A8FBED" w14:textId="77777777" w:rsidR="00F6050E" w:rsidRDefault="00F6050E" w:rsidP="007F0FE5">
      <w:pPr>
        <w:keepNext/>
        <w:spacing w:line="276" w:lineRule="auto"/>
        <w:ind w:firstLine="0"/>
        <w:jc w:val="center"/>
      </w:pPr>
      <w:r w:rsidRPr="00F6050E">
        <w:rPr>
          <w:noProof/>
          <w:lang w:val="es-ES"/>
        </w:rPr>
        <w:drawing>
          <wp:inline distT="0" distB="0" distL="0" distR="0" wp14:anchorId="4C91C1D8" wp14:editId="533DFB12">
            <wp:extent cx="4568197" cy="2749982"/>
            <wp:effectExtent l="0" t="0" r="3810" b="0"/>
            <wp:docPr id="690466025" name="Imagen 1" descr="Interfaz de usuario gráfica, Texto, Aplicación, Carta,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466025" name="Imagen 1" descr="Interfaz de usuario gráfica, Texto, Aplicación, Carta, Correo electrónico&#10;&#10;El contenido generado por IA puede ser incorrecto."/>
                    <pic:cNvPicPr/>
                  </pic:nvPicPr>
                  <pic:blipFill>
                    <a:blip r:embed="rId10"/>
                    <a:stretch>
                      <a:fillRect/>
                    </a:stretch>
                  </pic:blipFill>
                  <pic:spPr>
                    <a:xfrm>
                      <a:off x="0" y="0"/>
                      <a:ext cx="4595915" cy="2766668"/>
                    </a:xfrm>
                    <a:prstGeom prst="rect">
                      <a:avLst/>
                    </a:prstGeom>
                  </pic:spPr>
                </pic:pic>
              </a:graphicData>
            </a:graphic>
          </wp:inline>
        </w:drawing>
      </w:r>
    </w:p>
    <w:p w14:paraId="4FB32790" w14:textId="704AEBCB" w:rsidR="000B2200" w:rsidRPr="00F6050E" w:rsidRDefault="00F6050E" w:rsidP="00F6050E">
      <w:pPr>
        <w:pStyle w:val="Descripcin"/>
        <w:jc w:val="center"/>
        <w:rPr>
          <w:i w:val="0"/>
          <w:iCs w:val="0"/>
          <w:color w:val="auto"/>
          <w:sz w:val="22"/>
          <w:szCs w:val="22"/>
          <w:lang w:val="es-ES"/>
        </w:rPr>
      </w:pPr>
      <w:r w:rsidRPr="00F6050E">
        <w:rPr>
          <w:i w:val="0"/>
          <w:iCs w:val="0"/>
          <w:color w:val="auto"/>
          <w:sz w:val="22"/>
          <w:szCs w:val="22"/>
          <w:lang w:val="es-ES"/>
        </w:rPr>
        <w:t>Figura 2</w:t>
      </w:r>
      <w:r w:rsidR="003701DE">
        <w:rPr>
          <w:i w:val="0"/>
          <w:iCs w:val="0"/>
          <w:color w:val="auto"/>
          <w:sz w:val="22"/>
          <w:szCs w:val="22"/>
          <w:lang w:val="es-ES"/>
        </w:rPr>
        <w:t>.</w:t>
      </w:r>
      <w:r w:rsidRPr="00F6050E">
        <w:rPr>
          <w:i w:val="0"/>
          <w:iCs w:val="0"/>
          <w:color w:val="auto"/>
          <w:sz w:val="22"/>
          <w:szCs w:val="22"/>
          <w:lang w:val="es-ES"/>
        </w:rPr>
        <w:t xml:space="preserve"> Lineamientos para uso de IA generativa</w:t>
      </w:r>
      <w:r w:rsidR="0000209B">
        <w:rPr>
          <w:i w:val="0"/>
          <w:iCs w:val="0"/>
          <w:color w:val="auto"/>
          <w:sz w:val="22"/>
          <w:szCs w:val="22"/>
          <w:lang w:val="es-ES"/>
        </w:rPr>
        <w:t xml:space="preserve"> </w:t>
      </w:r>
      <w:r w:rsidR="005A5311">
        <w:rPr>
          <w:i w:val="0"/>
          <w:iCs w:val="0"/>
          <w:color w:val="auto"/>
          <w:sz w:val="22"/>
          <w:szCs w:val="22"/>
          <w:lang w:val="es-ES"/>
        </w:rPr>
        <w:t>para estudiantes</w:t>
      </w:r>
      <w:r w:rsidRPr="00F6050E">
        <w:rPr>
          <w:i w:val="0"/>
          <w:iCs w:val="0"/>
          <w:color w:val="auto"/>
          <w:sz w:val="22"/>
          <w:szCs w:val="22"/>
          <w:lang w:val="es-ES"/>
        </w:rPr>
        <w:t>. Adaptado de:</w:t>
      </w:r>
      <w:r w:rsidR="00282229">
        <w:rPr>
          <w:i w:val="0"/>
          <w:iCs w:val="0"/>
          <w:color w:val="auto"/>
          <w:sz w:val="22"/>
          <w:szCs w:val="22"/>
          <w:lang w:val="es-ES"/>
        </w:rPr>
        <w:t xml:space="preserve"> </w:t>
      </w:r>
      <w:r w:rsidR="00282229">
        <w:rPr>
          <w:i w:val="0"/>
          <w:iCs w:val="0"/>
          <w:color w:val="auto"/>
          <w:sz w:val="22"/>
          <w:szCs w:val="22"/>
          <w:lang w:val="es-ES"/>
        </w:rPr>
        <w:fldChar w:fldCharType="begin" w:fldLock="1"/>
      </w:r>
      <w:r w:rsidR="004A4AC0">
        <w:rPr>
          <w:i w:val="0"/>
          <w:iCs w:val="0"/>
          <w:color w:val="auto"/>
          <w:sz w:val="22"/>
          <w:szCs w:val="22"/>
          <w:lang w:val="es-ES"/>
        </w:rPr>
        <w:instrText>ADDIN CSL_CITATION {"citationItems":[{"id":"ITEM-1","itemData":{"author":[{"dropping-particle":"","family":"DW","given":"","non-dropping-particle":"","parse-names":false,"suffix":""}],"id":"ITEM-1","issued":{"date-parts":[["2026"]]},"title":"Cómo usar (bien) la IA en la escuela: riesgos, reglas y oportunidades","type":"report"},"uris":["http://www.mendeley.com/documents/?uuid=24fa8c94-5211-4774-b911-73c56bdcf973"]}],"mendeley":{"formattedCitation":"(DW, 2026)","manualFormatting":"DW (2026)","plainTextFormattedCitation":"(DW, 2026)","previouslyFormattedCitation":"(DW, 2026)"},"properties":{"noteIndex":0},"schema":"https://github.com/citation-style-language/schema/raw/master/csl-citation.json"}</w:instrText>
      </w:r>
      <w:r w:rsidR="00282229">
        <w:rPr>
          <w:i w:val="0"/>
          <w:iCs w:val="0"/>
          <w:color w:val="auto"/>
          <w:sz w:val="22"/>
          <w:szCs w:val="22"/>
          <w:lang w:val="es-ES"/>
        </w:rPr>
        <w:fldChar w:fldCharType="separate"/>
      </w:r>
      <w:r w:rsidR="00282229" w:rsidRPr="00282229">
        <w:rPr>
          <w:i w:val="0"/>
          <w:iCs w:val="0"/>
          <w:noProof/>
          <w:color w:val="auto"/>
          <w:sz w:val="22"/>
          <w:szCs w:val="22"/>
          <w:lang w:val="es-ES"/>
        </w:rPr>
        <w:t xml:space="preserve">DW </w:t>
      </w:r>
      <w:r w:rsidR="00282229">
        <w:rPr>
          <w:i w:val="0"/>
          <w:iCs w:val="0"/>
          <w:noProof/>
          <w:color w:val="auto"/>
          <w:sz w:val="22"/>
          <w:szCs w:val="22"/>
          <w:lang w:val="es-ES"/>
        </w:rPr>
        <w:t>(</w:t>
      </w:r>
      <w:r w:rsidR="00282229" w:rsidRPr="00282229">
        <w:rPr>
          <w:i w:val="0"/>
          <w:iCs w:val="0"/>
          <w:noProof/>
          <w:color w:val="auto"/>
          <w:sz w:val="22"/>
          <w:szCs w:val="22"/>
          <w:lang w:val="es-ES"/>
        </w:rPr>
        <w:t>2026)</w:t>
      </w:r>
      <w:r w:rsidR="00282229">
        <w:rPr>
          <w:i w:val="0"/>
          <w:iCs w:val="0"/>
          <w:color w:val="auto"/>
          <w:sz w:val="22"/>
          <w:szCs w:val="22"/>
          <w:lang w:val="es-ES"/>
        </w:rPr>
        <w:fldChar w:fldCharType="end"/>
      </w:r>
      <w:r w:rsidR="00282229">
        <w:rPr>
          <w:i w:val="0"/>
          <w:iCs w:val="0"/>
          <w:color w:val="auto"/>
          <w:sz w:val="22"/>
          <w:szCs w:val="22"/>
          <w:lang w:val="es-ES"/>
        </w:rPr>
        <w:t>.</w:t>
      </w:r>
    </w:p>
    <w:p w14:paraId="15F6C2F6" w14:textId="4260A619" w:rsidR="00567B9A" w:rsidRDefault="00D0625D" w:rsidP="009509FB">
      <w:pPr>
        <w:spacing w:line="276" w:lineRule="auto"/>
        <w:rPr>
          <w:lang w:val="es-ES"/>
        </w:rPr>
      </w:pPr>
      <w:r>
        <w:rPr>
          <w:lang w:val="es-ES"/>
        </w:rPr>
        <w:t>A nivel de posgrado se propone</w:t>
      </w:r>
      <w:r w:rsidR="004874B2">
        <w:rPr>
          <w:lang w:val="es-ES"/>
        </w:rPr>
        <w:t xml:space="preserve"> </w:t>
      </w:r>
      <w:r w:rsidR="00FF3C2E">
        <w:rPr>
          <w:lang w:val="es-ES"/>
        </w:rPr>
        <w:t>fortalecer la enseñanza</w:t>
      </w:r>
      <w:r w:rsidR="004874B2">
        <w:rPr>
          <w:lang w:val="es-ES"/>
        </w:rPr>
        <w:t xml:space="preserve"> </w:t>
      </w:r>
      <w:r w:rsidR="00FF3C2E">
        <w:rPr>
          <w:lang w:val="es-ES"/>
        </w:rPr>
        <w:t>d</w:t>
      </w:r>
      <w:r w:rsidR="004874B2">
        <w:rPr>
          <w:lang w:val="es-ES"/>
        </w:rPr>
        <w:t xml:space="preserve">el tema de predicción hidroclimatológica </w:t>
      </w:r>
      <w:r w:rsidR="00B74EA5">
        <w:rPr>
          <w:lang w:val="es-ES"/>
        </w:rPr>
        <w:t>en la GIRH</w:t>
      </w:r>
      <w:r w:rsidR="00113B99">
        <w:rPr>
          <w:lang w:val="es-ES"/>
        </w:rPr>
        <w:t>. Esto se logra</w:t>
      </w:r>
      <w:r w:rsidR="00B74EA5">
        <w:rPr>
          <w:lang w:val="es-ES"/>
        </w:rPr>
        <w:t xml:space="preserve"> a través de </w:t>
      </w:r>
      <w:r w:rsidR="006E018C">
        <w:rPr>
          <w:lang w:val="es-ES"/>
        </w:rPr>
        <w:t xml:space="preserve">la explicación de las investigaciones </w:t>
      </w:r>
      <w:r w:rsidR="00C34E09">
        <w:rPr>
          <w:lang w:val="es-ES"/>
        </w:rPr>
        <w:t xml:space="preserve">recientes, </w:t>
      </w:r>
      <w:r w:rsidR="00B85961">
        <w:rPr>
          <w:lang w:val="es-ES"/>
        </w:rPr>
        <w:t xml:space="preserve">de </w:t>
      </w:r>
      <w:r w:rsidR="00D06E6C">
        <w:rPr>
          <w:lang w:val="es-ES"/>
        </w:rPr>
        <w:t xml:space="preserve">las herramientas </w:t>
      </w:r>
      <w:r w:rsidR="00B479AC">
        <w:rPr>
          <w:lang w:val="es-ES"/>
        </w:rPr>
        <w:t xml:space="preserve">e instrumentos </w:t>
      </w:r>
      <w:r w:rsidR="00D06E6C">
        <w:rPr>
          <w:lang w:val="es-ES"/>
        </w:rPr>
        <w:t xml:space="preserve">disponibles y </w:t>
      </w:r>
      <w:r w:rsidR="006A4520">
        <w:rPr>
          <w:lang w:val="es-ES"/>
        </w:rPr>
        <w:t>desarrollados</w:t>
      </w:r>
      <w:r w:rsidR="00AC2648">
        <w:rPr>
          <w:lang w:val="es-ES"/>
        </w:rPr>
        <w:t xml:space="preserve"> en </w:t>
      </w:r>
      <w:r w:rsidR="001D4587">
        <w:rPr>
          <w:lang w:val="es-ES"/>
        </w:rPr>
        <w:t>Colombia</w:t>
      </w:r>
      <w:r w:rsidR="00761493">
        <w:rPr>
          <w:lang w:val="es-ES"/>
        </w:rPr>
        <w:t xml:space="preserve"> </w:t>
      </w:r>
      <w:r w:rsidR="00D06E6C">
        <w:rPr>
          <w:lang w:val="es-ES"/>
        </w:rPr>
        <w:t xml:space="preserve">(ver </w:t>
      </w:r>
      <w:r w:rsidR="00703602">
        <w:rPr>
          <w:lang w:val="es-ES"/>
        </w:rPr>
        <w:t xml:space="preserve">los otros dos </w:t>
      </w:r>
      <w:r w:rsidR="00D06E6C">
        <w:rPr>
          <w:lang w:val="es-ES"/>
        </w:rPr>
        <w:t>componente</w:t>
      </w:r>
      <w:r w:rsidR="00703602">
        <w:rPr>
          <w:lang w:val="es-ES"/>
        </w:rPr>
        <w:t>s</w:t>
      </w:r>
      <w:r w:rsidR="00D06E6C">
        <w:rPr>
          <w:lang w:val="es-ES"/>
        </w:rPr>
        <w:t>).</w:t>
      </w:r>
      <w:r w:rsidR="00573975">
        <w:rPr>
          <w:lang w:val="es-ES"/>
        </w:rPr>
        <w:t xml:space="preserve"> Se </w:t>
      </w:r>
      <w:r w:rsidR="00321C6D">
        <w:rPr>
          <w:lang w:val="es-ES"/>
        </w:rPr>
        <w:t>har</w:t>
      </w:r>
      <w:r w:rsidR="00761493">
        <w:rPr>
          <w:lang w:val="es-ES"/>
        </w:rPr>
        <w:t>á</w:t>
      </w:r>
      <w:r w:rsidR="00573975">
        <w:rPr>
          <w:lang w:val="es-ES"/>
        </w:rPr>
        <w:t xml:space="preserve"> </w:t>
      </w:r>
      <w:r w:rsidR="00B85961">
        <w:rPr>
          <w:lang w:val="es-ES"/>
        </w:rPr>
        <w:t xml:space="preserve">específicamente </w:t>
      </w:r>
      <w:r w:rsidR="00573975">
        <w:rPr>
          <w:lang w:val="es-ES"/>
        </w:rPr>
        <w:t xml:space="preserve">en </w:t>
      </w:r>
      <w:r w:rsidR="00700BD7">
        <w:rPr>
          <w:lang w:val="es-ES"/>
        </w:rPr>
        <w:t>dos cursos:</w:t>
      </w:r>
    </w:p>
    <w:p w14:paraId="510ECD1E" w14:textId="6447837F" w:rsidR="000200A9" w:rsidRDefault="00702FA0" w:rsidP="006C6423">
      <w:pPr>
        <w:pStyle w:val="Prrafodelista"/>
        <w:numPr>
          <w:ilvl w:val="0"/>
          <w:numId w:val="2"/>
        </w:numPr>
        <w:spacing w:line="276" w:lineRule="auto"/>
        <w:rPr>
          <w:lang w:val="es-ES"/>
        </w:rPr>
      </w:pPr>
      <w:r w:rsidRPr="00567B9A">
        <w:rPr>
          <w:lang w:val="es-ES"/>
        </w:rPr>
        <w:t>“</w:t>
      </w:r>
      <w:r w:rsidR="00242DFF">
        <w:rPr>
          <w:i/>
          <w:iCs/>
          <w:lang w:val="es-ES"/>
        </w:rPr>
        <w:t>H</w:t>
      </w:r>
      <w:r w:rsidR="006E3123" w:rsidRPr="003176D1">
        <w:rPr>
          <w:i/>
          <w:iCs/>
          <w:lang w:val="es-ES"/>
        </w:rPr>
        <w:t>erramientas de</w:t>
      </w:r>
      <w:r w:rsidR="006E3123">
        <w:rPr>
          <w:lang w:val="es-ES"/>
        </w:rPr>
        <w:t xml:space="preserve"> </w:t>
      </w:r>
      <w:r w:rsidRPr="00567B9A">
        <w:rPr>
          <w:i/>
          <w:iCs/>
          <w:lang w:val="es-ES"/>
        </w:rPr>
        <w:t>variabilidad climática y cambio climático: predicciones y proyecciones</w:t>
      </w:r>
      <w:r w:rsidRPr="00567B9A">
        <w:rPr>
          <w:lang w:val="es-ES"/>
        </w:rPr>
        <w:t>”</w:t>
      </w:r>
      <w:r w:rsidR="00392B25">
        <w:rPr>
          <w:lang w:val="es-ES"/>
        </w:rPr>
        <w:t>,</w:t>
      </w:r>
      <w:r w:rsidR="00211BEE" w:rsidRPr="00567B9A">
        <w:rPr>
          <w:lang w:val="es-ES"/>
        </w:rPr>
        <w:t xml:space="preserve"> </w:t>
      </w:r>
      <w:r w:rsidR="00392B25">
        <w:rPr>
          <w:lang w:val="es-ES"/>
        </w:rPr>
        <w:t xml:space="preserve">curso </w:t>
      </w:r>
      <w:r w:rsidR="00211BEE" w:rsidRPr="00567B9A">
        <w:rPr>
          <w:lang w:val="es-ES"/>
        </w:rPr>
        <w:t xml:space="preserve">abierto a libre elección </w:t>
      </w:r>
      <w:r w:rsidR="009F7DE9" w:rsidRPr="00567B9A">
        <w:rPr>
          <w:lang w:val="es-ES"/>
        </w:rPr>
        <w:t xml:space="preserve">y </w:t>
      </w:r>
      <w:r w:rsidR="006C6423">
        <w:rPr>
          <w:lang w:val="es-ES"/>
        </w:rPr>
        <w:t>a</w:t>
      </w:r>
      <w:r w:rsidR="009F7DE9" w:rsidRPr="00567B9A">
        <w:rPr>
          <w:lang w:val="es-ES"/>
        </w:rPr>
        <w:t xml:space="preserve"> posgrado</w:t>
      </w:r>
      <w:r w:rsidR="00DF1268">
        <w:rPr>
          <w:lang w:val="es-ES"/>
        </w:rPr>
        <w:t xml:space="preserve"> (con </w:t>
      </w:r>
      <w:r w:rsidR="006C6423">
        <w:rPr>
          <w:lang w:val="es-ES"/>
        </w:rPr>
        <w:t xml:space="preserve">diferente </w:t>
      </w:r>
      <w:r w:rsidR="00DF1268">
        <w:rPr>
          <w:lang w:val="es-ES"/>
        </w:rPr>
        <w:t>alcance)</w:t>
      </w:r>
      <w:r w:rsidR="005207B8">
        <w:rPr>
          <w:lang w:val="es-ES"/>
        </w:rPr>
        <w:t xml:space="preserve">. Se </w:t>
      </w:r>
      <w:r w:rsidR="001336B5">
        <w:rPr>
          <w:lang w:val="es-ES"/>
        </w:rPr>
        <w:t>ofrecerá una alternativa a</w:t>
      </w:r>
      <w:r w:rsidR="005207B8">
        <w:rPr>
          <w:lang w:val="es-ES"/>
        </w:rPr>
        <w:t xml:space="preserve"> </w:t>
      </w:r>
      <w:r w:rsidR="00BB6553">
        <w:rPr>
          <w:lang w:val="es-ES"/>
        </w:rPr>
        <w:t>los cursos de la maestría en meteorología</w:t>
      </w:r>
      <w:r w:rsidR="001336B5">
        <w:rPr>
          <w:lang w:val="es-ES"/>
        </w:rPr>
        <w:t>,</w:t>
      </w:r>
      <w:r w:rsidR="00BB6553">
        <w:rPr>
          <w:lang w:val="es-ES"/>
        </w:rPr>
        <w:t xml:space="preserve"> </w:t>
      </w:r>
      <w:r w:rsidR="001336B5">
        <w:rPr>
          <w:lang w:val="es-ES"/>
        </w:rPr>
        <w:t xml:space="preserve">enfocándose en la </w:t>
      </w:r>
      <w:r w:rsidR="003008CA">
        <w:rPr>
          <w:lang w:val="es-ES"/>
        </w:rPr>
        <w:t xml:space="preserve">relación </w:t>
      </w:r>
      <w:r w:rsidR="00435EC0">
        <w:rPr>
          <w:lang w:val="es-ES"/>
        </w:rPr>
        <w:t>con</w:t>
      </w:r>
      <w:r w:rsidR="003008CA">
        <w:rPr>
          <w:lang w:val="es-ES"/>
        </w:rPr>
        <w:t xml:space="preserve"> la GIRH</w:t>
      </w:r>
      <w:r w:rsidR="00E94A34" w:rsidRPr="00567B9A">
        <w:rPr>
          <w:lang w:val="es-ES"/>
        </w:rPr>
        <w:t>.</w:t>
      </w:r>
      <w:r w:rsidR="009F7DE9" w:rsidRPr="00567B9A">
        <w:rPr>
          <w:lang w:val="es-ES"/>
        </w:rPr>
        <w:t xml:space="preserve"> </w:t>
      </w:r>
      <w:r w:rsidR="00243C4D">
        <w:rPr>
          <w:lang w:val="es-ES"/>
        </w:rPr>
        <w:t>Incluirá:</w:t>
      </w:r>
    </w:p>
    <w:p w14:paraId="3433DCD3" w14:textId="052C775A" w:rsidR="000200A9" w:rsidRDefault="000D153A" w:rsidP="000200A9">
      <w:pPr>
        <w:pStyle w:val="Prrafodelista"/>
        <w:numPr>
          <w:ilvl w:val="1"/>
          <w:numId w:val="2"/>
        </w:numPr>
        <w:spacing w:line="276" w:lineRule="auto"/>
        <w:rPr>
          <w:lang w:val="es-ES"/>
        </w:rPr>
      </w:pPr>
      <w:r>
        <w:rPr>
          <w:lang w:val="es-ES"/>
        </w:rPr>
        <w:t>Sistema terrestre</w:t>
      </w:r>
      <w:r w:rsidR="00325A01">
        <w:rPr>
          <w:lang w:val="es-ES"/>
        </w:rPr>
        <w:t xml:space="preserve"> y </w:t>
      </w:r>
      <w:r w:rsidR="00927D93">
        <w:rPr>
          <w:lang w:val="es-ES"/>
        </w:rPr>
        <w:t xml:space="preserve">diferencias </w:t>
      </w:r>
      <w:r w:rsidR="00ED53E3">
        <w:rPr>
          <w:lang w:val="es-ES"/>
        </w:rPr>
        <w:t xml:space="preserve">entre </w:t>
      </w:r>
      <w:r w:rsidR="00927D93">
        <w:rPr>
          <w:lang w:val="es-ES"/>
        </w:rPr>
        <w:t>variabilidad y cambio climático,</w:t>
      </w:r>
    </w:p>
    <w:p w14:paraId="2249697F" w14:textId="15EB6C13" w:rsidR="000200A9" w:rsidRDefault="00243C4D" w:rsidP="000200A9">
      <w:pPr>
        <w:pStyle w:val="Prrafodelista"/>
        <w:numPr>
          <w:ilvl w:val="1"/>
          <w:numId w:val="2"/>
        </w:numPr>
        <w:spacing w:line="276" w:lineRule="auto"/>
        <w:rPr>
          <w:lang w:val="es-ES"/>
        </w:rPr>
      </w:pPr>
      <w:r>
        <w:rPr>
          <w:lang w:val="es-ES"/>
        </w:rPr>
        <w:t xml:space="preserve">fenómenos </w:t>
      </w:r>
      <w:r w:rsidR="00041953">
        <w:rPr>
          <w:lang w:val="es-ES"/>
        </w:rPr>
        <w:t>modula</w:t>
      </w:r>
      <w:r>
        <w:rPr>
          <w:lang w:val="es-ES"/>
        </w:rPr>
        <w:t>dores</w:t>
      </w:r>
      <w:r w:rsidR="0037345D">
        <w:rPr>
          <w:lang w:val="es-ES"/>
        </w:rPr>
        <w:t xml:space="preserve"> y forzamientos</w:t>
      </w:r>
      <w:r w:rsidR="00927D93">
        <w:rPr>
          <w:lang w:val="es-ES"/>
        </w:rPr>
        <w:t xml:space="preserve"> (océano</w:t>
      </w:r>
      <w:r w:rsidR="007C1D0C">
        <w:rPr>
          <w:lang w:val="es-ES"/>
        </w:rPr>
        <w:t>-</w:t>
      </w:r>
      <w:r w:rsidR="00927D93">
        <w:rPr>
          <w:lang w:val="es-ES"/>
        </w:rPr>
        <w:t>atmosféricos</w:t>
      </w:r>
      <w:r w:rsidR="00F92A0F">
        <w:rPr>
          <w:lang w:val="es-ES"/>
        </w:rPr>
        <w:t>,</w:t>
      </w:r>
      <w:r w:rsidR="00187517">
        <w:rPr>
          <w:lang w:val="es-ES"/>
        </w:rPr>
        <w:t xml:space="preserve"> </w:t>
      </w:r>
      <w:r w:rsidR="00F92A0F">
        <w:rPr>
          <w:lang w:val="es-ES"/>
        </w:rPr>
        <w:t>MJO</w:t>
      </w:r>
      <w:r w:rsidR="00927D93">
        <w:rPr>
          <w:lang w:val="es-ES"/>
        </w:rPr>
        <w:t xml:space="preserve">, </w:t>
      </w:r>
      <w:r w:rsidR="00AF3F21">
        <w:rPr>
          <w:lang w:val="es-ES"/>
        </w:rPr>
        <w:t xml:space="preserve">aerosoles, volcanismo, </w:t>
      </w:r>
      <w:r w:rsidR="00DE4F89">
        <w:rPr>
          <w:lang w:val="es-ES"/>
        </w:rPr>
        <w:t xml:space="preserve">gases de efecto invernadero - </w:t>
      </w:r>
      <w:r w:rsidR="00AF3F21">
        <w:rPr>
          <w:lang w:val="es-ES"/>
        </w:rPr>
        <w:t>GHG, entre otros</w:t>
      </w:r>
      <w:r w:rsidR="00927D93">
        <w:rPr>
          <w:lang w:val="es-ES"/>
        </w:rPr>
        <w:t>)</w:t>
      </w:r>
      <w:r>
        <w:rPr>
          <w:lang w:val="es-ES"/>
        </w:rPr>
        <w:t>,</w:t>
      </w:r>
    </w:p>
    <w:p w14:paraId="6B921C93" w14:textId="27C55AF7" w:rsidR="00BF5E77" w:rsidRDefault="004F4506" w:rsidP="000200A9">
      <w:pPr>
        <w:pStyle w:val="Prrafodelista"/>
        <w:numPr>
          <w:ilvl w:val="1"/>
          <w:numId w:val="2"/>
        </w:numPr>
        <w:spacing w:line="276" w:lineRule="auto"/>
        <w:rPr>
          <w:lang w:val="es-ES"/>
        </w:rPr>
      </w:pPr>
      <w:r>
        <w:rPr>
          <w:lang w:val="es-ES"/>
        </w:rPr>
        <w:t xml:space="preserve">modelos estadísticos, modelos </w:t>
      </w:r>
      <w:r w:rsidR="00D6142D">
        <w:rPr>
          <w:lang w:val="es-ES"/>
        </w:rPr>
        <w:t xml:space="preserve">atmosféricos </w:t>
      </w:r>
      <w:r w:rsidR="00DC73FC">
        <w:rPr>
          <w:lang w:val="es-ES"/>
        </w:rPr>
        <w:t>físico-dinámicos</w:t>
      </w:r>
      <w:r>
        <w:rPr>
          <w:lang w:val="es-ES"/>
        </w:rPr>
        <w:t xml:space="preserve"> (</w:t>
      </w:r>
      <w:r w:rsidR="002815F4">
        <w:rPr>
          <w:lang w:val="es-ES"/>
        </w:rPr>
        <w:t>numerical weather predictions</w:t>
      </w:r>
      <w:r w:rsidR="00DE4F89">
        <w:rPr>
          <w:lang w:val="es-ES"/>
        </w:rPr>
        <w:t xml:space="preserve"> -</w:t>
      </w:r>
      <w:r w:rsidR="002815F4">
        <w:rPr>
          <w:lang w:val="es-ES"/>
        </w:rPr>
        <w:t xml:space="preserve"> </w:t>
      </w:r>
      <w:r w:rsidR="00F92A0F">
        <w:rPr>
          <w:lang w:val="es-ES"/>
        </w:rPr>
        <w:t xml:space="preserve">NWP y </w:t>
      </w:r>
      <w:r w:rsidR="002815F4">
        <w:rPr>
          <w:lang w:val="es-ES"/>
        </w:rPr>
        <w:t>coupled global climate models</w:t>
      </w:r>
      <w:r w:rsidR="00DE4F89">
        <w:rPr>
          <w:lang w:val="es-ES"/>
        </w:rPr>
        <w:t xml:space="preserve"> - </w:t>
      </w:r>
      <w:r w:rsidR="00F92A0F">
        <w:rPr>
          <w:lang w:val="es-ES"/>
        </w:rPr>
        <w:t xml:space="preserve">CGCM), </w:t>
      </w:r>
      <w:r w:rsidR="001234B4">
        <w:rPr>
          <w:lang w:val="es-ES"/>
        </w:rPr>
        <w:t>reanálisis,</w:t>
      </w:r>
    </w:p>
    <w:p w14:paraId="31D4E189" w14:textId="53C8DD22" w:rsidR="002069D0" w:rsidRDefault="00A402D3" w:rsidP="000200A9">
      <w:pPr>
        <w:pStyle w:val="Prrafodelista"/>
        <w:numPr>
          <w:ilvl w:val="1"/>
          <w:numId w:val="2"/>
        </w:numPr>
        <w:spacing w:line="276" w:lineRule="auto"/>
        <w:rPr>
          <w:lang w:val="es-ES"/>
        </w:rPr>
      </w:pPr>
      <w:r>
        <w:rPr>
          <w:lang w:val="es-ES"/>
        </w:rPr>
        <w:t xml:space="preserve">sistemas de predicción estacional (ECMWF-SEAS5, GFS, </w:t>
      </w:r>
      <w:r w:rsidR="0029028E">
        <w:rPr>
          <w:lang w:val="es-ES"/>
        </w:rPr>
        <w:t>GCFS, etc.)</w:t>
      </w:r>
      <w:r w:rsidR="007301BC">
        <w:rPr>
          <w:lang w:val="es-ES"/>
        </w:rPr>
        <w:t xml:space="preserve"> </w:t>
      </w:r>
      <w:r w:rsidR="007301BC" w:rsidRPr="00121540">
        <w:rPr>
          <w:i/>
          <w:iCs/>
          <w:lang w:val="es-ES"/>
        </w:rPr>
        <w:t>e implicaciones para la GIRH</w:t>
      </w:r>
      <w:r w:rsidR="007301BC">
        <w:rPr>
          <w:i/>
          <w:iCs/>
          <w:lang w:val="es-ES"/>
        </w:rPr>
        <w:t xml:space="preserve"> </w:t>
      </w:r>
      <w:r w:rsidR="007301BC" w:rsidRPr="00F043A9">
        <w:rPr>
          <w:i/>
          <w:iCs/>
          <w:lang w:val="es-ES"/>
        </w:rPr>
        <w:t>(</w:t>
      </w:r>
      <w:r w:rsidR="007F66EA" w:rsidRPr="00F043A9">
        <w:rPr>
          <w:i/>
          <w:iCs/>
          <w:lang w:val="es-ES"/>
        </w:rPr>
        <w:t>PNMRH y PIRMAs</w:t>
      </w:r>
      <w:r w:rsidR="007301BC" w:rsidRPr="00F043A9">
        <w:rPr>
          <w:i/>
          <w:iCs/>
          <w:lang w:val="es-ES"/>
        </w:rPr>
        <w:t>)</w:t>
      </w:r>
      <w:r w:rsidR="002069D0">
        <w:rPr>
          <w:lang w:val="es-ES"/>
        </w:rPr>
        <w:t>,</w:t>
      </w:r>
    </w:p>
    <w:p w14:paraId="20EED4B3" w14:textId="7BAFE643" w:rsidR="000200A9" w:rsidRPr="002069D0" w:rsidRDefault="002069D0" w:rsidP="002069D0">
      <w:pPr>
        <w:pStyle w:val="Prrafodelista"/>
        <w:numPr>
          <w:ilvl w:val="1"/>
          <w:numId w:val="2"/>
        </w:numPr>
        <w:spacing w:line="276" w:lineRule="auto"/>
        <w:rPr>
          <w:lang w:val="es-ES"/>
        </w:rPr>
      </w:pPr>
      <w:r>
        <w:rPr>
          <w:lang w:val="es-ES"/>
        </w:rPr>
        <w:t>escenarios SSP</w:t>
      </w:r>
      <w:r w:rsidR="007D2676">
        <w:rPr>
          <w:lang w:val="es-ES"/>
        </w:rPr>
        <w:t>, ciclos CMIP</w:t>
      </w:r>
      <w:r w:rsidR="00121540">
        <w:rPr>
          <w:lang w:val="es-ES"/>
        </w:rPr>
        <w:t xml:space="preserve"> </w:t>
      </w:r>
      <w:r w:rsidR="00121540" w:rsidRPr="00121540">
        <w:rPr>
          <w:i/>
          <w:iCs/>
          <w:lang w:val="es-ES"/>
        </w:rPr>
        <w:t>e implicaciones para la GIRH</w:t>
      </w:r>
      <w:r w:rsidR="00121540">
        <w:rPr>
          <w:lang w:val="es-ES"/>
        </w:rPr>
        <w:t xml:space="preserve"> </w:t>
      </w:r>
      <w:r w:rsidR="00121540" w:rsidRPr="00F043A9">
        <w:rPr>
          <w:i/>
          <w:iCs/>
          <w:lang w:val="es-ES"/>
        </w:rPr>
        <w:t>(POMCAs, PORHs, etc)</w:t>
      </w:r>
      <w:r w:rsidR="00BE1603">
        <w:rPr>
          <w:lang w:val="es-ES"/>
        </w:rPr>
        <w:t>.</w:t>
      </w:r>
    </w:p>
    <w:p w14:paraId="546957C5" w14:textId="6BE0DB10" w:rsidR="00A93C67" w:rsidRDefault="00DC73FC" w:rsidP="000200A9">
      <w:pPr>
        <w:pStyle w:val="Prrafodelista"/>
        <w:numPr>
          <w:ilvl w:val="1"/>
          <w:numId w:val="2"/>
        </w:numPr>
        <w:spacing w:line="276" w:lineRule="auto"/>
        <w:rPr>
          <w:lang w:val="es-ES"/>
        </w:rPr>
      </w:pPr>
      <w:r>
        <w:rPr>
          <w:lang w:val="es-ES"/>
        </w:rPr>
        <w:t xml:space="preserve">Incluirá talleres </w:t>
      </w:r>
      <w:r w:rsidR="00D609E7">
        <w:rPr>
          <w:lang w:val="es-ES"/>
        </w:rPr>
        <w:t>para aprender</w:t>
      </w:r>
      <w:r>
        <w:rPr>
          <w:lang w:val="es-ES"/>
        </w:rPr>
        <w:t xml:space="preserve"> herramientas de programación </w:t>
      </w:r>
      <w:r w:rsidR="004A19BD">
        <w:rPr>
          <w:lang w:val="es-ES"/>
        </w:rPr>
        <w:t xml:space="preserve">y formatos de archivo </w:t>
      </w:r>
      <w:r>
        <w:rPr>
          <w:lang w:val="es-ES"/>
        </w:rPr>
        <w:t>especializad</w:t>
      </w:r>
      <w:r w:rsidR="004A19BD">
        <w:rPr>
          <w:lang w:val="es-ES"/>
        </w:rPr>
        <w:t>os</w:t>
      </w:r>
      <w:r>
        <w:rPr>
          <w:lang w:val="es-ES"/>
        </w:rPr>
        <w:t xml:space="preserve"> (R, </w:t>
      </w:r>
      <w:r w:rsidR="00D609E7">
        <w:rPr>
          <w:lang w:val="es-ES"/>
        </w:rPr>
        <w:t xml:space="preserve">ncdf4 library, </w:t>
      </w:r>
      <w:r w:rsidR="004A19BD">
        <w:rPr>
          <w:lang w:val="es-ES"/>
        </w:rPr>
        <w:t xml:space="preserve">GRIB, </w:t>
      </w:r>
      <w:r w:rsidR="00D609E7">
        <w:rPr>
          <w:lang w:val="es-ES"/>
        </w:rPr>
        <w:t>CDO, etc</w:t>
      </w:r>
      <w:r w:rsidR="00B52107">
        <w:rPr>
          <w:lang w:val="es-ES"/>
        </w:rPr>
        <w:t>.</w:t>
      </w:r>
      <w:r w:rsidR="00D609E7">
        <w:rPr>
          <w:lang w:val="es-ES"/>
        </w:rPr>
        <w:t>)</w:t>
      </w:r>
      <w:r w:rsidR="001D4587">
        <w:rPr>
          <w:lang w:val="es-ES"/>
        </w:rPr>
        <w:t xml:space="preserve"> y se </w:t>
      </w:r>
      <w:r w:rsidR="008B524E">
        <w:rPr>
          <w:lang w:val="es-ES"/>
        </w:rPr>
        <w:t>verán</w:t>
      </w:r>
      <w:r w:rsidR="001D4587">
        <w:rPr>
          <w:lang w:val="es-ES"/>
        </w:rPr>
        <w:t xml:space="preserve"> en detalle las herramientas de predicción disponibles</w:t>
      </w:r>
      <w:r w:rsidR="008B524E">
        <w:rPr>
          <w:lang w:val="es-ES"/>
        </w:rPr>
        <w:t xml:space="preserve">; estas </w:t>
      </w:r>
      <w:r w:rsidR="008B524E">
        <w:rPr>
          <w:lang w:val="es-ES"/>
        </w:rPr>
        <w:lastRenderedPageBreak/>
        <w:t>incluyen</w:t>
      </w:r>
      <w:r w:rsidR="001D4587">
        <w:rPr>
          <w:lang w:val="es-ES"/>
        </w:rPr>
        <w:t xml:space="preserve"> </w:t>
      </w:r>
      <w:r w:rsidR="00BD5195">
        <w:rPr>
          <w:lang w:val="es-ES"/>
        </w:rPr>
        <w:t>los pronósticos estacionales de varios centros meteorológicos en Europa</w:t>
      </w:r>
      <w:r w:rsidR="00AF1F7D">
        <w:rPr>
          <w:lang w:val="es-ES"/>
        </w:rPr>
        <w:t xml:space="preserve"> </w:t>
      </w:r>
      <w:r w:rsidR="00751B15">
        <w:rPr>
          <w:lang w:val="es-ES"/>
        </w:rPr>
        <w:t xml:space="preserve">y el mundo </w:t>
      </w:r>
      <w:r w:rsidR="00447422">
        <w:rPr>
          <w:lang w:val="es-ES"/>
        </w:rPr>
        <w:fldChar w:fldCharType="begin" w:fldLock="1"/>
      </w:r>
      <w:r w:rsidR="00BD5AC7">
        <w:rPr>
          <w:lang w:val="es-ES"/>
        </w:rPr>
        <w:instrText>ADDIN CSL_CITATION {"citationItems":[{"id":"ITEM-1","itemData":{"DOI":"10.5194/gmd-12-1087-2019","ISSN":"19919603","abstract":"In this paper we describe SEAS5, ECMWF's fifth generation seasonal forecast system, which became operational in November 2017. Compared to its predecessor, System 4, SEAS5 is a substantially changed forecast system. It includes upgraded versions of the atmosphere and ocean models at higher resolutions, and adds a prognostic sea-ice model. Here, we describe the configuration of SEAS5 and summarise the most noticeable results from a set of diagnostics including biases, variability, teleconnections and forecast skill.&lt;/p&gt; &lt;p&gt;An important improvement in SEAS5 is the reduction of the equatorial Pacific cold tongue bias, which is accompanied by a more realistic El Niño amplitude and an improvement in El Niño prediction skill over the central-west Pacific. Improvements in 2&amp;thinsp;m temperature skill are also clear over the tropical Pacific. Sea-surface temperature (SST) biases in the northern extratropics change due to increased ocean resolution, especially in regions associated with western boundary currents. The increased ocean resolution exposes a new problem in the northwest Atlantic, where SEAS5 fails to capture decadal variability of the North Atlantic subpolar gyre, resulting in a degradation of DJF 2&amp;thinsp;m temperature prediction skill in this region. The prognostic sea-ice model improves seasonal predictions of sea-ice cover, although some regions and seasons suffer from biases introduced by employing a fully dynamical model rather than the simple, empirical scheme used in System 4. There are also improvements in 2&amp;thinsp;m temperature skill in the vicinity of the Arctic sea-ice edge. Cold temperature biases in the troposphere improve, but increase at the tropopause. Biases in the extratropical jets are larger than in System 4: extratropical jets are too strong, and displaced northwards in JJA. In summary, development and added complexity since System 4 has ensured that SEAS5 is a state-of-The-Art seasonal forecast system which continues to display a particular strength in the El Niño Southern Oscillation (ENSO) prediction.&lt;/p&gt;.","author":[{"dropping-particle":"","family":"Johnson","given":"Stephanie J.","non-dropping-particle":"","parse-names":false,"suffix":""},{"dropping-particle":"","family":"Stockdale","given":"Timothy N.","non-dropping-particle":"","parse-names":false,"suffix":""},{"dropping-particle":"","family":"Ferranti","given":"Laura","non-dropping-particle":"","parse-names":false,"suffix":""},{"dropping-particle":"","family":"Balmaseda","given":"Magdalena A.","non-dropping-particle":"","parse-names":false,"suffix":""},{"dropping-particle":"","family":"Molteni","given":"Franco","non-dropping-particle":"","parse-names":false,"suffix":""},{"dropping-particle":"","family":"Magnusson","given":"Linus","non-dropping-particle":"","parse-names":false,"suffix":""},{"dropping-particle":"","family":"Tietsche","given":"Steffen","non-dropping-particle":"","parse-names":false,"suffix":""},{"dropping-particle":"","family":"Decremer","given":"Damien","non-dropping-particle":"","parse-names":false,"suffix":""},{"dropping-particle":"","family":"Weisheimer","given":"Antje","non-dropping-particle":"","parse-names":false,"suffix":""},{"dropping-particle":"","family":"Balsamo","given":"Gianpaolo","non-dropping-particle":"","parse-names":false,"suffix":""},{"dropping-particle":"","family":"Keeley","given":"Sarah P.E.","non-dropping-particle":"","parse-names":false,"suffix":""},{"dropping-particle":"","family":"Mogensen","given":"Kristian","non-dropping-particle":"","parse-names":false,"suffix":""},{"dropping-particle":"","family":"Zuo","given":"Hao","non-dropping-particle":"","parse-names":false,"suffix":""},{"dropping-particle":"","family":"Monge-Sanz","given":"Beatriz M.","non-dropping-particle":"","parse-names":false,"suffix":""}],"container-title":"Geoscientific Model Development","id":"ITEM-1","issue":"3","issued":{"date-parts":[["2019"]]},"page":"1087-1117","title":"SEAS5: The new ECMWF seasonal forecast system","type":"article-journal","volume":"12"},"uris":["http://www.mendeley.com/documents/?uuid=9a97a2cd-a13c-4d94-b30f-d6ccb8f49e3d"]},{"id":"ITEM-2","itemData":{"DOI":"10.1002/essoar.10502582.1","author":[{"dropping-particle":"","family":"Fröhlich","given":"Kristina","non-dropping-particle":"","parse-names":false,"suffix":""},{"dropping-particle":"","family":"Dobrynin","given":"Mikhail","non-dropping-particle":"","parse-names":false,"suffix":""},{"dropping-particle":"","family":"Isensee","given":"Katharina","non-dropping-particle":"","parse-names":false,"suffix":""},{"dropping-particle":"","family":"Gessner","given":"Claudia","non-dropping-particle":"","parse-names":false,"suffix":""},{"dropping-particle":"","family":"Paxian","given":"Andreas","non-dropping-particle":"","parse-names":false,"suffix":""},{"dropping-particle":"","family":"Pohlmann","given":"Holger","non-dropping-particle":"","parse-names":false,"suffix":""},{"dropping-particle":"","family":"Haak","given":"Helmuth","non-dropping-particle":"","parse-names":false,"suffix":""},{"dropping-particle":"","family":"Brune","given":"Sebastian","non-dropping-particle":"","parse-names":false,"suffix":""},{"dropping-particle":"","family":"Früh","given":"Barbara","non-dropping-particle":"","parse-names":false,"suffix":""},{"dropping-particle":"","family":"Baehr","given":"Johanna","non-dropping-particle":"","parse-names":false,"suffix":""}],"id":"ITEM-2","issued":{"date-parts":[["2020","4","2"]]},"title":"The German Climate Forecast System: GCFS","type":"article"},"uris":["http://www.mendeley.com/documents/?uuid=aa217790-a566-4a41-b8d8-a14e2dabd1b5"]}],"mendeley":{"formattedCitation":"(Fröhlich et al., 2020; Johnson et al., 2019)","plainTextFormattedCitation":"(Fröhlich et al., 2020; Johnson et al., 2019)","previouslyFormattedCitation":"(Fröhlich et al., 2020; Johnson et al., 2019)"},"properties":{"noteIndex":0},"schema":"https://github.com/citation-style-language/schema/raw/master/csl-citation.json"}</w:instrText>
      </w:r>
      <w:r w:rsidR="00447422">
        <w:rPr>
          <w:lang w:val="es-ES"/>
        </w:rPr>
        <w:fldChar w:fldCharType="separate"/>
      </w:r>
      <w:r w:rsidR="00447422" w:rsidRPr="00447422">
        <w:rPr>
          <w:noProof/>
          <w:lang w:val="es-ES"/>
        </w:rPr>
        <w:t>(Fröhlich et al., 2020; Johnson et al., 2019)</w:t>
      </w:r>
      <w:r w:rsidR="00447422">
        <w:rPr>
          <w:lang w:val="es-ES"/>
        </w:rPr>
        <w:fldChar w:fldCharType="end"/>
      </w:r>
      <w:r w:rsidR="00AF1F7D">
        <w:rPr>
          <w:lang w:val="es-ES"/>
        </w:rPr>
        <w:t xml:space="preserve">, </w:t>
      </w:r>
      <w:r w:rsidR="001D4587">
        <w:rPr>
          <w:lang w:val="es-ES"/>
        </w:rPr>
        <w:t xml:space="preserve">y </w:t>
      </w:r>
      <w:r w:rsidR="00AF1F7D">
        <w:rPr>
          <w:lang w:val="es-ES"/>
        </w:rPr>
        <w:t xml:space="preserve">las que se propone </w:t>
      </w:r>
      <w:r w:rsidR="001D4587">
        <w:rPr>
          <w:lang w:val="es-ES"/>
        </w:rPr>
        <w:t>desarrolla</w:t>
      </w:r>
      <w:r w:rsidR="00AF1F7D">
        <w:rPr>
          <w:lang w:val="es-ES"/>
        </w:rPr>
        <w:t xml:space="preserve">r </w:t>
      </w:r>
      <w:r w:rsidR="001D4587">
        <w:rPr>
          <w:lang w:val="es-ES"/>
        </w:rPr>
        <w:t>en Colombia</w:t>
      </w:r>
      <w:r w:rsidR="00D609E7">
        <w:rPr>
          <w:lang w:val="es-ES"/>
        </w:rPr>
        <w:t>.</w:t>
      </w:r>
    </w:p>
    <w:p w14:paraId="0089DD87" w14:textId="2024E138" w:rsidR="00567B9A" w:rsidRPr="00567B9A" w:rsidRDefault="00300741" w:rsidP="000200A9">
      <w:pPr>
        <w:pStyle w:val="Prrafodelista"/>
        <w:numPr>
          <w:ilvl w:val="1"/>
          <w:numId w:val="2"/>
        </w:numPr>
        <w:spacing w:line="276" w:lineRule="auto"/>
        <w:rPr>
          <w:lang w:val="es-ES"/>
        </w:rPr>
      </w:pPr>
      <w:r>
        <w:rPr>
          <w:lang w:val="es-ES"/>
        </w:rPr>
        <w:t xml:space="preserve">El curso </w:t>
      </w:r>
      <w:r w:rsidR="006C09FD">
        <w:rPr>
          <w:lang w:val="es-ES"/>
        </w:rPr>
        <w:t>posiblemente</w:t>
      </w:r>
      <w:r>
        <w:rPr>
          <w:lang w:val="es-ES"/>
        </w:rPr>
        <w:t xml:space="preserve"> incluir</w:t>
      </w:r>
      <w:r w:rsidR="006C09FD">
        <w:rPr>
          <w:lang w:val="es-ES"/>
        </w:rPr>
        <w:t>á</w:t>
      </w:r>
      <w:r>
        <w:rPr>
          <w:lang w:val="es-ES"/>
        </w:rPr>
        <w:t xml:space="preserve"> una </w:t>
      </w:r>
      <w:r w:rsidR="00331720">
        <w:rPr>
          <w:lang w:val="es-ES"/>
        </w:rPr>
        <w:t>introducción</w:t>
      </w:r>
      <w:r>
        <w:rPr>
          <w:lang w:val="es-ES"/>
        </w:rPr>
        <w:t xml:space="preserve"> </w:t>
      </w:r>
      <w:r w:rsidR="001038A0">
        <w:rPr>
          <w:lang w:val="es-ES"/>
        </w:rPr>
        <w:t>a</w:t>
      </w:r>
      <w:r>
        <w:rPr>
          <w:lang w:val="es-ES"/>
        </w:rPr>
        <w:t xml:space="preserve"> </w:t>
      </w:r>
      <w:r w:rsidR="00331720">
        <w:rPr>
          <w:lang w:val="es-ES"/>
        </w:rPr>
        <w:t xml:space="preserve">medidas de </w:t>
      </w:r>
      <w:r w:rsidR="001038A0">
        <w:rPr>
          <w:lang w:val="es-ES"/>
        </w:rPr>
        <w:t>mitigación</w:t>
      </w:r>
      <w:r w:rsidR="00646313">
        <w:rPr>
          <w:lang w:val="es-ES"/>
        </w:rPr>
        <w:t xml:space="preserve"> </w:t>
      </w:r>
      <w:r w:rsidR="003577DD">
        <w:rPr>
          <w:lang w:val="es-ES"/>
        </w:rPr>
        <w:t>de cambio climático</w:t>
      </w:r>
      <w:r w:rsidR="001038A0">
        <w:rPr>
          <w:lang w:val="es-ES"/>
        </w:rPr>
        <w:t>, p.ej. captura de carbono</w:t>
      </w:r>
      <w:r w:rsidR="00880E35">
        <w:rPr>
          <w:lang w:val="es-ES"/>
        </w:rPr>
        <w:t xml:space="preserve"> en formaciones geológicas</w:t>
      </w:r>
      <w:r w:rsidR="001038A0">
        <w:rPr>
          <w:lang w:val="es-ES"/>
        </w:rPr>
        <w:t>, reducción de emisiones</w:t>
      </w:r>
      <w:r w:rsidR="00913DEF">
        <w:rPr>
          <w:lang w:val="es-ES"/>
        </w:rPr>
        <w:t>, geoingeniería</w:t>
      </w:r>
      <w:r w:rsidR="001038A0">
        <w:rPr>
          <w:lang w:val="es-ES"/>
        </w:rPr>
        <w:t>, etc.</w:t>
      </w:r>
    </w:p>
    <w:p w14:paraId="3E0D718A" w14:textId="14743766" w:rsidR="00DB4181" w:rsidRPr="00567B9A" w:rsidRDefault="00567B9A" w:rsidP="000B3A18">
      <w:pPr>
        <w:pStyle w:val="Prrafodelista"/>
        <w:numPr>
          <w:ilvl w:val="0"/>
          <w:numId w:val="2"/>
        </w:numPr>
        <w:spacing w:line="276" w:lineRule="auto"/>
        <w:rPr>
          <w:lang w:val="es-ES"/>
        </w:rPr>
      </w:pPr>
      <w:r>
        <w:rPr>
          <w:lang w:val="es-ES"/>
        </w:rPr>
        <w:t>Revitalizar</w:t>
      </w:r>
      <w:r w:rsidR="009F7DE9" w:rsidRPr="00567B9A">
        <w:rPr>
          <w:lang w:val="es-ES"/>
        </w:rPr>
        <w:t xml:space="preserve"> </w:t>
      </w:r>
      <w:r w:rsidR="003177A7" w:rsidRPr="00567B9A">
        <w:rPr>
          <w:lang w:val="es-ES"/>
        </w:rPr>
        <w:t>el curs</w:t>
      </w:r>
      <w:r w:rsidR="00A513D0" w:rsidRPr="00567B9A">
        <w:rPr>
          <w:lang w:val="es-ES"/>
        </w:rPr>
        <w:t xml:space="preserve">o de </w:t>
      </w:r>
      <w:r w:rsidR="001E467D" w:rsidRPr="00567B9A">
        <w:rPr>
          <w:i/>
          <w:iCs/>
          <w:lang w:val="es-ES"/>
        </w:rPr>
        <w:t>Gestión</w:t>
      </w:r>
      <w:r w:rsidR="00A513D0" w:rsidRPr="00567B9A">
        <w:rPr>
          <w:i/>
          <w:iCs/>
          <w:lang w:val="es-ES"/>
        </w:rPr>
        <w:t xml:space="preserve"> Integral del Recurso Hídrico</w:t>
      </w:r>
      <w:r w:rsidR="00A513D0" w:rsidRPr="00567B9A">
        <w:rPr>
          <w:lang w:val="es-ES"/>
        </w:rPr>
        <w:t xml:space="preserve"> </w:t>
      </w:r>
      <w:r w:rsidR="001E467D" w:rsidRPr="00567B9A">
        <w:rPr>
          <w:lang w:val="es-ES"/>
        </w:rPr>
        <w:t>[</w:t>
      </w:r>
      <w:r w:rsidR="00BE786D">
        <w:rPr>
          <w:lang w:val="es-ES"/>
        </w:rPr>
        <w:t>2020509</w:t>
      </w:r>
      <w:r w:rsidR="001E467D" w:rsidRPr="00567B9A">
        <w:rPr>
          <w:lang w:val="es-ES"/>
        </w:rPr>
        <w:t>]</w:t>
      </w:r>
      <w:r w:rsidR="00B23246" w:rsidRPr="00567B9A">
        <w:rPr>
          <w:lang w:val="es-ES"/>
        </w:rPr>
        <w:t xml:space="preserve">, </w:t>
      </w:r>
      <w:r w:rsidR="00E94A34" w:rsidRPr="00567B9A">
        <w:rPr>
          <w:lang w:val="es-ES"/>
        </w:rPr>
        <w:t>curso</w:t>
      </w:r>
      <w:r w:rsidR="00B23246" w:rsidRPr="00567B9A">
        <w:rPr>
          <w:lang w:val="es-ES"/>
        </w:rPr>
        <w:t xml:space="preserve"> </w:t>
      </w:r>
      <w:r w:rsidR="00094AD2" w:rsidRPr="00567B9A">
        <w:rPr>
          <w:lang w:val="es-ES"/>
        </w:rPr>
        <w:t>que debe</w:t>
      </w:r>
      <w:r w:rsidR="00B23246" w:rsidRPr="00567B9A">
        <w:rPr>
          <w:lang w:val="es-ES"/>
        </w:rPr>
        <w:t xml:space="preserve"> dictar</w:t>
      </w:r>
      <w:r w:rsidR="00094AD2" w:rsidRPr="00567B9A">
        <w:rPr>
          <w:lang w:val="es-ES"/>
        </w:rPr>
        <w:t>se</w:t>
      </w:r>
      <w:r w:rsidR="00B23246" w:rsidRPr="00567B9A">
        <w:rPr>
          <w:lang w:val="es-ES"/>
        </w:rPr>
        <w:t xml:space="preserve"> </w:t>
      </w:r>
      <w:r w:rsidR="00094AD2" w:rsidRPr="00567B9A">
        <w:rPr>
          <w:lang w:val="es-ES"/>
        </w:rPr>
        <w:t>recurren</w:t>
      </w:r>
      <w:r w:rsidR="00B23246" w:rsidRPr="00567B9A">
        <w:rPr>
          <w:lang w:val="es-ES"/>
        </w:rPr>
        <w:t>temente para que los egresados del posgrado</w:t>
      </w:r>
      <w:r w:rsidR="00105A43" w:rsidRPr="00567B9A">
        <w:rPr>
          <w:lang w:val="es-ES"/>
        </w:rPr>
        <w:t xml:space="preserve"> tengan claro el gran </w:t>
      </w:r>
      <w:r w:rsidR="00E94A34" w:rsidRPr="00567B9A">
        <w:rPr>
          <w:lang w:val="es-ES"/>
        </w:rPr>
        <w:t>número</w:t>
      </w:r>
      <w:r w:rsidR="00105A43" w:rsidRPr="00567B9A">
        <w:rPr>
          <w:lang w:val="es-ES"/>
        </w:rPr>
        <w:t xml:space="preserve"> de instrumentos </w:t>
      </w:r>
      <w:r w:rsidR="00437F84">
        <w:rPr>
          <w:lang w:val="es-ES"/>
        </w:rPr>
        <w:t xml:space="preserve">del régimen jurídico </w:t>
      </w:r>
      <w:r w:rsidR="00107703">
        <w:rPr>
          <w:lang w:val="es-ES"/>
        </w:rPr>
        <w:t>del agua en Colombia,</w:t>
      </w:r>
      <w:r w:rsidR="00E94A34" w:rsidRPr="00567B9A">
        <w:rPr>
          <w:lang w:val="es-ES"/>
        </w:rPr>
        <w:t xml:space="preserve"> </w:t>
      </w:r>
      <w:r w:rsidR="00A6423B" w:rsidRPr="00567B9A">
        <w:rPr>
          <w:lang w:val="es-ES"/>
        </w:rPr>
        <w:t>definidos</w:t>
      </w:r>
      <w:r w:rsidR="00E94A34" w:rsidRPr="00567B9A">
        <w:rPr>
          <w:lang w:val="es-ES"/>
        </w:rPr>
        <w:t xml:space="preserve"> </w:t>
      </w:r>
      <w:r w:rsidR="00A375CE" w:rsidRPr="00567B9A">
        <w:rPr>
          <w:lang w:val="es-ES"/>
        </w:rPr>
        <w:t>en</w:t>
      </w:r>
      <w:r w:rsidR="00E94A34" w:rsidRPr="00567B9A">
        <w:rPr>
          <w:lang w:val="es-ES"/>
        </w:rPr>
        <w:t xml:space="preserve"> la </w:t>
      </w:r>
      <w:r w:rsidR="00A375CE" w:rsidRPr="00567B9A">
        <w:rPr>
          <w:lang w:val="es-ES"/>
        </w:rPr>
        <w:t>PN</w:t>
      </w:r>
      <w:r w:rsidR="00E94A34" w:rsidRPr="00567B9A">
        <w:rPr>
          <w:lang w:val="es-ES"/>
        </w:rPr>
        <w:t>GIRH</w:t>
      </w:r>
      <w:r w:rsidR="00A375CE" w:rsidRPr="00567B9A">
        <w:rPr>
          <w:lang w:val="es-ES"/>
        </w:rPr>
        <w:t xml:space="preserve"> </w:t>
      </w:r>
      <w:r w:rsidR="00A375CE" w:rsidRPr="00567B9A">
        <w:rPr>
          <w:lang w:val="es-ES"/>
        </w:rPr>
        <w:fldChar w:fldCharType="begin" w:fldLock="1"/>
      </w:r>
      <w:r w:rsidR="00410734">
        <w:rPr>
          <w:lang w:val="es-ES"/>
        </w:rPr>
        <w:instrText>ADDIN CSL_CITATION {"citationItems":[{"id":"ITEM-1","itemData":{"ISBN":"978-958-8491-35-6","author":[{"dropping-particle":"","family":"MinAmbiente","given":"","non-dropping-particle":"","parse-names":false,"suffix":""}],"id":"ITEM-1","issued":{"date-parts":[["2010"]]},"number-of-pages":"128","publisher":"Ministerio de Ambiente y desarrollo sostenible","publisher-place":"Bogotá D.C., Colombia","title":"Política nacional para la gestión integral del recurso hídrico","type":"book"},"uris":["http://www.mendeley.com/documents/?uuid=25eafc24-34a4-418c-96ee-c41570d9691c"]}],"mendeley":{"formattedCitation":"(MinAmbiente, 2010)","plainTextFormattedCitation":"(MinAmbiente, 2010)","previouslyFormattedCitation":"(MinAmbiente, 2010)"},"properties":{"noteIndex":0},"schema":"https://github.com/citation-style-language/schema/raw/master/csl-citation.json"}</w:instrText>
      </w:r>
      <w:r w:rsidR="00A375CE" w:rsidRPr="00567B9A">
        <w:rPr>
          <w:lang w:val="es-ES"/>
        </w:rPr>
        <w:fldChar w:fldCharType="separate"/>
      </w:r>
      <w:r w:rsidR="00A375CE" w:rsidRPr="00567B9A">
        <w:rPr>
          <w:noProof/>
          <w:lang w:val="es-ES"/>
        </w:rPr>
        <w:t>(MinAmbiente, 2010)</w:t>
      </w:r>
      <w:r w:rsidR="00A375CE" w:rsidRPr="00567B9A">
        <w:rPr>
          <w:lang w:val="es-ES"/>
        </w:rPr>
        <w:fldChar w:fldCharType="end"/>
      </w:r>
      <w:r>
        <w:rPr>
          <w:lang w:val="es-ES"/>
        </w:rPr>
        <w:t>.</w:t>
      </w:r>
      <w:r w:rsidRPr="00567B9A">
        <w:rPr>
          <w:lang w:val="es-ES"/>
        </w:rPr>
        <w:t xml:space="preserve"> </w:t>
      </w:r>
      <w:r w:rsidR="00410734">
        <w:rPr>
          <w:lang w:val="es-ES"/>
        </w:rPr>
        <w:t xml:space="preserve">Se incluirá una descripción de los instrumentos de monitoreo </w:t>
      </w:r>
      <w:r w:rsidR="004875F3">
        <w:rPr>
          <w:lang w:val="es-ES"/>
        </w:rPr>
        <w:t>de la PNGIRH</w:t>
      </w:r>
      <w:r w:rsidR="00122E56">
        <w:rPr>
          <w:lang w:val="es-ES"/>
        </w:rPr>
        <w:t xml:space="preserve"> como </w:t>
      </w:r>
      <w:r w:rsidR="008A3A2A">
        <w:rPr>
          <w:lang w:val="es-ES"/>
        </w:rPr>
        <w:t xml:space="preserve">el PNMRH y </w:t>
      </w:r>
      <w:r w:rsidR="00A9706F">
        <w:rPr>
          <w:lang w:val="es-ES"/>
        </w:rPr>
        <w:t xml:space="preserve">los </w:t>
      </w:r>
      <w:r w:rsidR="008A3A2A">
        <w:rPr>
          <w:lang w:val="es-ES"/>
        </w:rPr>
        <w:t>PIRMAs</w:t>
      </w:r>
      <w:r w:rsidR="004875F3">
        <w:rPr>
          <w:lang w:val="es-ES"/>
        </w:rPr>
        <w:t xml:space="preserve"> </w:t>
      </w:r>
      <w:r w:rsidR="00410734">
        <w:rPr>
          <w:lang w:val="es-ES"/>
        </w:rPr>
        <w:fldChar w:fldCharType="begin" w:fldLock="1"/>
      </w:r>
      <w:r w:rsidR="00AF1F7D">
        <w:rPr>
          <w:lang w:val="es-ES"/>
        </w:rPr>
        <w:instrText>ADDIN CSL_CITATION {"citationItems":[{"id":"ITEM-1","itemData":{"ISBN":"978-628-7598-24-9","author":[{"dropping-particle":"","family":"MinAmbiente","given":"","non-dropping-particle":"","parse-names":false,"suffix":""}],"id":"ITEM-1","issued":{"date-parts":[["2024"]]},"number-of-pages":"100","publisher":"Ministerio de Ambiente y desarrollo sostenible","publisher-place":"Bogotá D.C., Colombia","title":"Programa nacional de monitoreo del recurso hídrico","type":"book"},"uris":["http://www.mendeley.com/documents/?uuid=19e110e3-83f9-4ee5-9d33-ab3add00e081"]}],"mendeley":{"formattedCitation":"(MinAmbiente, 2024)","plainTextFormattedCitation":"(MinAmbiente, 2024)","previouslyFormattedCitation":"(MinAmbiente, 2024)"},"properties":{"noteIndex":0},"schema":"https://github.com/citation-style-language/schema/raw/master/csl-citation.json"}</w:instrText>
      </w:r>
      <w:r w:rsidR="00410734">
        <w:rPr>
          <w:lang w:val="es-ES"/>
        </w:rPr>
        <w:fldChar w:fldCharType="separate"/>
      </w:r>
      <w:r w:rsidR="00410734" w:rsidRPr="00410734">
        <w:rPr>
          <w:noProof/>
          <w:lang w:val="es-ES"/>
        </w:rPr>
        <w:t>(MinAmbiente, 2024)</w:t>
      </w:r>
      <w:r w:rsidR="00410734">
        <w:rPr>
          <w:lang w:val="es-ES"/>
        </w:rPr>
        <w:fldChar w:fldCharType="end"/>
      </w:r>
      <w:r w:rsidR="00410734">
        <w:rPr>
          <w:lang w:val="es-ES"/>
        </w:rPr>
        <w:t xml:space="preserve">, y cómo </w:t>
      </w:r>
      <w:r w:rsidR="004875F3">
        <w:rPr>
          <w:lang w:val="es-ES"/>
        </w:rPr>
        <w:t>las</w:t>
      </w:r>
      <w:r w:rsidR="00410734">
        <w:rPr>
          <w:lang w:val="es-ES"/>
        </w:rPr>
        <w:t xml:space="preserve"> herramientas de predicción aportan a cumplir su función</w:t>
      </w:r>
      <w:r w:rsidR="00E6626B">
        <w:rPr>
          <w:lang w:val="es-ES"/>
        </w:rPr>
        <w:t>.</w:t>
      </w:r>
      <w:r w:rsidR="00617C14">
        <w:rPr>
          <w:lang w:val="es-ES"/>
        </w:rPr>
        <w:t xml:space="preserve"> </w:t>
      </w:r>
      <w:r w:rsidR="00E6626B">
        <w:rPr>
          <w:lang w:val="es-ES"/>
        </w:rPr>
        <w:t>S</w:t>
      </w:r>
      <w:r w:rsidR="00617C14">
        <w:rPr>
          <w:lang w:val="es-ES"/>
        </w:rPr>
        <w:t xml:space="preserve">e incluirá una </w:t>
      </w:r>
      <w:r w:rsidR="00E76947">
        <w:rPr>
          <w:lang w:val="es-ES"/>
        </w:rPr>
        <w:t>introduc</w:t>
      </w:r>
      <w:r w:rsidR="00617C14">
        <w:rPr>
          <w:lang w:val="es-ES"/>
        </w:rPr>
        <w:t xml:space="preserve">ción </w:t>
      </w:r>
      <w:r w:rsidR="00DC1974">
        <w:rPr>
          <w:lang w:val="es-ES"/>
        </w:rPr>
        <w:t>a</w:t>
      </w:r>
      <w:r w:rsidR="00617C14">
        <w:rPr>
          <w:lang w:val="es-ES"/>
        </w:rPr>
        <w:t xml:space="preserve"> las herramientas </w:t>
      </w:r>
      <w:r w:rsidR="0095341B">
        <w:rPr>
          <w:lang w:val="es-ES"/>
        </w:rPr>
        <w:t>de predicción disponibles</w:t>
      </w:r>
      <w:r w:rsidR="007C38C2">
        <w:rPr>
          <w:lang w:val="es-ES"/>
        </w:rPr>
        <w:t xml:space="preserve">, </w:t>
      </w:r>
      <w:r w:rsidR="00FC2FC2">
        <w:rPr>
          <w:lang w:val="es-ES"/>
        </w:rPr>
        <w:t>sitios de consulta</w:t>
      </w:r>
      <w:r w:rsidR="00893E3D">
        <w:rPr>
          <w:lang w:val="es-ES"/>
        </w:rPr>
        <w:t xml:space="preserve"> (web-based apps),</w:t>
      </w:r>
      <w:r w:rsidR="0095341B">
        <w:rPr>
          <w:lang w:val="es-ES"/>
        </w:rPr>
        <w:t xml:space="preserve"> y se promoverá que </w:t>
      </w:r>
      <w:r w:rsidR="006E5EEB">
        <w:rPr>
          <w:lang w:val="es-ES"/>
        </w:rPr>
        <w:t xml:space="preserve">los estudiantes interesados </w:t>
      </w:r>
      <w:r w:rsidR="00E76947">
        <w:rPr>
          <w:lang w:val="es-ES"/>
        </w:rPr>
        <w:t xml:space="preserve">en los detalles </w:t>
      </w:r>
      <w:r w:rsidR="006E5EEB">
        <w:rPr>
          <w:lang w:val="es-ES"/>
        </w:rPr>
        <w:t xml:space="preserve">tomen </w:t>
      </w:r>
      <w:r w:rsidR="007F5FE6">
        <w:rPr>
          <w:lang w:val="es-ES"/>
        </w:rPr>
        <w:t xml:space="preserve">la asignatura </w:t>
      </w:r>
      <w:r w:rsidR="00596E32">
        <w:rPr>
          <w:lang w:val="es-ES"/>
        </w:rPr>
        <w:t>de variabilidad climática y cambio climático</w:t>
      </w:r>
      <w:r w:rsidR="00410734">
        <w:rPr>
          <w:lang w:val="es-ES"/>
        </w:rPr>
        <w:t>.</w:t>
      </w:r>
      <w:r w:rsidR="005327E5">
        <w:rPr>
          <w:lang w:val="es-ES"/>
        </w:rPr>
        <w:t xml:space="preserve"> </w:t>
      </w:r>
      <w:r w:rsidR="00934836">
        <w:rPr>
          <w:lang w:val="es-ES"/>
        </w:rPr>
        <w:t>Se resaltar</w:t>
      </w:r>
      <w:r w:rsidR="00AB06D8">
        <w:rPr>
          <w:lang w:val="es-ES"/>
        </w:rPr>
        <w:t>án</w:t>
      </w:r>
      <w:r w:rsidR="00934836">
        <w:rPr>
          <w:lang w:val="es-ES"/>
        </w:rPr>
        <w:t xml:space="preserve"> las herramientas </w:t>
      </w:r>
      <w:r w:rsidR="00432309">
        <w:rPr>
          <w:lang w:val="es-ES"/>
        </w:rPr>
        <w:t xml:space="preserve">de soporte a la decisión (DSS) </w:t>
      </w:r>
      <w:r w:rsidR="00934836">
        <w:rPr>
          <w:lang w:val="es-ES"/>
        </w:rPr>
        <w:t>nacionales ya existentes como FEWS-IDEAM</w:t>
      </w:r>
      <w:r w:rsidR="000B3A18">
        <w:rPr>
          <w:lang w:val="es-ES"/>
        </w:rPr>
        <w:t xml:space="preserve"> o el </w:t>
      </w:r>
      <w:r w:rsidR="00474FA5">
        <w:rPr>
          <w:lang w:val="es-ES"/>
        </w:rPr>
        <w:t xml:space="preserve">IDEAM </w:t>
      </w:r>
      <w:r w:rsidR="000B3A18">
        <w:rPr>
          <w:lang w:val="es-ES"/>
        </w:rPr>
        <w:t>next-gen desarrollado en conjunto con el IRI-</w:t>
      </w:r>
      <w:r w:rsidR="00752196">
        <w:rPr>
          <w:lang w:val="es-ES"/>
        </w:rPr>
        <w:t>C</w:t>
      </w:r>
      <w:r w:rsidR="000B3A18">
        <w:rPr>
          <w:lang w:val="es-ES"/>
        </w:rPr>
        <w:t xml:space="preserve">olumbia </w:t>
      </w:r>
      <w:r w:rsidR="0088295C">
        <w:rPr>
          <w:lang w:val="es-ES"/>
        </w:rPr>
        <w:t>U</w:t>
      </w:r>
      <w:r w:rsidR="000B3A18">
        <w:rPr>
          <w:lang w:val="es-ES"/>
        </w:rPr>
        <w:t>niversity.</w:t>
      </w:r>
    </w:p>
    <w:p w14:paraId="4386B0E8" w14:textId="37C96EA4" w:rsidR="00004CEE" w:rsidRDefault="00210796" w:rsidP="0002224E">
      <w:pPr>
        <w:spacing w:line="276" w:lineRule="auto"/>
        <w:rPr>
          <w:lang w:val="es-ES"/>
        </w:rPr>
      </w:pPr>
      <w:r>
        <w:rPr>
          <w:lang w:val="es-ES"/>
        </w:rPr>
        <w:t>En conjunto con el componente de extensión</w:t>
      </w:r>
      <w:r w:rsidR="00D5717A">
        <w:rPr>
          <w:lang w:val="es-ES"/>
        </w:rPr>
        <w:t>,</w:t>
      </w:r>
      <w:r w:rsidR="00D65D87">
        <w:rPr>
          <w:lang w:val="es-ES"/>
        </w:rPr>
        <w:t xml:space="preserve"> se </w:t>
      </w:r>
      <w:r w:rsidR="00046B48">
        <w:rPr>
          <w:lang w:val="es-ES"/>
        </w:rPr>
        <w:t>propone</w:t>
      </w:r>
      <w:r w:rsidR="00F74224">
        <w:rPr>
          <w:lang w:val="es-ES"/>
        </w:rPr>
        <w:t xml:space="preserve"> crear cursos de educación continua </w:t>
      </w:r>
      <w:r w:rsidR="009C46FD">
        <w:rPr>
          <w:lang w:val="es-ES"/>
        </w:rPr>
        <w:t xml:space="preserve">(diplomados) </w:t>
      </w:r>
      <w:r w:rsidR="00046B48">
        <w:rPr>
          <w:lang w:val="es-ES"/>
        </w:rPr>
        <w:t>orientados</w:t>
      </w:r>
      <w:r w:rsidR="00F74224">
        <w:rPr>
          <w:lang w:val="es-ES"/>
        </w:rPr>
        <w:t xml:space="preserve"> a funcionarios </w:t>
      </w:r>
      <w:r w:rsidR="00BE1D95">
        <w:rPr>
          <w:lang w:val="es-ES"/>
        </w:rPr>
        <w:t xml:space="preserve">del sistema nacional ambiental </w:t>
      </w:r>
      <w:r w:rsidR="008B2DA0">
        <w:rPr>
          <w:lang w:val="es-ES"/>
        </w:rPr>
        <w:t>(</w:t>
      </w:r>
      <w:r w:rsidR="00BE1D95">
        <w:rPr>
          <w:lang w:val="es-ES"/>
        </w:rPr>
        <w:t>SINA</w:t>
      </w:r>
      <w:r w:rsidR="008B2DA0">
        <w:rPr>
          <w:lang w:val="es-ES"/>
        </w:rPr>
        <w:t xml:space="preserve">, como las </w:t>
      </w:r>
      <w:r w:rsidR="00BE1D95">
        <w:rPr>
          <w:lang w:val="es-ES"/>
        </w:rPr>
        <w:t>CARs, MinAmbiente</w:t>
      </w:r>
      <w:r w:rsidR="00581338">
        <w:rPr>
          <w:lang w:val="es-ES"/>
        </w:rPr>
        <w:t>, ANLA</w:t>
      </w:r>
      <w:r w:rsidR="00BE1D95">
        <w:rPr>
          <w:lang w:val="es-ES"/>
        </w:rPr>
        <w:t>, institutos</w:t>
      </w:r>
      <w:r w:rsidR="00046B48">
        <w:rPr>
          <w:lang w:val="es-ES"/>
        </w:rPr>
        <w:t>, etc.</w:t>
      </w:r>
      <w:r w:rsidR="00BB685F">
        <w:rPr>
          <w:lang w:val="es-ES"/>
        </w:rPr>
        <w:t>). Estos pueden realizarse como convenios interadm</w:t>
      </w:r>
      <w:r w:rsidR="00046B48">
        <w:rPr>
          <w:lang w:val="es-ES"/>
        </w:rPr>
        <w:t xml:space="preserve">inistrativos y </w:t>
      </w:r>
      <w:r w:rsidR="00BB685F">
        <w:rPr>
          <w:lang w:val="es-ES"/>
        </w:rPr>
        <w:t xml:space="preserve">buscarán </w:t>
      </w:r>
      <w:r w:rsidR="00046B48">
        <w:rPr>
          <w:lang w:val="es-ES"/>
        </w:rPr>
        <w:t xml:space="preserve">actualizar a los funcionarios </w:t>
      </w:r>
      <w:r w:rsidR="001D02A3">
        <w:rPr>
          <w:lang w:val="es-ES"/>
        </w:rPr>
        <w:t>con</w:t>
      </w:r>
      <w:r w:rsidR="00046B48">
        <w:rPr>
          <w:lang w:val="es-ES"/>
        </w:rPr>
        <w:t xml:space="preserve"> </w:t>
      </w:r>
      <w:r w:rsidR="001D02A3">
        <w:rPr>
          <w:lang w:val="es-ES"/>
        </w:rPr>
        <w:t xml:space="preserve">los </w:t>
      </w:r>
      <w:r w:rsidR="00046B48">
        <w:rPr>
          <w:lang w:val="es-ES"/>
        </w:rPr>
        <w:t>conocimientos y herramientas disponibles</w:t>
      </w:r>
      <w:r w:rsidR="00D805D3">
        <w:rPr>
          <w:lang w:val="es-ES"/>
        </w:rPr>
        <w:t xml:space="preserve">. </w:t>
      </w:r>
      <w:r w:rsidR="000732BB">
        <w:rPr>
          <w:lang w:val="es-ES"/>
        </w:rPr>
        <w:t>Los</w:t>
      </w:r>
      <w:r w:rsidR="00D805D3">
        <w:rPr>
          <w:lang w:val="es-ES"/>
        </w:rPr>
        <w:t xml:space="preserve"> temario</w:t>
      </w:r>
      <w:r w:rsidR="000732BB">
        <w:rPr>
          <w:lang w:val="es-ES"/>
        </w:rPr>
        <w:t>s</w:t>
      </w:r>
      <w:r w:rsidR="00D805D3">
        <w:rPr>
          <w:lang w:val="es-ES"/>
        </w:rPr>
        <w:t xml:space="preserve"> </w:t>
      </w:r>
      <w:r w:rsidR="009910D4">
        <w:rPr>
          <w:lang w:val="es-ES"/>
        </w:rPr>
        <w:t>ser</w:t>
      </w:r>
      <w:r w:rsidR="000732BB">
        <w:rPr>
          <w:lang w:val="es-ES"/>
        </w:rPr>
        <w:t>án</w:t>
      </w:r>
      <w:r w:rsidR="009910D4">
        <w:rPr>
          <w:lang w:val="es-ES"/>
        </w:rPr>
        <w:t xml:space="preserve"> similar</w:t>
      </w:r>
      <w:r w:rsidR="000732BB">
        <w:rPr>
          <w:lang w:val="es-ES"/>
        </w:rPr>
        <w:t>es</w:t>
      </w:r>
      <w:r w:rsidR="009910D4">
        <w:rPr>
          <w:lang w:val="es-ES"/>
        </w:rPr>
        <w:t xml:space="preserve"> al curso propuesto para posgrado;</w:t>
      </w:r>
      <w:r w:rsidR="00A0371F">
        <w:rPr>
          <w:lang w:val="es-ES"/>
        </w:rPr>
        <w:t xml:space="preserve"> </w:t>
      </w:r>
      <w:r w:rsidR="009910D4">
        <w:rPr>
          <w:lang w:val="es-ES"/>
        </w:rPr>
        <w:t>s</w:t>
      </w:r>
      <w:r w:rsidR="00A0371F">
        <w:rPr>
          <w:lang w:val="es-ES"/>
        </w:rPr>
        <w:t xml:space="preserve">in embargo, </w:t>
      </w:r>
      <w:r w:rsidR="00C53D25">
        <w:rPr>
          <w:lang w:val="es-ES"/>
        </w:rPr>
        <w:t xml:space="preserve">el alcance de </w:t>
      </w:r>
      <w:r w:rsidR="00070D8D">
        <w:rPr>
          <w:lang w:val="es-ES"/>
        </w:rPr>
        <w:t xml:space="preserve">los temas dictados </w:t>
      </w:r>
      <w:r w:rsidR="00C53D25">
        <w:rPr>
          <w:lang w:val="es-ES"/>
        </w:rPr>
        <w:t>debe</w:t>
      </w:r>
      <w:r w:rsidR="00166209">
        <w:rPr>
          <w:lang w:val="es-ES"/>
        </w:rPr>
        <w:t xml:space="preserve"> dividirse</w:t>
      </w:r>
      <w:r w:rsidR="00EA2F8C">
        <w:rPr>
          <w:lang w:val="es-ES"/>
        </w:rPr>
        <w:t xml:space="preserve"> en</w:t>
      </w:r>
      <w:r w:rsidR="00166209">
        <w:rPr>
          <w:lang w:val="es-ES"/>
        </w:rPr>
        <w:t xml:space="preserve"> dos </w:t>
      </w:r>
      <w:r w:rsidR="00D61DD8">
        <w:rPr>
          <w:lang w:val="es-ES"/>
        </w:rPr>
        <w:t>cursos</w:t>
      </w:r>
      <w:r w:rsidR="00166209">
        <w:rPr>
          <w:lang w:val="es-ES"/>
        </w:rPr>
        <w:t xml:space="preserve"> </w:t>
      </w:r>
      <w:r w:rsidR="00EA2F8C">
        <w:rPr>
          <w:lang w:val="es-ES"/>
        </w:rPr>
        <w:t xml:space="preserve">(variabilidad y cambio </w:t>
      </w:r>
      <w:r w:rsidR="00A53DCF">
        <w:rPr>
          <w:lang w:val="es-ES"/>
        </w:rPr>
        <w:t>climático)</w:t>
      </w:r>
      <w:r w:rsidR="00EA2F8C">
        <w:rPr>
          <w:lang w:val="es-ES"/>
        </w:rPr>
        <w:t xml:space="preserve">, </w:t>
      </w:r>
      <w:r w:rsidR="00166209">
        <w:rPr>
          <w:lang w:val="es-ES"/>
        </w:rPr>
        <w:t xml:space="preserve">para </w:t>
      </w:r>
      <w:r w:rsidR="00EA2F8C">
        <w:rPr>
          <w:lang w:val="es-ES"/>
        </w:rPr>
        <w:t xml:space="preserve">dar espacio </w:t>
      </w:r>
      <w:r w:rsidR="00485FFF">
        <w:rPr>
          <w:lang w:val="es-ES"/>
        </w:rPr>
        <w:t xml:space="preserve">a </w:t>
      </w:r>
      <w:r w:rsidR="008B2DA0">
        <w:rPr>
          <w:lang w:val="es-ES"/>
        </w:rPr>
        <w:t>cómo</w:t>
      </w:r>
      <w:r w:rsidR="00D61DD8">
        <w:rPr>
          <w:lang w:val="es-ES"/>
        </w:rPr>
        <w:t xml:space="preserve"> </w:t>
      </w:r>
      <w:r w:rsidR="00485FFF">
        <w:rPr>
          <w:lang w:val="es-ES"/>
        </w:rPr>
        <w:t>se enlaza</w:t>
      </w:r>
      <w:r w:rsidR="00CE3510">
        <w:rPr>
          <w:lang w:val="es-ES"/>
        </w:rPr>
        <w:t>n las herramientas</w:t>
      </w:r>
      <w:r w:rsidR="00485FFF">
        <w:rPr>
          <w:lang w:val="es-ES"/>
        </w:rPr>
        <w:t xml:space="preserve"> con las misionalidades de las instituciones del SINA</w:t>
      </w:r>
      <w:r w:rsidR="00057E99">
        <w:rPr>
          <w:lang w:val="es-ES"/>
        </w:rPr>
        <w:t xml:space="preserve"> que estén tomando el curso</w:t>
      </w:r>
      <w:r w:rsidR="001D2A25">
        <w:rPr>
          <w:lang w:val="es-ES"/>
        </w:rPr>
        <w:t xml:space="preserve"> y con la PNGIRH</w:t>
      </w:r>
      <w:r w:rsidR="008B2DA0">
        <w:rPr>
          <w:lang w:val="es-ES"/>
        </w:rPr>
        <w:t>.</w:t>
      </w:r>
    </w:p>
    <w:p w14:paraId="5E64BBB0" w14:textId="3EE3718A" w:rsidR="00EA0532" w:rsidRPr="000D50F9" w:rsidRDefault="00EA0532" w:rsidP="003E5D02">
      <w:pPr>
        <w:pStyle w:val="Ttulo1"/>
        <w:numPr>
          <w:ilvl w:val="0"/>
          <w:numId w:val="5"/>
        </w:numPr>
        <w:spacing w:line="276" w:lineRule="auto"/>
        <w:rPr>
          <w:lang w:val="es-ES"/>
        </w:rPr>
      </w:pPr>
      <w:bookmarkStart w:id="2" w:name="_Propuesta_del_componente_2"/>
      <w:bookmarkEnd w:id="2"/>
      <w:r w:rsidRPr="000D50F9">
        <w:rPr>
          <w:lang w:val="es-ES"/>
        </w:rPr>
        <w:t>Propuesta del componente de investigación</w:t>
      </w:r>
    </w:p>
    <w:p w14:paraId="082CE290" w14:textId="74E924BB" w:rsidR="00333102" w:rsidRDefault="00FD4790" w:rsidP="006D7032">
      <w:pPr>
        <w:spacing w:line="276" w:lineRule="auto"/>
      </w:pPr>
      <w:r>
        <w:t>La</w:t>
      </w:r>
      <w:r w:rsidR="004C53C3">
        <w:t xml:space="preserve"> variabilidad climática</w:t>
      </w:r>
      <w:r>
        <w:t xml:space="preserve"> </w:t>
      </w:r>
      <w:r w:rsidR="008F4780">
        <w:t>tiene</w:t>
      </w:r>
      <w:r w:rsidR="00F40001">
        <w:t xml:space="preserve"> muchas fuentes</w:t>
      </w:r>
      <w:r w:rsidR="0065467A">
        <w:t>/fenómenos</w:t>
      </w:r>
      <w:r w:rsidR="00F40001">
        <w:t xml:space="preserve"> </w:t>
      </w:r>
      <w:r w:rsidR="006D7032">
        <w:t>modula</w:t>
      </w:r>
      <w:r w:rsidR="00F40001">
        <w:t>dor</w:t>
      </w:r>
      <w:r w:rsidR="003A3FAA">
        <w:t>e</w:t>
      </w:r>
      <w:r w:rsidR="00F40001">
        <w:t>s</w:t>
      </w:r>
      <w:r w:rsidR="00081B92">
        <w:t xml:space="preserve"> que influyen </w:t>
      </w:r>
      <w:r w:rsidR="00F316E2">
        <w:t xml:space="preserve">en </w:t>
      </w:r>
      <w:r w:rsidR="00081B92">
        <w:t xml:space="preserve">la disponibilidad </w:t>
      </w:r>
      <w:r w:rsidR="00F316E2">
        <w:t>del recurso hídrico</w:t>
      </w:r>
      <w:r w:rsidR="00757162">
        <w:t>. Varios lugares tiene</w:t>
      </w:r>
      <w:r w:rsidR="00201DFF">
        <w:t>n</w:t>
      </w:r>
      <w:r w:rsidR="00757162">
        <w:t xml:space="preserve"> una fuente </w:t>
      </w:r>
      <w:r w:rsidR="00846AAB">
        <w:t xml:space="preserve">de variabilidad </w:t>
      </w:r>
      <w:r w:rsidR="007B5A42">
        <w:t>conocida</w:t>
      </w:r>
      <w:r w:rsidR="00846AAB">
        <w:t xml:space="preserve"> y </w:t>
      </w:r>
      <w:r w:rsidR="00757162">
        <w:t>clara</w:t>
      </w:r>
      <w:r w:rsidR="00846AAB">
        <w:t xml:space="preserve">, como </w:t>
      </w:r>
      <w:r w:rsidR="004C53C3">
        <w:t>El Niño Oscilación del Sur (ENOS)</w:t>
      </w:r>
      <w:r>
        <w:t xml:space="preserve"> </w:t>
      </w:r>
      <w:r w:rsidR="00BD5AC7">
        <w:t xml:space="preserve">que </w:t>
      </w:r>
      <w:r w:rsidR="00C24249">
        <w:t>impacta prominentemente</w:t>
      </w:r>
      <w:r>
        <w:t xml:space="preserve"> </w:t>
      </w:r>
      <w:r w:rsidR="00FF5D36">
        <w:t xml:space="preserve">el </w:t>
      </w:r>
      <w:r w:rsidR="002B5319">
        <w:t>oriente</w:t>
      </w:r>
      <w:r w:rsidR="00BB3BBD">
        <w:t xml:space="preserve"> de </w:t>
      </w:r>
      <w:r>
        <w:t xml:space="preserve">Suramérica y </w:t>
      </w:r>
      <w:r w:rsidR="00BB3BBD">
        <w:t>el o</w:t>
      </w:r>
      <w:r w:rsidR="00DB1E22">
        <w:t>cciden</w:t>
      </w:r>
      <w:r w:rsidR="00BB3BBD">
        <w:t xml:space="preserve">te de </w:t>
      </w:r>
      <w:r>
        <w:t xml:space="preserve">Colombia </w:t>
      </w:r>
      <w:r w:rsidR="00BD5AC7">
        <w:fldChar w:fldCharType="begin" w:fldLock="1"/>
      </w:r>
      <w:r w:rsidR="00C62AD9">
        <w:instrText>ADDIN CSL_CITATION {"citationItems":[{"id":"ITEM-1","itemData":{"DOI":"10.1038/s43017-020-0040-3","ISSN":"2662138X","abstract":"The climate of South America (SA) has long held an intimate connection with El Niño, historically describing anomalously warm sea-surface temperatures off the coastline of Peru. Indeed, throughout SA, precipitation and temperature exhibit a substantial, yet regionally diverse, relationship with the El Niño–Southern Oscillation (ENSO). For example, El Niño is typically accompanied by drought in the Amazon and north-eastern SA, but flooding in the tropical west coast and south-eastern SA, with marked socio-economic effects. In this Review, we synthesize the understanding of ENSO teleconnections to SA. Recent efforts have sought improved understanding of ocean–atmosphere processes that govern the impact, inter-event and decadal variability, and responses to anthropogenic warming. ENSO’s impacts have been found to vary markedly, affected not only by ENSO diversity, but also by modes of variability within and outside of the Pacific. However, while the understanding of ENSO–SA relationships has improved, with implications for prediction and projection, uncertainty remains in regards to the robustness of the impacts, inter-basin climate interactions and interplay with greenhouse warming. A coordinated international effort is, therefore, needed to close the observational, theoretical and modelling gaps currently limiting progress, with specific efforts in extending palaeoclimate proxies further back in time, reducing systematic model errors and improving simulations of ENSO diversity and teleconnections.","author":[{"dropping-particle":"","family":"Cai","given":"Wenju","non-dropping-particle":"","parse-names":false,"suffix":""},{"dropping-particle":"","family":"McPhaden","given":"Michael J.","non-dropping-particle":"","parse-names":false,"suffix":""},{"dropping-particle":"","family":"Grimm","given":"Alice M.","non-dropping-particle":"","parse-names":false,"suffix":""},{"dropping-particle":"","family":"Rodrigues","given":"Regina R.","non-dropping-particle":"","parse-names":false,"suffix":""},{"dropping-particle":"","family":"Taschetto","given":"Andréa S.","non-dropping-particle":"","parse-names":false,"suffix":""},{"dropping-particle":"","family":"Garreaud","given":"René D.","non-dropping-particle":"","parse-names":false,"suffix":""},{"dropping-particle":"","family":"Dewitte","given":"Boris","non-dropping-particle":"","parse-names":false,"suffix":""},{"dropping-particle":"","family":"Poveda","given":"Germán","non-dropping-particle":"","parse-names":false,"suffix":""},{"dropping-particle":"","family":"Ham","given":"Yoo Geun","non-dropping-particle":"","parse-names":false,"suffix":""},{"dropping-particle":"","family":"Santoso","given":"Agus","non-dropping-particle":"","parse-names":false,"suffix":""},{"dropping-particle":"","family":"Ng","given":"Benjamin","non-dropping-particle":"","parse-names":false,"suffix":""},{"dropping-particle":"","family":"Anderson","given":"Weston","non-dropping-particle":"","parse-names":false,"suffix":""},{"dropping-particle":"","family":"Wang","given":"Guojian","non-dropping-particle":"","parse-names":false,"suffix":""},{"dropping-particle":"","family":"Geng","given":"Tao","non-dropping-particle":"","parse-names":false,"suffix":""},{"dropping-particle":"","family":"Jo","given":"Hyun Su","non-dropping-particle":"","parse-names":false,"suffix":""},{"dropping-particle":"","family":"Marengo","given":"José A.","non-dropping-particle":"","parse-names":false,"suffix":""},{"dropping-particle":"","family":"Alves","given":"Lincoln M.","non-dropping-particle":"","parse-names":false,"suffix":""},{"dropping-particle":"","family":"Osman","given":"Marisol","non-dropping-particle":"","parse-names":false,"suffix":""},{"dropping-particle":"","family":"Li","given":"Shujun","non-dropping-particle":"","parse-names":false,"suffix":""},{"dropping-particle":"","family":"Wu","given":"Lixin","non-dropping-particle":"","parse-names":false,"suffix":""},{"dropping-particle":"","family":"Karamperidou","given":"Christina","non-dropping-particle":"","parse-names":false,"suffix":""},{"dropping-particle":"","family":"Takahashi","given":"Ken","non-dropping-particle":"","parse-names":false,"suffix":""},{"dropping-particle":"","family":"Vera","given":"Carolina","non-dropping-particle":"","parse-names":false,"suffix":""}],"container-title":"Nature Reviews Earth and Environment","id":"ITEM-1","issue":"4","issued":{"date-parts":[["2020"]]},"note":"Focus on Ppt","page":"215-231","publisher":"Springer US","title":"Climate impacts of the El Niño–Southern Oscillation on South America","type":"article-journal","volume":"1"},"uris":["http://www.mendeley.com/documents/?uuid=0ff0ab42-e644-4558-a454-e0fb5ffd2dc2"]},{"id":"ITEM-2","itemData":{"DOI":"10.1016/j.palaeo.2005.10.031","ISBN":"0031-0182","ISSN":"00310182","abstract":"Present climate of northwestern South America and the southern Isthmus is detailed in terms of major hydro-climatic controls, supported by evidence from station records, reanalysis data and satellite information. In this tropical region, precipitation is the principal hydro-climatological variable to display great variability. The primary objective is to view the controls that operate at intra-seasonal to inter-decadal time scales. This is a topographical complex region whose climate influences range in provenance from the South Atlantic to the Canadian Prairies, and from the North Atlantic to the Eastern Pacific. The situation is further complicated by interactions and feedbacks, in time and space, between these influences, which are interconnected over various scales. The greatest single control on the annual cycle is the meridional migration of the Inter-tropical Convergence Zone and its pattern of associated trade winds. Consideration of these alone and their interaction with the Cordilleras of the Andes and Central America produce a variety of unimodal and bimodal regimes. Regionally, two low level jet streams, the westerly Choco jet (5°N) and the easterly San Andr{é}s jet (12-14°N), and their seasonal variability, have tremendous significance, as do mesoscale convective storms and mid-latitude cold fronts from both the northern (\"nortes\") and southern (\"friagems\") hemispheres. There are many examples of hydro-climatological feedbacks within the region. Of these the most notable is the interaction between evaporation over the Amazon, precipitation onto the eastern Andes and streamflow from the headwaters of the Amazon. This is further compounded by the high percentages of recycled precipitation over large areas of the tropics and the potential impacts of anthropogenic modification of the land surface. The El Ni{ñ}o-Southern Oscillation phenomenon (ENSO) is the greatest single cause of interannual variability within the region, yet its effects are not universal in their timing, sign or magnitude. A set of regional physical connections to ENSO are established and their varying local manifestations are viewed in the context of the dominant precipitation generating mechanisms and feedbacks at that location. In addition, some potential impacts of longer run variations within the ocean-atmosphere system of the Atlantic are examined independently and in conjunction with ENSO. This review of the climatic controls and feedbacks in the region provides a spat…","author":[{"dropping-particle":"","family":"Poveda","given":"Germán","non-dropping-particle":"","parse-names":false,"suffix":""},{"dropping-particle":"","family":"Waylen","given":"Peter R","non-dropping-particle":"","parse-names":false,"suffix":""},{"dropping-particle":"","family":"Pulwarty","given":"Roger S","non-dropping-particle":"","parse-names":false,"suffix":""}],"container-title":"Palaeogeography, Palaeoclimatology, Palaeoecology","id":"ITEM-2","issue":"1","issued":{"date-parts":[["2006"]]},"note":"Interaction of ITCZ with low level jets\nSome phenomenons regarding intra-annual variability were ignored\nBi-modal annual cycle\nInter tropical convergence zone ITCZ\nOutgoing long wave radiation emitted by earth\nChoco low level jet\nLow level jet moisture transport\nWind speed in choco’s low level jet\nSan Andres jet: Link between Caribbean and pacific\nEvaporation and convective systems\nRainfall events and convective systems\nPredominant mechanism of Amazon rainfall\nEnso\nIncrease in ENSO activity\nPhase of the enso, largest anomalies in SST in boreal winter\nENSO and Amazonia\nMechanism influencing climatic conditions in SouthAmerica\nChoco Jet weakening and SST\nMEI index and discharge cross correlación\nSoil moisture ENSO and Vegetation\nStream flow forecast with MEI index\nThe north atlantic influence on climate variability\nNorth Atlantic Oscilation NAO effects\nMadden Julian oscillation ignored","page":"3-27","title":"Annual and inter-annual variability of the present climate in northern South America and southern Mesoamerica","type":"article-journal","volume":"234"},"uris":["http://www.mendeley.com/documents/?uuid=bccdc460-1612-4015-a267-a3bb4bd05e9c"]}],"mendeley":{"formattedCitation":"(Cai et al., 2020; Poveda et al., 2006)","plainTextFormattedCitation":"(Cai et al., 2020; Poveda et al., 2006)","previouslyFormattedCitation":"(Cai et al., 2020; Poveda et al., 2006)"},"properties":{"noteIndex":0},"schema":"https://github.com/citation-style-language/schema/raw/master/csl-citation.json"}</w:instrText>
      </w:r>
      <w:r w:rsidR="00BD5AC7">
        <w:fldChar w:fldCharType="separate"/>
      </w:r>
      <w:r w:rsidR="00BD5AC7" w:rsidRPr="00BD5AC7">
        <w:rPr>
          <w:noProof/>
        </w:rPr>
        <w:t>(Cai et al., 2020; Poveda et al., 2006)</w:t>
      </w:r>
      <w:r w:rsidR="00BD5AC7">
        <w:fldChar w:fldCharType="end"/>
      </w:r>
      <w:r w:rsidR="00BD5AC7">
        <w:t>.</w:t>
      </w:r>
      <w:r w:rsidR="00150C88">
        <w:t xml:space="preserve"> </w:t>
      </w:r>
      <w:r w:rsidR="005C6F6B">
        <w:t xml:space="preserve">No obstante, el ENOS no </w:t>
      </w:r>
      <w:r w:rsidR="00CB3B78">
        <w:t xml:space="preserve">es el único </w:t>
      </w:r>
      <w:r w:rsidR="00184E42">
        <w:t>modulador</w:t>
      </w:r>
      <w:r w:rsidR="00AB302D">
        <w:t>;</w:t>
      </w:r>
      <w:r w:rsidR="00CB3B78">
        <w:t xml:space="preserve"> </w:t>
      </w:r>
      <w:r w:rsidR="005974EB">
        <w:t>ha</w:t>
      </w:r>
      <w:r w:rsidR="0066507D">
        <w:t>y</w:t>
      </w:r>
      <w:r w:rsidR="005974EB">
        <w:t xml:space="preserve"> o</w:t>
      </w:r>
      <w:r w:rsidR="00150C88">
        <w:t>tros fenómenos océano-</w:t>
      </w:r>
      <w:r w:rsidR="00C62AD9">
        <w:t>atmosféricos</w:t>
      </w:r>
      <w:r w:rsidR="00150C88">
        <w:t xml:space="preserve"> </w:t>
      </w:r>
      <w:r w:rsidR="00C62AD9">
        <w:t xml:space="preserve">con dinámicas </w:t>
      </w:r>
      <w:r w:rsidR="005974EB">
        <w:t xml:space="preserve">que </w:t>
      </w:r>
      <w:r w:rsidR="00C62AD9">
        <w:t>también afectan Suramérica</w:t>
      </w:r>
      <w:r w:rsidR="00F84C8E">
        <w:t xml:space="preserve"> a escala estacional</w:t>
      </w:r>
      <w:r w:rsidR="00C62AD9">
        <w:t xml:space="preserve"> </w:t>
      </w:r>
      <w:r w:rsidR="00C62AD9">
        <w:fldChar w:fldCharType="begin" w:fldLock="1"/>
      </w:r>
      <w:r w:rsidR="00397EDD">
        <w:instrText>ADDIN CSL_CITATION {"citationItems":[{"id":"ITEM-1","itemData":{"DOI":"10.1175/JCLI-D-19-0696.1","ISSN":"08948755","abstract":"We analyze the observed relationship between sea surface temperatures (SSTs) over the Atlantic Ocean and the normalized difference vegetation index (NDVI) in the Orinoco and Amazon basins. Monthly correlations between anomalies of NDVI and SSTs are computed for different regions of the Atlantic Ocean. We also use a mixture of observations and reanalysis products to analyze lagged correlations. Our results show that during August–September (i.e., the dry-to-wet transition season), changes in NDVI in the central Amazon and the so-called Arc of Deforestation are associated with precedent changes in the SSTs of the tropical North Atlantic (TNA) and the Caribbean (CABN) during March–June. Anomalous warming of the CABN and TNA generates changes in surface winds and atmospheric moisture transport in the region, decreasing precipitation, with consequent decreases of soil moisture, moisture recycling, and NDVI. An increase in TNA and CABN SSTs during March–June is also associated with an increase of NDVI over the northern Orinoco during June (i.e., the wet season). Unlike in the southern Amazon, precipitation and soil moisture in the Orinoco basin do not exhibit significant changes associated with SSTs. By contrast, atmospheric moisture recycling and transport increase with warmer SSTs in the TNA. Therefore, for the Orinoco, the link between SSTs and NDVI appears to be related not to changes in precipitation but to changes in moisture recycling. However, the causality between these changes needs to be further explored. These findings highlight the contrasting responses of the Amazon and Orinoco basins to Atlantic temperatures and the dominant role of atmospheric moisture transport linking these responses.","author":[{"dropping-particle":"","family":"Arias","given":"Paola A.","non-dropping-particle":"","parse-names":false,"suffix":""},{"dropping-particle":"","family":"Martínez","given":"J. Alejandro","non-dropping-particle":"","parse-names":false,"suffix":""},{"dropping-particle":"","family":"Mejía","given":"Juan David","non-dropping-particle":"","parse-names":false,"suffix":""},{"dropping-particle":"","family":"Pazos","given":"María José","non-dropping-particle":"","parse-names":false,"suffix":""},{"dropping-particle":"","family":"Espinoza","given":"Jhan Carlo","non-dropping-particle":"","parse-names":false,"suffix":""},{"dropping-particle":"","family":"Wongchuig-Correa","given":"Sly","non-dropping-particle":"","parse-names":false,"suffix":""}],"container-title":"Journal of Climate","id":"ITEM-1","issue":"19","issued":{"date-parts":[["2020"]]},"page":"8537-8559","title":"Changes in Normalized Difference Vegetation Index in the Orinoco and Amazon River Basins: Links to Tropical Atlantic Surface Temperatures","type":"article-journal","volume":"33"},"uris":["http://www.mendeley.com/documents/?uuid=96ece1b7-1444-450f-87d0-cf97332b4ce1"]},{"id":"ITEM-2","itemData":{"DOI":"10.1029/2020GL087108","ISSN":"0094-8276","abstract":"The spatiotemporal evolutions of equatorial Atlantic sea surface temperature anomalies (SSTAs) during Atlantic Niño events and the associated climate impacts on the surrounding continents are extremely diverse. In this study, we construct longitude-time maps of equatorial Atlantic SSTAs for each observed Atlantic Niño event during 1948–2019 and perform a spatiotemporal empirical orthogonal function analysis to identify the four most frequently recurring Atlantic Niño varieties. The first two contrast the timing of dissipation (early terminating vs. persistent) and the other two the timing of onset (early onset vs. late onset). Largely consistent with the differences in the timings of onset and dissipation, these four varieties display remarkable differences in rainfall response over West Africa and South America. Most of the varieties are subject to onset mechanisms that involve preconditioning in boreal spring by either the Atlantic meridional mode or Pacific El Niño, while for the late onset variability there is no clear source of external forcing.","author":[{"dropping-particle":"","family":"Vallès</w:instrText>
      </w:r>
      <w:r w:rsidR="00397EDD">
        <w:rPr>
          <w:rFonts w:ascii="Cambria Math" w:hAnsi="Cambria Math" w:cs="Cambria Math"/>
        </w:rPr>
        <w:instrText>‐</w:instrText>
      </w:r>
      <w:r w:rsidR="00397EDD">
        <w:instrText>Casanova","given":"Ignasi","non-dropping-particle":"","parse-names":false,"suffix":""},{"dropping-particle":"","family":"Lee","given":"Sang</w:instrText>
      </w:r>
      <w:r w:rsidR="00397EDD">
        <w:rPr>
          <w:rFonts w:ascii="Cambria Math" w:hAnsi="Cambria Math" w:cs="Cambria Math"/>
        </w:rPr>
        <w:instrText>‐</w:instrText>
      </w:r>
      <w:r w:rsidR="00397EDD">
        <w:instrText>Ki","non-dropping-particle":"","parse-names":false,"suffix":""},{"dropping-particle":"","family":"Foltz","given":"Gregory R.","non-dropping-particle":"","parse-names":false,"suffix":""},{"dropping-particle":"","family":"Pelegr</w:instrText>
      </w:r>
      <w:r w:rsidR="00397EDD">
        <w:rPr>
          <w:rFonts w:cs="Arial Narrow"/>
        </w:rPr>
        <w:instrText>í</w:instrText>
      </w:r>
      <w:r w:rsidR="00397EDD">
        <w:instrText>","given":"Josep L.","non-dropping-particle":"","parse-names":false,"suffix":""}],"container-title":"Geophysical Research Letters","id":"ITEM-2","issue":"8","issued":{"date-parts":[["2020","4","28"]]},"page":"1-10","title":"On the Spatiotemporal Diversity of Atlantic Niño and Associated Rainfall Variability Over West Africa and South America","type":"article-journal","volume":"47"},"uris":["http://www.mendeley.com/documents/?uuid=30aa5678-03de-4aef-acdc-6dfdf6325134"]}],"mendeley":{"formattedCitation":"(Arias et al., 2020; Vallès</w:instrText>
      </w:r>
      <w:r w:rsidR="00397EDD">
        <w:rPr>
          <w:rFonts w:ascii="Cambria Math" w:hAnsi="Cambria Math" w:cs="Cambria Math"/>
        </w:rPr>
        <w:instrText>‐</w:instrText>
      </w:r>
      <w:r w:rsidR="00397EDD">
        <w:instrText>Casanova et al., 2020)","plainTextFormattedCitation":"(Arias et al., 2020; Vallès</w:instrText>
      </w:r>
      <w:r w:rsidR="00397EDD">
        <w:rPr>
          <w:rFonts w:ascii="Cambria Math" w:hAnsi="Cambria Math" w:cs="Cambria Math"/>
        </w:rPr>
        <w:instrText>‐</w:instrText>
      </w:r>
      <w:r w:rsidR="00397EDD">
        <w:instrText>Casanova et al., 2020)","previouslyFormattedCitation":"(Arias et al., 2020; Vall</w:instrText>
      </w:r>
      <w:r w:rsidR="00397EDD">
        <w:rPr>
          <w:rFonts w:cs="Arial Narrow"/>
        </w:rPr>
        <w:instrText>è</w:instrText>
      </w:r>
      <w:r w:rsidR="00397EDD">
        <w:instrText>s</w:instrText>
      </w:r>
      <w:r w:rsidR="00397EDD">
        <w:rPr>
          <w:rFonts w:ascii="Cambria Math" w:hAnsi="Cambria Math" w:cs="Cambria Math"/>
        </w:rPr>
        <w:instrText>‐</w:instrText>
      </w:r>
      <w:r w:rsidR="00397EDD">
        <w:instrText>Casanova et al., 2020)"},"properties":{"noteIndex":0},"schema":"https://github.com/citation-style-language/schema/raw/master/csl-citation.json"}</w:instrText>
      </w:r>
      <w:r w:rsidR="00C62AD9">
        <w:fldChar w:fldCharType="separate"/>
      </w:r>
      <w:r w:rsidR="00C62AD9" w:rsidRPr="00C62AD9">
        <w:rPr>
          <w:noProof/>
        </w:rPr>
        <w:t>(Arias et al., 2020; Vallès</w:t>
      </w:r>
      <w:r w:rsidR="00C62AD9" w:rsidRPr="00C62AD9">
        <w:rPr>
          <w:rFonts w:ascii="Cambria Math" w:hAnsi="Cambria Math" w:cs="Cambria Math"/>
          <w:noProof/>
        </w:rPr>
        <w:t>‐</w:t>
      </w:r>
      <w:r w:rsidR="00C62AD9" w:rsidRPr="00C62AD9">
        <w:rPr>
          <w:noProof/>
        </w:rPr>
        <w:t>Casanova et al., 2020)</w:t>
      </w:r>
      <w:r w:rsidR="00C62AD9">
        <w:fldChar w:fldCharType="end"/>
      </w:r>
      <w:r w:rsidR="00DA5479">
        <w:t>.</w:t>
      </w:r>
      <w:r w:rsidR="00C62AD9">
        <w:t xml:space="preserve"> </w:t>
      </w:r>
      <w:r w:rsidR="00DA5479">
        <w:t>E</w:t>
      </w:r>
      <w:r w:rsidR="00C62AD9">
        <w:t>specíficamente</w:t>
      </w:r>
      <w:r w:rsidR="00006F40">
        <w:t>,</w:t>
      </w:r>
      <w:r w:rsidR="00C62AD9">
        <w:t xml:space="preserve"> </w:t>
      </w:r>
      <w:r w:rsidR="0066274A">
        <w:t xml:space="preserve">los modos ecuatorial y meridional del Atlántico </w:t>
      </w:r>
      <w:r w:rsidR="00397EDD">
        <w:t xml:space="preserve">afectan Venezuela, las Guayanas, Colombia y el norte de la Amazonia </w:t>
      </w:r>
      <w:r w:rsidR="00036B06">
        <w:fldChar w:fldCharType="begin" w:fldLock="1"/>
      </w:r>
      <w:r w:rsidR="006E1F7A">
        <w:instrText>ADDIN CSL_CITATION {"citationItems":[{"id":"ITEM-1","itemData":{"DOI":"10.5194/hess-29-3277-2025","ISSN":"1607-7938","abstract":"Abstract. Tropical South America's hydroclimate is influenced by ocean–atmospheric variability modes (drivers of climate variability). It is still not known which physical mechanisms teleconnect the Atlantic modes of variability with South America's soil moisture, net radiation, and terrestrial evaporation (evapotranspiration). Understanding these mechanisms is essential to predict the response of ecosystems. This study uses composites of reanalysis and satellite data to identify the processes linking land–surface anomalies and ocean–atmospheric modes. It estimates the control soil moisture and net radiation impose on evapotranspiration (categorised as water- or energy-limited regimes). It shows that these two local controllers of evapotranspiration are influenced by the position of the Intertropical Convergence Zone (ITCZ). However, the evapotranspiration anomalies are driven by the phase of each climate mode, which alter water and radiation availability. The Atlantic Meridional Mode (AMM) generates cross-equatorial wind anomalies that affect moisture convergence, which in turn modify the cloud cover, precipitation, soil moisture, radiation availability, and hence evapotranspiration. The anomalies have important geographical differences depending on the season analysed; they migrate from the east in austral autumn towards the central Amazon and western Orinoco in austral spring. The Atlantic Niño Equatorial mode (Atl3) affects evapotranspiration in the Guianas and eastern Orinoco by means of pressure and trade wind variability, which in turn affect local hydrometeorological conditions and evapotranspiration. Both Atlantic modes mainly impact regions different from those impacted by El Niño–Southern Oscillation (ENSO), although northeast Brazil and the Guianas might experience overlapping effects. Therefore, these ocean–atmospheric modes impact the water, energy, and carbon cycles; they might influence regional climate extremes (e.g. droughts and floods); and they are critical for achieving sustainable development goals (SDGs).","author":[{"dropping-particle":"","family":"Duque-Gardeazabal","given":"Nicolás","non-dropping-particle":"","parse-names":false,"suffix":""},{"dropping-particle":"","family":"Friedman","given":"Andrew R.","non-dropping-particle":"","parse-names":false,"suffix":""},{"dropping-particle":"","family":"Brönnimann","given":"Stefan","non-dropping-particle":"","parse-names":false,"suffix":""}],"container-title":"Hydrology and Earth System Sciences","id":"ITEM-1","issue":"14","issued":{"date-parts":[["2025","7","28"]]},"page":"3277-3295","title":"An Atlantic influence on evapotranspiration in the Orinoco and Amazon basins","type":"article-journal","volume":"29"},"uris":["http://www.mendeley.com/documents/?uuid=a7c9fe76-446d-4196-a609-c9831531beb9"]},{"id":"ITEM-2","itemData":{"DOI":"10.1002/met.70165","author":[{"dropping-particle":"","family":"Duque-Gardeazabal","given":"Nicolás","non-dropping-particle":"","parse-names":false,"suffix":""},{"dropping-particle":"","family":"Brönnimann","given":"Stefan","non-dropping-particle":"","parse-names":false,"suffix":""},{"dropping-particle":"","family":"Friedman","given":"Andrew R.","non-dropping-particle":"","parse-names":false,"suffix":""},{"dropping-particle":"","family":"Dolores-Tesillos","given":"Edgar","non-dropping-particle":"","parse-names":false,"suffix":""},{"dropping-particle":"","family":"Martius","given":"Olivia","non-dropping-particle":"","parse-names":false,"suffix":""}],"container-title":"Meteorological Applications","id":"ITEM-2","issued":{"date-parts":[["2026"]]},"title":"Wind and solar energy variability in tropical South America: Ocean-atmospheric modulators","type":"article-journal"},"uris":["http://www.mendeley.com/documents/?uuid=e0d5d364-7764-493d-a9ed-c7b978f65653"]}],"mendeley":{"formattedCitation":"(Duque-Gardeazabal et al., 2026; Duque-Gardeazabal, Friedman, et al., 2025)","manualFormatting":"(Duque-Gardeazabal et al., 2026; Duque-Gardeazabal, Friedman, et al., 2025)","plainTextFormattedCitation":"(Duque-Gardeazabal et al., 2026; Duque-Gardeazabal, Friedman, et al., 2025)","previouslyFormattedCitation":"(Duque-Gardeazabal et al., 2026; Duque-Gardeazabal, Friedman, et al., 2025)"},"properties":{"noteIndex":0},"schema":"https://github.com/citation-style-language/schema/raw/master/csl-citation.json"}</w:instrText>
      </w:r>
      <w:r w:rsidR="00036B06">
        <w:fldChar w:fldCharType="separate"/>
      </w:r>
      <w:r w:rsidR="00036B06" w:rsidRPr="00036B06">
        <w:rPr>
          <w:noProof/>
        </w:rPr>
        <w:t>(</w:t>
      </w:r>
      <w:r w:rsidR="00036B06" w:rsidRPr="00166C05">
        <w:rPr>
          <w:i/>
          <w:iCs/>
          <w:noProof/>
        </w:rPr>
        <w:t>Duque-Gardeazabal</w:t>
      </w:r>
      <w:r w:rsidR="00036B06" w:rsidRPr="00036B06">
        <w:rPr>
          <w:noProof/>
        </w:rPr>
        <w:t xml:space="preserve"> et al., 2026; </w:t>
      </w:r>
      <w:r w:rsidR="00036B06" w:rsidRPr="00166C05">
        <w:rPr>
          <w:i/>
          <w:iCs/>
          <w:noProof/>
        </w:rPr>
        <w:t>Duque-Gardeazabal</w:t>
      </w:r>
      <w:r w:rsidR="00036B06" w:rsidRPr="00036B06">
        <w:rPr>
          <w:noProof/>
        </w:rPr>
        <w:t>, Friedman, et al., 2025)</w:t>
      </w:r>
      <w:r w:rsidR="00036B06">
        <w:fldChar w:fldCharType="end"/>
      </w:r>
      <w:r w:rsidR="00397EDD">
        <w:t>.</w:t>
      </w:r>
      <w:r w:rsidR="00D537C3">
        <w:t xml:space="preserve"> </w:t>
      </w:r>
      <w:r w:rsidR="00E81A02">
        <w:t xml:space="preserve">Otros fenómenos se han identificado a escala subestacional como </w:t>
      </w:r>
      <w:r w:rsidR="001050BB">
        <w:t xml:space="preserve">las ondas del </w:t>
      </w:r>
      <w:r w:rsidR="0058147C">
        <w:t>Este</w:t>
      </w:r>
      <w:r w:rsidR="001050BB">
        <w:t xml:space="preserve"> africanas, las </w:t>
      </w:r>
      <w:r w:rsidR="000F7592">
        <w:t>MJO</w:t>
      </w:r>
      <w:r w:rsidR="001050BB" w:rsidRPr="001050BB">
        <w:t xml:space="preserve">, </w:t>
      </w:r>
      <w:r w:rsidR="00CC3EB3">
        <w:t xml:space="preserve">la influencia de suelos secos en la </w:t>
      </w:r>
      <w:r w:rsidR="001050BB" w:rsidRPr="001050BB">
        <w:t>convec</w:t>
      </w:r>
      <w:r w:rsidR="00CC3EB3">
        <w:t>c</w:t>
      </w:r>
      <w:r w:rsidR="001050BB" w:rsidRPr="001050BB">
        <w:t>i</w:t>
      </w:r>
      <w:r w:rsidR="00CC3EB3">
        <w:t>ó</w:t>
      </w:r>
      <w:r w:rsidR="001050BB" w:rsidRPr="001050BB">
        <w:t>n</w:t>
      </w:r>
      <w:r w:rsidR="00A0261C">
        <w:t xml:space="preserve"> atmosférica, etc. </w:t>
      </w:r>
      <w:r w:rsidR="00C97236">
        <w:fldChar w:fldCharType="begin" w:fldLock="1"/>
      </w:r>
      <w:r w:rsidR="00712ADB">
        <w:instrText>ADDIN CSL_CITATION {"citationItems":[{"id":"ITEM-1","itemData":{"DOI":"10.1029/2024JD042108","ISSN":"21698996","abstract":"This study investigates the role of soil moisture (SM) on the initiation and organization of convective systems using the convection-permitting ICOsahedral Non-hydrostatic (ICON) model. We conduct two sets of experiments: a Control experiment with interactive SM and a fixed SM experiment (FixedSM) with invariable SM conditions. We focus on two regions in South America: the Amazon and southeastern South America (SESA). Larger organized convective systems are associated with greater SM heterogeneity in both regions, though other large-scale synoptic influences affect the robustness of this relationship in SESA. These results remain largely unaffected by disabling the effects of precipitation on SM in the FixedSM experiment, and complementary analyses using satellite-based estimates of SM and precipitation support these findings. Spatial compositing of mesoscale environments in the Amazon shows the presence of well-defined SM gradients, at a length scale of a few hundred kilometers, many hours (Formula presented.) before convective system detection. Larger SM gradients correspond to larger gradients in thermodynamic variables, particularly surface temperature and sensible heat flux, and are associated with larger convective systems. Overall, our findings suggest that surface heterogeneities such as SM gradients not only affect deep convection initiation, as previously suggested, but they can also encourage the growth and organization of convective systems into larger clusters, particularly in the absence of significant synoptic influences.","author":[{"dropping-particle":"","family":"Paccini","given":"Laura","non-dropping-particle":"","parse-names":false,"suffix":""},{"dropping-particle":"","family":"Schiro","given":"Kathleen A.","non-dropping-particle":"","parse-names":false,"suffix":""}],"container-title":"Journal of Geophysical Research: Atmospheres","id":"ITEM-1","issue":"9","issued":{"date-parts":[["2025"]]},"title":"Influence of Soil Moisture on the Development of Organized Convective Systems in South America","type":"article-journal","volume":"130"},"uris":["http://www.mendeley.com/documents/?uuid=b82318b3-50e7-4386-ba3b-852a256805ff"]},{"id":"ITEM-2","itemData":{"DOI":"10.1002/joc.7315","ISSN":"10970088","abstract":"The Easterly Waves (EWs) have been highlighted as one of the different spatiotemporal processes that influence hydro-climatology over northern South America and the Caribbean Sea, particularly during boreal summer. Previous studies recognize the EWs among the most important features of the rainy season in northern South America, suggesting the occurrence of precipitation as the main meteorological response to the passage of these disturbances. However, it is shown in this work that not all the EWs that propagate over northern South America and the Caribbean Sea have such an effect. Almost 50% of the EWs moving over the region during the 1983–2018 period were accompanied by the inhibition of precipitation and clear skies, as depicted by anomalies from the Climate Data Record of Precipitation Estimation from Remotely Sensed Information Using Artificial Neural Networks precipitation dataset and the National Oceanic and Atmospheric Administration interpolated Outgoing Longwave Radiation dataset. This work intends to address the relationship between these atmospheric perturbations and the occurrence or inhibition of precipitation, as well as a plausible connection with the Madden–Julian Oscillation (MJO). In particular, horizontal components of wind and relative vorticity, together with low and upper troposphere divergence, were used to identify and characterize the EW activity over northern South America and the Caribbean Sea. Results suggest an influence of the MJO on the effects that the EWs have on convection and precipitation over the region, as well as the direction in which such perturbances continue their westward propagation.","author":[{"dropping-particle":"","family":"Giraldo-Cardenas","given":"Santiago","non-dropping-particle":"","parse-names":false,"suffix":""},{"dropping-particle":"","family":"Arias","given":"Paola A.","non-dropping-particle":"","parse-names":false,"suffix":""},{"dropping-particle":"","family":"Vieira","given":"Sara C.","non-dropping-particle":"","parse-names":false,"suffix":""},{"dropping-particle":"","family":"Zuluaga","given":"Manuel D.","non-dropping-particle":"","parse-names":false,"suffix":""}],"container-title":"International Journal of Climatology","id":"ITEM-2","issue":"3","issued":{"date-parts":[["2022"]]},"page":"1483-1499","title":"Easterly waves and precipitation over northern South America and the Caribbean","type":"article-journal","volume":"42"},"uris":["http://www.mendeley.com/documents/?uuid=b82efe96-129b-490f-a502-c88d17532d06"]},{"id":"ITEM-3","itemData":{"DOI":"10.1073/pnas.2511549122","ISSN":"10916490","PMID":"41284872","abstract":"The tropical climate variability is characterized by various oscillations across a range of timescales. Oscillations that imprint the tropical mean state are generally attributed to slow processes, such as the seasonal cycle or interannual variability. Here, we identify a pronounced tropics-wide intraseasonal oscillation (TWISO) in satellite observations and reanalyses. This oscillation, with a period of 30 to 60 d, is evident across multiple variables and involves interactions between convection, radiation, surface fluxes, and large-scale circulation. It is primarily manifested as convective perturbations in the tropical Indo-Pacific warm pool accompanied by oscillations in the large-scale tropical overturning circulation. Here, we examine the relationship between TWISO, the Madden-Julian Oscillation (MJO), and the instability of radiative-convective equilibrium. Certain phases of TWISO coincide with specific phases of the MJO, suggesting a potential connection between the two. However, although the MJO can amplify the oscillation amplitude of TWISO, it is not essential for TWISO to occur. Finally, due to its broad manifestation across the tropics, TWISO potentially exerts widespread influence on tropical weather and climate at regional scales.","author":[{"dropping-particle":"","family":"Bao","given":"Jiawei","non-dropping-particle":"","parse-names":false,"suffix":""},{"dropping-particle":"","family":"Bony","given":"Sandrine","non-dropping-particle":"","parse-names":false,"suffix":""},{"dropping-particle":"","family":"Takasuka","given":"Daisuke","non-dropping-particle":"","parse-names":false,"suffix":""},{"dropping-particle":"","family":"Muller","given":"Caroline","non-dropping-particle":"","parse-names":false,"suffix":""}],"container-title":"Proceedings of the National Academy of Sciences of the United States of America","id":"ITEM-3","issue":"48","issued":{"date-parts":[["2025"]]},"page":"1-10","title":"Tropics-wide intraseasonal oscillations","type":"article-journal","volume":"122"},"uris":["http://www.mendeley.com/documents/?uuid=f0944d21-72b8-4a8c-a4d8-cafddebdd1a5"]}],"mendeley":{"formattedCitation":"(Bao et al., 2025; Giraldo-Cardenas et al., 2022; Paccini &amp; Schiro, 2025)","plainTextFormattedCitation":"(Bao et al., 2025; Giraldo-Cardenas et al., 2022; Paccini &amp; Schiro, 2025)","previouslyFormattedCitation":"(Bao et al., 2025; Giraldo-Cardenas et al., 2022; Paccini &amp; Schiro, 2025)"},"properties":{"noteIndex":0},"schema":"https://github.com/citation-style-language/schema/raw/master/csl-citation.json"}</w:instrText>
      </w:r>
      <w:r w:rsidR="00C97236">
        <w:fldChar w:fldCharType="separate"/>
      </w:r>
      <w:r w:rsidR="00C97236" w:rsidRPr="00C97236">
        <w:rPr>
          <w:noProof/>
        </w:rPr>
        <w:t>(Bao et al., 2025; Giraldo-Cardenas et al., 2022; Paccini &amp; Schiro, 2025)</w:t>
      </w:r>
      <w:r w:rsidR="00C97236">
        <w:fldChar w:fldCharType="end"/>
      </w:r>
      <w:r w:rsidR="00C97236">
        <w:t>.</w:t>
      </w:r>
      <w:r w:rsidR="00E401AF">
        <w:t xml:space="preserve"> </w:t>
      </w:r>
      <w:r w:rsidR="00297DBF">
        <w:t>Estos</w:t>
      </w:r>
      <w:r w:rsidR="00D2493A">
        <w:t xml:space="preserve"> </w:t>
      </w:r>
      <w:r w:rsidR="00E401AF">
        <w:t xml:space="preserve">impactos </w:t>
      </w:r>
      <w:r w:rsidR="00EE43D3">
        <w:t xml:space="preserve">a distancias considerables </w:t>
      </w:r>
      <w:r w:rsidR="00501C0A">
        <w:t>del lugar de ocurrencia del fenómeno suelen denominarse</w:t>
      </w:r>
      <w:r w:rsidR="00D2493A">
        <w:t xml:space="preserve"> teleconexiones</w:t>
      </w:r>
      <w:r w:rsidR="00EE43D3">
        <w:t xml:space="preserve"> </w:t>
      </w:r>
      <w:r w:rsidR="00EE43D3">
        <w:fldChar w:fldCharType="begin" w:fldLock="1"/>
      </w:r>
      <w:r w:rsidR="006750AC">
        <w:instrText>ADDIN CSL_CITATION {"citationItems":[{"id":"ITEM-1","itemData":{"DOI":"10.1007/978-3-319-19042-6","ISBN":"978-3-319-19041-9","author":[{"dropping-particle":"","family":"Brönnimann","given":"Stefan","non-dropping-particle":"","parse-names":false,"suffix":""}],"collection-title":"Advances in Global Change Research","id":"ITEM-1","issued":{"date-parts":[["2015"]]},"publisher":"Springer International Publishing","publisher-place":"Cham","title":"Climatic Changes Since 1700","type":"book","volume":"55"},"uris":["http://www.mendeley.com/documents/?uuid=3c2c5ef8-6391-4e34-a6d7-3ff17dd78fd4"]}],"mendeley":{"formattedCitation":"(Brönnimann, 2015)","plainTextFormattedCitation":"(Brönnimann, 2015)","previouslyFormattedCitation":"(Brönnimann, 2015)"},"properties":{"noteIndex":0},"schema":"https://github.com/citation-style-language/schema/raw/master/csl-citation.json"}</w:instrText>
      </w:r>
      <w:r w:rsidR="00EE43D3">
        <w:fldChar w:fldCharType="separate"/>
      </w:r>
      <w:r w:rsidR="00EE43D3" w:rsidRPr="00EE43D3">
        <w:rPr>
          <w:noProof/>
        </w:rPr>
        <w:t>(Brönnimann, 2015)</w:t>
      </w:r>
      <w:r w:rsidR="00EE43D3">
        <w:fldChar w:fldCharType="end"/>
      </w:r>
      <w:r w:rsidR="00D2493A">
        <w:t>.</w:t>
      </w:r>
    </w:p>
    <w:p w14:paraId="0F850EA4" w14:textId="409D109F" w:rsidR="002E4B76" w:rsidRDefault="00F97917" w:rsidP="00844C30">
      <w:pPr>
        <w:spacing w:line="276" w:lineRule="auto"/>
      </w:pPr>
      <w:r>
        <w:t>Investigaciones anteriores</w:t>
      </w:r>
      <w:r w:rsidR="00F32E40">
        <w:t xml:space="preserve"> se han enfocado principalmente</w:t>
      </w:r>
      <w:r w:rsidR="00C00B61">
        <w:t xml:space="preserve"> en la</w:t>
      </w:r>
      <w:r w:rsidR="005955BE">
        <w:t>s teleconexiones</w:t>
      </w:r>
      <w:r w:rsidR="00C00B61">
        <w:t xml:space="preserve"> de la precipitación</w:t>
      </w:r>
      <w:r>
        <w:t xml:space="preserve"> </w:t>
      </w:r>
      <w:r>
        <w:fldChar w:fldCharType="begin" w:fldLock="1"/>
      </w:r>
      <w:r w:rsidR="00543A7C">
        <w:instrText>ADDIN CSL_CITATION {"citationItems":[{"id":"ITEM-1","itemData":{"DOI":"10.3389/feart.2020.505467","ISSN":"2296-6463","abstract":"This paper provides an updated review of the most relevant scientific literature related to the hydroclimate of the Andes. The Andes, the longest cordillera in the world, faces major challenges regarding climate variability and climate change, which impose several threats to sustainable development, including water supply and the sustainability of ecosystem services. This review focuses on hydroclimate variability of the Andes at a sub-continental scale. The annual water cycle and long-term water balance along the Andes are addressed first, followed by the examination of the effects of orography on convective and frontal precipitation through the study of precipitation gradients in the tropical, subtropical and extratropical Andes. In addition, a review is presented of the current scientific literature on the climate variability in the Andes at different timescales. Finally, open research questions are presented in the last section of this article.","author":[{"dropping-particle":"","family":"Arias","given":"Paola A","non-dropping-particle":"","parse-names":false,"suffix":""},{"dropping-particle":"","family":"Garreaud","given":"René","non-dropping-particle":"","parse-names":false,"suffix":""},{"dropping-particle":"","family":"Poveda","given":"Germán","non-dropping-particle":"","parse-names":false,"suffix":""},{"dropping-particle":"","family":"Espinoza","given":"Jhan Carlo","non-dropping-particle":"","parse-names":false,"suffix":""},{"dropping-particle":"","family":"Molina-Carpio","given":"Jorge","non-dropping-particle":"","parse-names":false,"suffix":""},{"dropping-particle":"","family":"Masiokas","given":"Mariano","non-dropping-particle":"","parse-names":false,"suffix":""},{"dropping-particle":"","family":"Viale","given":"Maximiliano","non-dropping-particle":"","parse-names":false,"suffix":""},{"dropping-particle":"","family":"Scaff","given":"Lucia","non-dropping-particle":"","parse-names":false,"suffix":""},{"dropping-particle":"","family":"Oevelen","given":"Peter J.","non-dropping-particle":"van","parse-names":false,"suffix":""}],"container-title":"Frontiers in Earth Science","id":"ITEM-1","issue":"February","issued":{"date-parts":[["2021","2","18"]]},"page":"1-25","title":"Hydroclimate of the Andes Part II: Hydroclimate Variability and Sub-Continental Patterns","type":"article-journal","volume":"8"},"uris":["http://www.mendeley.com/documents/?uuid=df4f2182-4a7f-4352-9f5a-ab8b3f99980b"]}],"mendeley":{"formattedCitation":"(Arias et al., 2021)","plainTextFormattedCitation":"(Arias et al., 2021)","previouslyFormattedCitation":"(Arias et al., 2021)"},"properties":{"noteIndex":0},"schema":"https://github.com/citation-style-language/schema/raw/master/csl-citation.json"}</w:instrText>
      </w:r>
      <w:r>
        <w:fldChar w:fldCharType="separate"/>
      </w:r>
      <w:r w:rsidRPr="00F97917">
        <w:rPr>
          <w:noProof/>
        </w:rPr>
        <w:t>(Arias et al., 2021)</w:t>
      </w:r>
      <w:r>
        <w:fldChar w:fldCharType="end"/>
      </w:r>
      <w:r w:rsidR="00F84C8E">
        <w:t xml:space="preserve">. </w:t>
      </w:r>
      <w:r w:rsidR="002E4B76">
        <w:t xml:space="preserve">Sin embargo, no </w:t>
      </w:r>
      <w:r w:rsidR="00D21EF8">
        <w:t>está</w:t>
      </w:r>
      <w:r w:rsidR="002E4B76">
        <w:t xml:space="preserve"> claro </w:t>
      </w:r>
      <w:r w:rsidR="00D21EF8">
        <w:t>cómo</w:t>
      </w:r>
      <w:r w:rsidR="002E4B76">
        <w:t xml:space="preserve"> </w:t>
      </w:r>
      <w:r w:rsidR="00B32518">
        <w:t>algunos</w:t>
      </w:r>
      <w:r w:rsidR="007D777F">
        <w:t xml:space="preserve"> </w:t>
      </w:r>
      <w:r w:rsidR="002E4B76">
        <w:t>fenómenos afectan la variabilidad de otros componentes del ciclo hidrológico</w:t>
      </w:r>
      <w:r w:rsidR="009D7147">
        <w:t>, como la evaporación, la humedad del suelo</w:t>
      </w:r>
      <w:r w:rsidR="00923FD7">
        <w:t xml:space="preserve">, </w:t>
      </w:r>
      <w:r w:rsidR="009D7147">
        <w:t>etc</w:t>
      </w:r>
      <w:r w:rsidR="00E359B6">
        <w:t>.</w:t>
      </w:r>
      <w:r w:rsidR="001F4813">
        <w:t xml:space="preserve"> </w:t>
      </w:r>
      <w:r w:rsidR="00712ADB">
        <w:fldChar w:fldCharType="begin" w:fldLock="1"/>
      </w:r>
      <w:r w:rsidR="00AC61DD">
        <w:instrText>ADDIN CSL_CITATION {"citationItems":[{"id":"ITEM-1","itemData":{"DOI":"10.1016/j.agrformet.2024.110040","ISSN":"01681923","author":[{"dropping-particle":"","family":"Zanin","given":"Paulo Rodrigo","non-dropping-particle":"","parse-names":false,"suffix":""},{"dropping-particle":"","family":"Pareja-Quispe","given":"David","non-dropping-particle":"","parse-names":false,"suffix":""},{"dropping-particle":"","family":"Espinoza","given":"Jhan-carlo","non-dropping-particle":"","parse-names":false,"suffix":""}],"container-title":"Agricultural and Forest Meteorology","id":"ITEM-1","issue":"April","issued":{"date-parts":[["2024","6"]]},"page":"110040","publisher":"Elsevier B.V.","title":"Evapotranspiration in the Amazon Basin: Couplings, hydrological memory and water feedback","type":"article-journal","volume":"352"},"uris":["http://www.mendeley.com/documents/?uuid=5628b5e1-a20c-4fb8-8357-4253635b948a"]},{"id":"ITEM-2","itemData":{"DOI":"10.3390/rs14112521","ISSN":"20724292","abstract":"We evaluated the coupled dynamics of vegetation dynamics (NDVI) and soil moisture (SMOS) at monthly resolution over different regions of tropical South America and the effects of the Eastern Pacific (EP) and the Central Pacific (CP) El Niño–Southern Oscillation (ENSO) events. We used linear Pearson cross-correlation, wavelet and cross wavelet analysis (CWA) and three nonlinear causality methods: ParrCorr, GPDC and PCMCIplus. Results showed that NDVI peaks when SMOS is transitioning from maximum to minimum monthly values, which confirms the role of SMOS in the hydrological dynamics of the Amazonian greening up during the dry season. Linear correlations showed significant positive values when SMOS leads NDVI by 1–3 months. Wavelet analysis evidenced strong 12-and 64-month frequency bands throughout the entire record length, in particular for SMOS, whereas the CWA analyses indicated that both variables exhibit a strong coherency at a wide range of frequency bands from 2 to 32 months. Linear and nonlinear causality measures also showed that ENSO effects are greater on SMOS. Lagged cross-correlations displayed that western (eastern) regions are more associated with the CP (EP), and that the effects of ENSO manifest as a travelling wave over time, from northwest (earlier) to southeast (later) over tropical South America and the Amazon River basin. The ParrCorr and PCMCIplus methods produced the most coherent results, and allowed us to conclude that: (1) the nonlinear temporal persistence (memory) of soil moisture is stronger than that of NDVI; (2) the existence of two-way nonlinear causalities between NDVI and SMOS; (3) diverse causal links between both variables and the ENSO indices: CP (7/12 with ParrCorr; 6/12 with PCMCIplus), and less with EP (5/12 with ParrCorr; 3/12 with PCMCIplus).","author":[{"dropping-particle":"","family":"Álvarez","given":"Diana M.","non-dropping-particle":"","parse-names":false,"suffix":""},{"dropping-particle":"","family":"Poveda","given":"Germán","non-dropping-particle":"","parse-names":false,"suffix":""}],"container-title":"Remote Sensing","id":"ITEM-2","issue":"11","issued":{"date-parts":[["2022"]]},"title":"Spatiotemporal Dynamics of NDVI, Soil Moisture and ENSO in Tropical South America","type":"article-journal","volume":"14"},"uris":["http://www.mendeley.com/documents/?uuid=7f640751-b9b0-4919-bd69-8f82e3de005e"]}],"mendeley":{"formattedCitation":"(Álvarez &amp; Poveda, 2022; Zanin et al., 2024)","plainTextFormattedCitation":"(Álvarez &amp; Poveda, 2022; Zanin et al., 2024)","previouslyFormattedCitation":"(Álvarez &amp; Poveda, 2022; Zanin et al., 2024)"},"properties":{"noteIndex":0},"schema":"https://github.com/citation-style-language/schema/raw/master/csl-citation.json"}</w:instrText>
      </w:r>
      <w:r w:rsidR="00712ADB">
        <w:fldChar w:fldCharType="separate"/>
      </w:r>
      <w:r w:rsidR="00712ADB" w:rsidRPr="00712ADB">
        <w:rPr>
          <w:noProof/>
        </w:rPr>
        <w:t>(Álvarez &amp; Poveda, 2022; Zanin et al., 2024)</w:t>
      </w:r>
      <w:r w:rsidR="00712ADB">
        <w:fldChar w:fldCharType="end"/>
      </w:r>
      <w:r w:rsidR="009D7147">
        <w:t>.</w:t>
      </w:r>
      <w:r w:rsidR="00923FD7">
        <w:t xml:space="preserve"> </w:t>
      </w:r>
      <w:r w:rsidR="002B56C4">
        <w:t xml:space="preserve">Las dinámicas de </w:t>
      </w:r>
      <w:r w:rsidR="00514B71">
        <w:t>es</w:t>
      </w:r>
      <w:r w:rsidR="002B56C4">
        <w:t xml:space="preserve">as variables influyen en la ocurrencia de fenómenos extremos como inundaciones y sequías repentinas </w:t>
      </w:r>
      <w:r w:rsidR="002B56C4">
        <w:fldChar w:fldCharType="begin" w:fldLock="1"/>
      </w:r>
      <w:r w:rsidR="002B56C4">
        <w:instrText>ADDIN CSL_CITATION {"citationItems":[{"id":"ITEM-1","itemData":{"DOI":"10.1038/s43017-021-00195-3","ISBN":"0123456789","ISSN":"2662138X","abstract":"Disastrous floods have caused millions of fatalities in the twentieth century, tens of billions of dollars of direct economic loss each year and serious disruption to global trade. In this Review, we provide a synthesis of the atmospheric, land surface and socio-economic processes that produce river floods with disastrous consequences. Disastrous floods have often been caused by processes fundamentally different from those of non-disastrous floods, such as unusual but recurring atmospheric circulation patterns or failures of flood defences, which lead to high levels of damage because they are unexpected both by citizens and by flood managers. Past trends in economic flood impacts show widespread increases, mostly driven by economic and population growth. However, the number of fatalities and people affected has decreased since the mid-1990s because of risk reduction measures, such as improved risk awareness and structural flood defences. Disastrous flooding is projected to increase in many regions, particularly in Asia and Africa, owing to climate and socio-economic changes, although substantial uncertainties remain. Assessing the risk of disastrous river floods requires a deeper understanding of their distinct causes. Transdisciplinary research is needed to understand the potential for surprise in flood risk systems better and to operationalize risk management concepts that account for limited knowledge and unexpected developments.","author":[{"dropping-particle":"","family":"Merz","given":"Bruno","non-dropping-particle":"","parse-names":false,"suffix":""},{"dropping-particle":"","family":"Blöschl","given":"Günter","non-dropping-particle":"","parse-names":false,"suffix":""},{"dropping-particle":"","family":"Vorogushyn","given":"Sergiy","non-dropping-particle":"","parse-names":false,"suffix":""},{"dropping-particle":"","family":"Dottori","given":"Francesco","non-dropping-particle":"","parse-names":false,"suffix":""},{"dropping-particle":"","family":"Aerts","given":"Jeroen C.J.H.","non-dropping-particle":"","parse-names":false,"suffix":""},{"dropping-particle":"","family":"Bates","given":"Paul","non-dropping-particle":"","parse-names":false,"suffix":""},{"dropping-particle":"","family":"Bertola","given":"Miriam","non-dropping-particle":"","parse-names":false,"suffix":""},{"dropping-particle":"","family":"Kemter","given":"Matthias","non-dropping-particle":"","parse-names":false,"suffix":""},{"dropping-particle":"","family":"Kreibich","given":"Heidi","non-dropping-particle":"","parse-names":false,"suffix":""},{"dropping-particle":"","family":"Lall","given":"Upmanu","non-dropping-particle":"","parse-names":false,"suffix":""},{"dropping-particle":"","family":"Macdonald","given":"Elena","non-dropping-particle":"","parse-names":false,"suffix":""}],"container-title":"Nature Reviews Earth and Environment","id":"ITEM-1","issue":"9","issued":{"date-parts":[["2021"]]},"note":"Exposure depends on the floodplains\n\nflood risk = expected flood impacts\n\nflood regimes: interaction of processes which produce different types of flooding\n\nAtmospheric circulation and storm tracks influence extreme floods\n\nflood rich and poor periods are influenced by oceano-atmospheric interactions\n\nactivation of additional areas with high runoff coeficients are more important in small catchments\n\nconfluences of flood waves\n\nland use change is more influencing for floods in small catchments\n\nlevees remove floodplains and as a consequence it generates inundations downstream\n\nDisastrous floods, those with disstrous consequences (box figure)\n\nindirect and intangible impacts of floods are rarely assessed, those impacts on far away locations\n\nlosses to agriculture and infraestructure have been estimated for single disastrous floods\n\ncascade failures that propagate to other networks\n\ndisasters can trigger adaptation\n\nSimilar trends in large areas are related to trends in floods\n\nFlood timing (month or day of the year) has been related to climate change and climate variability but has not been distinguished\n\nChanges in flood extent are realted to magnitud, not known that has been estimated for latin america\n\nClimate variability changed the 100-year floods, not necesarilly climate change\n\nLong term changes in california and the reduction of floods\n\nIf large flood increases, small floods as well. And also the contrary, if drecreases the other one reduces\n\nAction flood level, when actions need to be taken.\n\nFuture FLOOD modelling scenarios that consider socio-economic pathways, dynamical response of society and adaptation-vulnerability\n\nfuture impact models that use future climate forcings do not consider potential changes and societal adaptations\n\nExtrapolating historic observed flood behaviour is insufficient to address these challenges, because the past might be a poor guide to the future\n\nextreme floods and the independence of events\n\nsurprise-prone flooding systems. Is surprise negligible, non- negligible but small, or substantial?","page":"592-609","title":"Causes, impacts and patterns of disastrous river floods","type":"article-journal","volume":"2"},"uris":["http://www.mendeley.com/documents/?uuid=e65cda3b-0b4f-4f0e-8e9d-ba2456301aab"]},{"id":"ITEM-2","itemData":{"DOI":"10.1016/j.jhydrol.2010.07.012","ISBN":"0022-1694","ISSN":"00221694","PMID":"21949381","abstract":"Owing to the rise in water demand and looming climate change, recent years have witnessed much focus on global drought scenarios. As a natural hazard, drought is best characterized by multiple climatological and hydrological parameters. An understanding of the relationships between these two sets of parameters is necessary to develop measures for mitigating the impacts of droughts. Beginning with a discussion of drought definitions, this paper attempts to provide a review of fundamental concepts of drought, classification of droughts, drought indices, historical droughts using paleoclimatic studies, and the relation between droughts and large scale climate indices. Conclusions are drawn where gaps exist and more research needs to be focussed. © 2010 Elsevier B.V.","author":[{"dropping-particle":"","family":"Mishra","given":"Ashok K.","non-dropping-particle":"","parse-names":false,"suffix":""},{"dropping-particle":"","family":"Singh","given":"Vijay P.","non-dropping-particle":"","parse-names":false,"suffix":""}],"container-title":"Journal of Hydrology","id":"ITEM-2","issue":"1-2","issued":{"date-parts":[["2010"]]},"note":"differences with other natural hazzards\ndrought definitions\nwater scarcity\nover-explotation\nindex to monitor an ongoing drought\nSPI against other indeces\nteleconections","page":"202-216","publisher":"Elsevier B.V.","title":"A review of drought concepts","type":"article-journal","volume":"391"},"uris":["http://www.mendeley.com/documents/?uuid=b5350c8b-3976-4bd4-adbd-c6c1e3aa08ba"]},{"id":"ITEM-3","itemData":{"DOI":"10.1002/wat2.1520","ISSN":"20491948","abstract":"Predictions of floods, droughts, and fast drought-flood transitions are required at different time scales to develop management strategies targeted at minimizing negative societal and economic impacts. Forecasts at daily and seasonal scale are vital for early warning, estimation of event frequency for hydraulic design, and long-term projections for developing adaptation strategies to future conditions. All three types of predictions—forecasts, frequency estimates, and projections—typically treat droughts and floods independently, even though both types of extremes can be studied using related approaches and have similar challenges. In this review, we (a) identify challenges common to drought and flood prediction and their joint assessment and (b) discuss tractable approaches to tackle these challenges. We group challenges related to flood and drought prediction into four interrelated categories: data, process understanding, modeling and prediction, and human–water interactions. Data-related challenges include data availability and event definition. Process-related challenges include the multivariate and spatial characteristics of extremes, non-stationarities, and future changes in extremes. Modeling challenges arise in frequency analysis, stochastic, hydrological, earth system, and hydraulic modeling. Challenges with respect to human–water interactions lie in establishing links to impacts, representing human–water interactions, and science communication. We discuss potential ways of tackling these challenges including exploiting new data sources, studying droughts and floods in a joint framework, studying societal influences and compounding drivers, developing continuous stochastic models or non-stationary models, and obtaining stakeholder feed</w:instrText>
      </w:r>
      <w:r w:rsidR="002B56C4" w:rsidRPr="002B56C4">
        <w:instrText>back. Tackling one or several of these challenges will improve flood and drought predictions and help to minimize the negative impacts of extreme events. This article is categorized under: Science of Water &gt; Science of Water.","author":[{"dropping-particle":"","family":"Brunner","given":"Manuela I.","non-dropping-particle":"","parse-names":false,"suffix":""},{"dropping-particle":"","family":"Slater","given":"Louise","non-dropping-particle":"","parse-names":false,"suffix":""},{"dropping-particle":"","family":"Tallaksen","given":"Lena M.","non-dropping-particle":"","parse-names":false,"suffix":""},{"dropping-particle":"","family":"Clark","given":"Martyn","non-dropping-particle":"","parse-names":false,"suffix":""}],"container-title":"Wiley Interdisciplinary Reviews: Water","id":"ITEM-3","issue":"3","issued":{"date-parts":[["2021","3","11"]]},"page":"1-32","title":"Challenges in modeling and predicting floods and droughts: A review","type":"article-journal","volume":"8"},"uris":["http://www.mendeley.com/documents/?uuid=41de280e-0617-4649-b2e5-e7955204a6e8"]}],"mendeley":{"formattedCitation":"(Brunner et al., 2021; Merz et al., 2021; A. K. Mishra &amp; Singh, 2010)","plainTextFormattedCitation":"(Brunner et al., 2021; Merz et al., 2021; A. K. Mishra &amp; Singh, 2010)","previouslyFormattedCitation":"(Brunner et al., 2021; Merz et al., 2021; A. K. Mishra &amp; Singh, 2010)"},"properties":{"noteIndex":0},"schema":"https://github.com/citation-style-language/schema/raw/master/csl-citation.json"}</w:instrText>
      </w:r>
      <w:r w:rsidR="002B56C4">
        <w:fldChar w:fldCharType="separate"/>
      </w:r>
      <w:r w:rsidR="002B56C4" w:rsidRPr="005E7672">
        <w:rPr>
          <w:noProof/>
        </w:rPr>
        <w:t>(Brunner et al., 2021; Merz et al., 2021; A. K. Mishra &amp; Singh, 2010)</w:t>
      </w:r>
      <w:r w:rsidR="002B56C4">
        <w:fldChar w:fldCharType="end"/>
      </w:r>
      <w:r w:rsidR="002B56C4" w:rsidRPr="005E7672">
        <w:t>;</w:t>
      </w:r>
      <w:r w:rsidR="002B56C4">
        <w:t xml:space="preserve"> es</w:t>
      </w:r>
      <w:r w:rsidR="00923FD7">
        <w:t xml:space="preserve">as </w:t>
      </w:r>
      <w:r w:rsidR="00F72732">
        <w:t xml:space="preserve">variables </w:t>
      </w:r>
      <w:r w:rsidR="00385CDF">
        <w:t>son importantes para diversas actividades económicas, y su estudio es fundamental para construir</w:t>
      </w:r>
      <w:r w:rsidR="005511E6">
        <w:t xml:space="preserve"> </w:t>
      </w:r>
      <w:r w:rsidR="005511E6" w:rsidRPr="005511E6">
        <w:rPr>
          <w:i/>
          <w:iCs/>
        </w:rPr>
        <w:t>herramientas de predicción</w:t>
      </w:r>
      <w:r w:rsidR="005511E6">
        <w:t>.</w:t>
      </w:r>
      <w:r w:rsidR="003B7A09">
        <w:t xml:space="preserve"> </w:t>
      </w:r>
      <w:r w:rsidR="00844C30">
        <w:t>S</w:t>
      </w:r>
      <w:r w:rsidR="00D1180C">
        <w:t xml:space="preserve">e propone </w:t>
      </w:r>
      <w:r w:rsidR="00844C30">
        <w:t xml:space="preserve">entonces </w:t>
      </w:r>
      <w:r w:rsidR="000C4E29">
        <w:t>investigar</w:t>
      </w:r>
      <w:r w:rsidR="00D1180C">
        <w:t xml:space="preserve"> </w:t>
      </w:r>
      <w:r w:rsidR="00983DC2">
        <w:t xml:space="preserve">el impacto de varios fenómenos conocidos en variables específicas del ciclo hidrológico </w:t>
      </w:r>
      <w:r w:rsidR="00624592">
        <w:t xml:space="preserve">como primer paso </w:t>
      </w:r>
      <w:r w:rsidR="001F7F42">
        <w:t xml:space="preserve">para la construcción de las herramientas. Igualmente, </w:t>
      </w:r>
      <w:r w:rsidR="0097544F">
        <w:t>la variabilidad de ciert</w:t>
      </w:r>
      <w:r w:rsidR="00405D87">
        <w:t xml:space="preserve">os rasgos de la </w:t>
      </w:r>
      <w:hyperlink r:id="rId11" w:history="1">
        <w:r w:rsidR="00405D87" w:rsidRPr="00A2682A">
          <w:rPr>
            <w:rStyle w:val="Hipervnculo"/>
          </w:rPr>
          <w:t>circulación</w:t>
        </w:r>
      </w:hyperlink>
      <w:r w:rsidR="00405D87">
        <w:t xml:space="preserve"> atmosférica </w:t>
      </w:r>
      <w:r w:rsidR="005B33CB">
        <w:t>tropical</w:t>
      </w:r>
      <w:r w:rsidR="00775DE0">
        <w:t xml:space="preserve"> </w:t>
      </w:r>
      <w:r w:rsidR="00405D87">
        <w:t xml:space="preserve">no </w:t>
      </w:r>
      <w:r w:rsidR="00AA653E">
        <w:t>está</w:t>
      </w:r>
      <w:r w:rsidR="00405D87">
        <w:t xml:space="preserve"> completamente </w:t>
      </w:r>
      <w:r w:rsidR="00654F5C">
        <w:t>clara</w:t>
      </w:r>
      <w:r w:rsidR="00EB6C34">
        <w:t xml:space="preserve">, p.ej. la </w:t>
      </w:r>
      <w:r w:rsidR="00654F5C">
        <w:t xml:space="preserve">variabilidad </w:t>
      </w:r>
      <w:r w:rsidR="00EB6C34">
        <w:t>del jet de baja altura del Orinoco</w:t>
      </w:r>
      <w:r w:rsidR="00654F5C">
        <w:t xml:space="preserve"> que </w:t>
      </w:r>
      <w:r w:rsidR="00C46105">
        <w:t xml:space="preserve">podría </w:t>
      </w:r>
      <w:r w:rsidR="00654F5C">
        <w:t>influencia</w:t>
      </w:r>
      <w:r w:rsidR="00C46105">
        <w:t>r</w:t>
      </w:r>
      <w:r w:rsidR="00654F5C">
        <w:t xml:space="preserve"> las condiciones nubosas, la radiación y </w:t>
      </w:r>
      <w:r w:rsidR="00025F9B">
        <w:t xml:space="preserve">la </w:t>
      </w:r>
      <w:r w:rsidR="00654F5C">
        <w:t>evaporación</w:t>
      </w:r>
      <w:r w:rsidR="00EB6C34">
        <w:t xml:space="preserve"> </w:t>
      </w:r>
      <w:r w:rsidR="00AC61DD">
        <w:fldChar w:fldCharType="begin" w:fldLock="1"/>
      </w:r>
      <w:r w:rsidR="007D41DA">
        <w:instrText>ADDIN CSL_CITATION {"citationItems":[{"id":"ITEM-1","itemData":{"DOI":"10.1007/s00382-023-07028-7","ISBN":"0123456789","ISSN":"0930-7575","abstract":"This study focuses on the analysis of the simulation of the main climatological features of the Orinoco low-level jet (OLLJ) by a set of models included in the Sixth Phase of the Coupled Model Intercomparison Project (CMIP6) and their projected changes under three Shared Socioeconomic Pathways (SSPs): SSP2-4.5, SSP3-7.0, and SSP5-8.5. We consider the 1979–2014 period to evaluate the historical simulations using the ERA5 reanalysis as the reference dataset. In general, CMIP6 models are able to capture the activation of the OLLJ during December-January–February (DJF) in the Orinoco basin, as well as the main links between this circulation and low-level moisture transport patterns in northern South America. Regarding the analysis of projections, CMIP6 models suggest a weakening and shrinking of the OLLJ, especially in its exit region, by the end of the twenty-first century, which in turn induces changes in atmospheric moisture transport patterns in the region during DJF. The projected changes of the OLLJ are associated with variations in the regional gradients of mean sea level pressure, near-surface air temperature, and surface sensible heat flux in association with drier conditions in the Orinoco basin. These projections are consistent with previous studies suggesting a drier Orinoco river basin throughout the twenty-first century. Assessing the projected changes of this low-level jet in northern South America improves our understanding of the different phenomena that modulate atmospheric moisture transport in the region, which is particularly important given its high vulnerability to climate change.","author":[{"dropping-particle":"","family":"Correa","given":"Isabel C","non-dropping-particle":"","parse-names":false,"suffix":""},{"dropping-particle":"","family":"Arias","given":"Paola A","non-dropping-particle":"","parse-names":false,"suffix":""},{"dropping-particle":"","family":"Vieira","given":"Sara C","non-dropping-particle":"","parse-names":false,"suffix":""},{"dropping-particle":"","family":"Martínez","given":"J Alejandro","non-dropping-particle":"","parse-names":false,"suffix":""}],"container-title":"Climate Dynamics","id":"ITEM-1","issue":"0123456789","issued":{"date-parts":[["2024","1","4"]]},"publisher":"Springer Berlin Heidelberg","title":"A drier Orinoco basin during the twenty-first century: the role of the Orinoco low-level jet","type":"article-journal"},"uris":["http://www.mendeley.com/documents/?uuid=168b06c5-f493-4112-9d16-13ce6878388b"]},{"id":"ITEM-2","itemData":{"DOI":"10.1016/j.atmosres.2023.106786","ISSN":"01698095","author":[{"dropping-particle":"","family":"Builes-Jaramillo","given":"Alejandro","non-dropping-particle":"","parse-names":false,"suffix":""},{"dropping-particle":"","family":"Valencia","given":"Juliana","non-dropping-particle":"","parse-names":false,"suffix":""},{"dropping-particle":"","family":"Salas","given":"Hernán D.","non-dropping-particle":"","parse-names":false,"suffix":""}],"container-title":"Atmospheric Research","id":"ITEM-2","issue":"May","issued":{"date-parts":[["2023","7"]]},"page":"106786","title":"The influence of the El Niño-Southern Oscillation phase transitions over the northern South America hydroclimate","type":"article-journal","volume":"290"},"uris":["http://www.mendeley.com/documents/?uuid=de6fb84f-c199-449e-b26f-a4c49dafa662"]}],"mendeley":{"formattedCitation":"(Builes-Jaramillo et al., 2023; Correa et al., 2024)","plainTextFormattedCitation":"(Builes-Jaramillo et al., 2023; Correa et al., 2024)","previouslyFormattedCitation":"(Builes-Jaramillo et al., 2023; Correa et al., 2024)"},"properties":{"noteIndex":0},"schema":"https://github.com/citation-style-language/schema/raw/master/csl-citation.json"}</w:instrText>
      </w:r>
      <w:r w:rsidR="00AC61DD">
        <w:fldChar w:fldCharType="separate"/>
      </w:r>
      <w:r w:rsidR="00AC61DD" w:rsidRPr="00AC61DD">
        <w:rPr>
          <w:noProof/>
        </w:rPr>
        <w:t>(Builes-Jaramillo et al., 2023; Correa et al., 2024)</w:t>
      </w:r>
      <w:r w:rsidR="00AC61DD">
        <w:fldChar w:fldCharType="end"/>
      </w:r>
      <w:r w:rsidR="00EB6C34">
        <w:t>.</w:t>
      </w:r>
    </w:p>
    <w:p w14:paraId="4C06A2F6" w14:textId="13DBA7E0" w:rsidR="00AA653E" w:rsidRDefault="00AA653E" w:rsidP="00333102">
      <w:pPr>
        <w:spacing w:line="276" w:lineRule="auto"/>
        <w:rPr>
          <w:lang w:val="es-ES"/>
        </w:rPr>
      </w:pPr>
      <w:r>
        <w:t xml:space="preserve">El estudio de los fenómenos </w:t>
      </w:r>
      <w:r w:rsidR="00DD5EF2">
        <w:t xml:space="preserve">causantes </w:t>
      </w:r>
      <w:r w:rsidR="00AC64B0">
        <w:t xml:space="preserve">de </w:t>
      </w:r>
      <w:r w:rsidR="00DD5EF2">
        <w:t xml:space="preserve">la </w:t>
      </w:r>
      <w:r w:rsidR="00AC64B0">
        <w:t xml:space="preserve">variabilidad </w:t>
      </w:r>
      <w:r w:rsidR="0049365B">
        <w:t>puede servir para crear modelos</w:t>
      </w:r>
      <w:r w:rsidR="00B0293B">
        <w:t xml:space="preserve"> de predicción</w:t>
      </w:r>
      <w:r w:rsidR="0049365B">
        <w:t xml:space="preserve"> estadísticos, pero también permite filtrar los resultados de </w:t>
      </w:r>
      <w:r w:rsidR="002D224E">
        <w:t>ensambles de</w:t>
      </w:r>
      <w:r w:rsidR="004931F7">
        <w:t xml:space="preserve"> </w:t>
      </w:r>
      <w:r w:rsidR="009A4999">
        <w:t>CGC</w:t>
      </w:r>
      <w:r w:rsidR="005837A4">
        <w:t>M</w:t>
      </w:r>
      <w:r w:rsidR="0082243E">
        <w:t xml:space="preserve"> (modelos dinámicos)</w:t>
      </w:r>
      <w:r w:rsidR="009A4999">
        <w:t>.</w:t>
      </w:r>
      <w:r w:rsidR="00893C95">
        <w:t xml:space="preserve"> </w:t>
      </w:r>
      <w:r w:rsidR="00F16307">
        <w:t>L</w:t>
      </w:r>
      <w:r w:rsidR="00893C95">
        <w:t xml:space="preserve">os modelos </w:t>
      </w:r>
      <w:r w:rsidR="001976CA">
        <w:t xml:space="preserve">atmosféricos </w:t>
      </w:r>
      <w:r w:rsidR="000B31E3">
        <w:t>de corto rango</w:t>
      </w:r>
      <w:r w:rsidR="00453EBC">
        <w:t xml:space="preserve"> </w:t>
      </w:r>
      <w:r w:rsidR="000B31E3">
        <w:t xml:space="preserve">tienen </w:t>
      </w:r>
      <w:r w:rsidR="00C81D4D">
        <w:t xml:space="preserve">un </w:t>
      </w:r>
      <w:r w:rsidR="00747714">
        <w:t>buen</w:t>
      </w:r>
      <w:r w:rsidR="00C81D4D">
        <w:t xml:space="preserve"> </w:t>
      </w:r>
      <w:r w:rsidR="00747714">
        <w:t>dese</w:t>
      </w:r>
      <w:r w:rsidR="00DB794B">
        <w:t>m</w:t>
      </w:r>
      <w:r w:rsidR="00747714">
        <w:t xml:space="preserve">peño </w:t>
      </w:r>
      <w:r w:rsidR="00AE2D99">
        <w:t xml:space="preserve">solo </w:t>
      </w:r>
      <w:r w:rsidR="001976CA">
        <w:t xml:space="preserve">en los primeros días (NWP y sus emuladores recientes con IA; Pan et al., 2025), pero a </w:t>
      </w:r>
      <w:r w:rsidR="001976CA">
        <w:lastRenderedPageBreak/>
        <w:t>horizontes mayores son muy incipientes debido a</w:t>
      </w:r>
      <w:r w:rsidR="00D32DC7">
        <w:t xml:space="preserve"> que</w:t>
      </w:r>
      <w:r w:rsidR="0093281B">
        <w:t xml:space="preserve"> no </w:t>
      </w:r>
      <w:r w:rsidR="00AE2D99">
        <w:t>considera</w:t>
      </w:r>
      <w:r w:rsidR="00D32DC7">
        <w:t>n</w:t>
      </w:r>
      <w:r w:rsidR="00AE2D99">
        <w:t xml:space="preserve"> el </w:t>
      </w:r>
      <w:r w:rsidR="0093281B">
        <w:t xml:space="preserve">acople con </w:t>
      </w:r>
      <w:r w:rsidR="0025728B">
        <w:t>los océanos</w:t>
      </w:r>
      <w:r w:rsidR="007B1198">
        <w:t>. Las predicciones estacion</w:t>
      </w:r>
      <w:r w:rsidR="00BA6968">
        <w:t xml:space="preserve">ales </w:t>
      </w:r>
      <w:r w:rsidR="00943CC5">
        <w:t>hechas con</w:t>
      </w:r>
      <w:r w:rsidR="002815F4">
        <w:t xml:space="preserve"> CGCM</w:t>
      </w:r>
      <w:r w:rsidR="007107BF">
        <w:t xml:space="preserve"> </w:t>
      </w:r>
      <w:r w:rsidR="00F60FF8">
        <w:t xml:space="preserve">a veces presentan un desempeño aceptable para algunos miembros del ensamble </w:t>
      </w:r>
      <w:r w:rsidR="00381732">
        <w:t>–</w:t>
      </w:r>
      <w:r w:rsidR="00824CF0">
        <w:t xml:space="preserve"> a pesar del acople – </w:t>
      </w:r>
      <w:r w:rsidR="00F60FF8">
        <w:t>y regular</w:t>
      </w:r>
      <w:r w:rsidR="00F72048">
        <w:t xml:space="preserve"> o deficiente</w:t>
      </w:r>
      <w:r w:rsidR="00F60FF8">
        <w:t xml:space="preserve"> para otros </w:t>
      </w:r>
      <w:r w:rsidR="00DE3274">
        <w:fldChar w:fldCharType="begin" w:fldLock="1"/>
      </w:r>
      <w:r w:rsidR="00DE3274">
        <w:instrText>ADDIN CSL_CITATION {"citationItems":[{"id":"ITEM-1","itemData":{"DOI":"10.5194/ems2025-218","abstract":"As Germany accelerates its renewable energy transition aiming for 80% renewable electricity by 2030, the expansion of wind and solar capacity, the phase-out of fossil fuels, and improvements to grid infrastructure are crucial for ensuring a sustainable and secure energy system. In this context, seasonal forecasts of wind and solar radiation have the potential to support energy reserve management, planning for variable renewable supply, and improving the long-term resilience of the energy system. This study focuses on the development and evaluation of seasonal forecasts for 100m wind speed and solar radiation across Germany. We apply the statistical-dynamical downscaling method EPISODES (Kreienkamp et al., 2019) to hindcast data (1990–2020) from the German Climate Forecasting System Version 2.1 and investigate the predictability and forecast skill of 100m wind speed and solar radiation forecasts on lead times ranging from one to six months. The analysis focuses on the summer season, when solar energy production is highest, and the winter season, when wind energy production peaks. Despite the overall rather low forecast skill of seasonal forecasts for Germany, we find that skillful wind forecasts for the winter season are possible with a reasonable correlation to observations. Furthermore, the forecast model is able to predict solar radiation in summer over southern Germany, a region that contains most of the solar plants in Germany, relatively well. We further employ a statistically selected subsampling approach (Dalelane et al., 2020 and Dalelane et al. 2025, in preparation) to generate a smaller ensemble based on large-scale teleconnections in the North Atlantic and apply it to the forecasts. With this approach, we find a substantial increase in forecast skill for both wind and solar radiation in both summer and winter compared to the full ensemble. Our findings show that skillful seasonal forecasts in winter and summer are possible despite the limitations and challenges of seasonal prediction. In the future, we plan to use multi-model approaches and teleconnection indices to further explore potentials for more skillful seasonal prediction of wind and solar radiation and publish skillful forecasts on the DWD climate prediction webpage (http://www.dwd.de/climatepredictions). This user-oriented website consistently evaluates and displays subseasonal, seasonal and decadal climate predictions at high resolution for Germany.Kreienkamp, F., Paxian, A., Früh,…","author":[{"dropping-particle":"","family":"Wandel","given":"Jan","non-dropping-particle":"","parse-names":false,"suffix":""},{"dropping-particle":"","family":"Paxian","given":"Andreas","non-dropping-particle":"","parse-names":false,"suffix":""},{"dropping-particle":"","family":"Dalelane","given":"Clementine","non-dropping-particle":"","parse-names":false,"suffix":""},{"dropping-particle":"","family":"Tyagi","given":"Abhinav","non-dropping-particle":"","parse-names":false,"suffix":""},{"dropping-particle":"","family":"Happ","given":"Alina","non-dropping-particle":"","parse-names":false,"suffix":""},{"dropping-particle":"","family":"Siefert","given":"Malte","non-dropping-particle":"","parse-names":false,"suffix":""}],"container-title":"European Meteorological Society annual meeting","id":"ITEM-1","issued":{"date-parts":[["2025","7","16"]]},"title":"Seasonal forecasts of 100m Wind and solar radiation for Germany","type":"paper-conference"},"uris":["http://www.mendeley.com/documents/?uuid=89bca51f-55d9-40db-bdad-3da166c42f89"]}],"mendeley":{"formattedCitation":"(Wandel et al., 2025)","plainTextFormattedCitation":"(Wandel et al., 2025)","previouslyFormattedCitation":"(Wandel et al., 2025)"},"properties":{"noteIndex":0},"schema":"https://github.com/citation-style-language/schema/raw/master/csl-citation.json"}</w:instrText>
      </w:r>
      <w:r w:rsidR="00DE3274">
        <w:fldChar w:fldCharType="separate"/>
      </w:r>
      <w:r w:rsidR="00DE3274" w:rsidRPr="00DE3274">
        <w:rPr>
          <w:noProof/>
        </w:rPr>
        <w:t>(Wandel et al., 2025)</w:t>
      </w:r>
      <w:r w:rsidR="00DE3274">
        <w:fldChar w:fldCharType="end"/>
      </w:r>
      <w:r w:rsidR="00F60FF8">
        <w:t>; por eso, la identificación de las teleconexiones y el filtrado de miembros basados en dicha</w:t>
      </w:r>
      <w:r w:rsidR="009D0179">
        <w:t xml:space="preserve"> identificación </w:t>
      </w:r>
      <w:r w:rsidR="00E401AF">
        <w:t>permiten</w:t>
      </w:r>
      <w:r w:rsidR="009D0179">
        <w:t xml:space="preserve"> </w:t>
      </w:r>
      <w:r w:rsidR="00564E34">
        <w:t xml:space="preserve">mejorar el desempeño de </w:t>
      </w:r>
      <w:r w:rsidR="00F60FF8">
        <w:t>estas</w:t>
      </w:r>
      <w:r w:rsidR="00564E34">
        <w:t xml:space="preserve"> </w:t>
      </w:r>
      <w:r w:rsidR="00F60FF8">
        <w:rPr>
          <w:i/>
          <w:iCs/>
        </w:rPr>
        <w:t>herramientas</w:t>
      </w:r>
      <w:r w:rsidR="00564E34" w:rsidRPr="00564E34">
        <w:rPr>
          <w:i/>
          <w:iCs/>
        </w:rPr>
        <w:t xml:space="preserve"> de predicción</w:t>
      </w:r>
      <w:r w:rsidR="00F60FF8">
        <w:rPr>
          <w:i/>
          <w:iCs/>
        </w:rPr>
        <w:t xml:space="preserve"> </w:t>
      </w:r>
      <w:r w:rsidR="00F60FF8">
        <w:t>dinámica</w:t>
      </w:r>
      <w:r w:rsidR="00DE3274">
        <w:t xml:space="preserve"> </w:t>
      </w:r>
      <w:r w:rsidR="00F77A2A">
        <w:t>(Fig</w:t>
      </w:r>
      <w:r w:rsidR="00FB0D86">
        <w:t xml:space="preserve">ura 3; </w:t>
      </w:r>
      <w:r w:rsidR="00DE3274">
        <w:fldChar w:fldCharType="begin" w:fldLock="1"/>
      </w:r>
      <w:r w:rsidR="008249AB">
        <w:instrText>ADDIN CSL_CITATION {"citationItems":[{"id":"ITEM-1","itemData":{"DOI":"10.5194/egusphere-2025-3664","abstract":"Abstract. The demand for skillful climate predictions on subseasonal-to-multidecadal time scales is rising almost by the day, not least because the growing renewable energy sector, but also many other important socio–economic sectors are vulnerable to climate variations. Large scale atmospheric patterns in the North–Atlantic European sector, so-called teleconnections, are well known to have major influence on European climate conditions. For that reason there exists a wide variety of hybrid dynamical–statistical applications, which combine dynamical model output with teleconnections in one way or another to improve the rather modest predictive skill of state-of-the-art dynamical climate forecasts over Europe. The potential improvement generated by these kinds of postprocessing methods is naturally limited by the strength of association between the circulation patterns and the local climate parameters. We propose a statistical technique to retrieve atmospheric patterns—targeted teleconnections—that are maximally predictive for a given climate parameter in a region of choice so as to optimize the potential of statistical postprocessing. The possibility of improvement in forecast skill induced by the implementation of targeted teleconnections is demonstrated in four applications.","author":[{"dropping-particle":"","family":"Dalelane","given":"Clementine","non-dropping-particle":"","parse-names":false,"suffix":""},{"dropping-particle":"","family":"Paxian","given":"Andreas","non-dropping-particle":"","parse-names":false,"suffix":""},{"dropping-particle":"","family":"Senande","given":"Martín","non-dropping-particle":"","parse-names":false,"suffix":""},{"dropping-particle":"","family":"Sanfiz","given":"Sabela","non-dropping-particle":"","parse-names":false,"suffix":""},{"dropping-particle":"","family":"Rodríguez Guisado","given":"Estéban","non-dropping-particle":"","parse-names":false,"suffix":""},{"dropping-particle":"","family":"Wandel","given":"Jan","non-dropping-particle":"","parse-names":false,"suffix":""},{"dropping-particle":"","family":"Tyagi","given":"Abhinav","non-dropping-particle":"","parse-names":false,"suffix":""}],"id":"ITEM-1","issued":{"date-parts":[["2025","8","8"]]},"title":"Targeted Teleconnections and their Application to the Postprocessing of Climate Predictions","type":"article"},"uris":["http://www.mendeley.com/documents/?uuid=7b23afb3-bdfa-4e82-b7de-02899b46d871"]}],"mendeley":{"formattedCitation":"(Dalelane et al., 2025)","manualFormatting":"Dalelane et al., 2025)","plainTextFormattedCitation":"(Dalelane et al., 2025)","previouslyFormattedCitation":"(Dalelane et al., 2025)"},"properties":{"noteIndex":0},"schema":"https://github.com/citation-style-language/schema/raw/master/csl-citation.json"}</w:instrText>
      </w:r>
      <w:r w:rsidR="00DE3274">
        <w:fldChar w:fldCharType="separate"/>
      </w:r>
      <w:r w:rsidR="00DE3274" w:rsidRPr="00DE3274">
        <w:rPr>
          <w:noProof/>
        </w:rPr>
        <w:t>Dalelane et al., 2025)</w:t>
      </w:r>
      <w:r w:rsidR="00DE3274">
        <w:fldChar w:fldCharType="end"/>
      </w:r>
      <w:r w:rsidR="00377E9F">
        <w:t>.</w:t>
      </w:r>
      <w:r w:rsidR="001135C6">
        <w:t xml:space="preserve"> Se propone </w:t>
      </w:r>
      <w:r w:rsidR="00381732">
        <w:t xml:space="preserve">investigar, </w:t>
      </w:r>
      <w:r w:rsidR="00002041">
        <w:t xml:space="preserve">evaluar y construir las herramientas </w:t>
      </w:r>
      <w:r w:rsidR="00381732">
        <w:t xml:space="preserve">– estadísticas y dinámicas – </w:t>
      </w:r>
      <w:r w:rsidR="006750AC">
        <w:t xml:space="preserve">no solo </w:t>
      </w:r>
      <w:r w:rsidR="00381732">
        <w:t xml:space="preserve">con </w:t>
      </w:r>
      <w:r w:rsidR="006750AC">
        <w:t xml:space="preserve">un ensamble de un modelo (como lo realiza actualmente el IDEAM-next gen; </w:t>
      </w:r>
      <w:r w:rsidR="006750AC">
        <w:fldChar w:fldCharType="begin" w:fldLock="1"/>
      </w:r>
      <w:r w:rsidR="009C5341">
        <w:instrText>ADDIN CSL_CITATION {"citationItems":[{"id":"ITEM-1","itemData":{"author":[{"dropping-particle":"","family":"Ruiz Murcia","given":"Franklin","non-dropping-particle":"","parse-names":false,"suffix":""},{"dropping-particle":"","family":"Melo Franco","given":"J","non-dropping-particle":"","parse-names":false,"suffix":""}],"id":"ITEM-1","issued":{"date-parts":[["2020"]]},"title":"Aspectos metodológicos de la predicción climática mensual de la precipitación en Colombia (Nota Técnica IDEAM–METEO/001-2020)","type":"report"},"uris":["http://www.mendeley.com/documents/?uuid=50d64fe8-7ac3-4574-9ece-0b0f75e0d7f2"]}],"mendeley":{"formattedCitation":"(Ruiz Murcia &amp; Melo Franco, 2020)","manualFormatting":"Ruiz Murcia &amp; Melo Franco, 2020)","plainTextFormattedCitation":"(Ruiz Murcia &amp; Melo Franco, 2020)","previouslyFormattedCitation":"(Ruiz Murcia &amp; Melo Franco, 2020)"},"properties":{"noteIndex":0},"schema":"https://github.com/citation-style-language/schema/raw/master/csl-citation.json"}</w:instrText>
      </w:r>
      <w:r w:rsidR="006750AC">
        <w:fldChar w:fldCharType="separate"/>
      </w:r>
      <w:r w:rsidR="006750AC" w:rsidRPr="006750AC">
        <w:rPr>
          <w:noProof/>
        </w:rPr>
        <w:t>Ruiz Murcia &amp; Melo Franco, 2020)</w:t>
      </w:r>
      <w:r w:rsidR="006750AC">
        <w:fldChar w:fldCharType="end"/>
      </w:r>
      <w:r w:rsidR="006750AC">
        <w:t xml:space="preserve">, </w:t>
      </w:r>
      <w:r w:rsidR="00A25A24">
        <w:t xml:space="preserve">sino con </w:t>
      </w:r>
      <w:r w:rsidR="00C41B7F">
        <w:t xml:space="preserve">varios ensambles </w:t>
      </w:r>
      <w:r w:rsidR="00917863">
        <w:t xml:space="preserve">de CGCM </w:t>
      </w:r>
      <w:r w:rsidR="00C41B7F">
        <w:t xml:space="preserve">de los diferentes centros meteorológicos de Europa y el mundo </w:t>
      </w:r>
      <w:r w:rsidR="00751B15">
        <w:rPr>
          <w:lang w:val="es-ES"/>
        </w:rPr>
        <w:fldChar w:fldCharType="begin" w:fldLock="1"/>
      </w:r>
      <w:r w:rsidR="00751B15">
        <w:rPr>
          <w:lang w:val="es-ES"/>
        </w:rPr>
        <w:instrText>ADDIN CSL_CITATION {"citationItems":[{"id":"ITEM-1","itemData":{"DOI":"10.5194/gmd-12-1087-2019","ISSN":"19919603","abstract":"In this paper we describe SEAS5, ECMWF's fifth generation seasonal forecast system, which became operational in November 2017. Compared to its predecessor, System 4, SEAS5 is a substantially changed forecast system. It includes upgraded versions of the atmosphere and ocean models at higher resolutions, and adds a prognostic sea-ice model. Here, we describe the configuration of SEAS5 and summarise the most noticeable results from a set of diagnostics including biases, variability, teleconnections and forecast skill.&lt;/p&gt; &lt;p&gt;An important improvement in SEAS5 is the reduction of the equatorial Pacific cold tongue bias, which is accompanied by a more realistic El Niño amplitude and an improvement in El Niño prediction skill over the central-west Pacific. Improvements in 2&amp;thinsp;m temperature skill are also clear over the tropical Pacific. Sea-surface temperature (SST) biases in the northern extratropics change due to increased ocean resolution, especially in regions associated with western boundary currents. The increased ocean resolution exposes a new problem in the northwest Atlantic, where SEAS5 fails to capture decadal variability of the North Atlantic subpolar gyre, resulting in a degradation of DJF 2&amp;thinsp;m temperature prediction skill in this region. The prognostic sea-ice model improves seasonal predictions of sea-ice cover, although some regions and seasons suffer from biases introduced by employing a fully dynamical model rather than the simple, empirical scheme used in System 4. There are also improvements in 2&amp;thinsp;m temperature skill in the vicinity of the Arctic sea-ice edge. Cold temperature biases in the troposphere improve, but increase at the tropopause. Biases in the extratropical jets are larger than in System 4: extratropical jets are too strong, and displaced northwards in JJA. In summary, development and added complexity since System 4 has ensured that SEAS5 is a state-of-The-Art seasonal forecast system which continues to display a particular strength in the El Niño Southern Oscillation (ENSO) prediction.&lt;/p&gt;.","author":[{"dropping-particle":"","family":"Johnson","given":"Stephanie J.","non-dropping-particle":"","parse-names":false,"suffix":""},{"dropping-particle":"","family":"Stockdale","given":"Timothy N.","non-dropping-particle":"","parse-names":false,"suffix":""},{"dropping-particle":"","family":"Ferranti","given":"Laura","non-dropping-particle":"","parse-names":false,"suffix":""},{"dropping-particle":"","family":"Balmaseda","given":"Magdalena A.","non-dropping-particle":"","parse-names":false,"suffix":""},{"dropping-particle":"","family":"Molteni","given":"Franco","non-dropping-particle":"","parse-names":false,"suffix":""},{"dropping-particle":"","family":"Magnusson","given":"Linus","non-dropping-particle":"","parse-names":false,"suffix":""},{"dropping-particle":"","family":"Tietsche","given":"Steffen","non-dropping-particle":"","parse-names":false,"suffix":""},{"dropping-particle":"","family":"Decremer","given":"Damien","non-dropping-particle":"","parse-names":false,"suffix":""},{"dropping-particle":"","family":"Weisheimer","given":"Antje","non-dropping-particle":"","parse-names":false,"suffix":""},{"dropping-particle":"","family":"Balsamo","given":"Gianpaolo","non-dropping-particle":"","parse-names":false,"suffix":""},{"dropping-particle":"","family":"Keeley","given":"Sarah P.E.","non-dropping-particle":"","parse-names":false,"suffix":""},{"dropping-particle":"","family":"Mogensen","given":"Kristian","non-dropping-particle":"","parse-names":false,"suffix":""},{"dropping-particle":"","family":"Zuo","given":"Hao","non-dropping-particle":"","parse-names":false,"suffix":""},{"dropping-particle":"","family":"Monge-Sanz","given":"Beatriz M.","non-dropping-particle":"","parse-names":false,"suffix":""}],"container-title":"Geoscientific Model Development","id":"ITEM-1","issue":"3","issued":{"date-parts":[["2019"]]},"page":"1087-1117","title":"SEAS5: The new ECMWF seasonal forecast system","type":"article-journal","volume":"12"},"uris":["http://www.mendeley.com/documents/?uuid=9a97a2cd-a13c-4d94-b30f-d6ccb8f49e3d"]},{"id":"ITEM-2","itemData":{"DOI":"10.1002/essoar.10502582.1","author":[{"dropping-particle":"","family":"Fröhlich","given":"Kristina","non-dropping-particle":"","parse-names":false,"suffix":""},{"dropping-particle":"","family":"Dobrynin","given":"Mikhail","non-dropping-particle":"","parse-names":false,"suffix":""},{"dropping-particle":"","family":"Isensee","given":"Katharina","non-dropping-particle":"","parse-names":false,"suffix":""},{"dropping-particle":"","family":"Gessner","given":"Claudia","non-dropping-particle":"","parse-names":false,"suffix":""},{"dropping-particle":"","family":"Paxian","given":"Andreas","non-dropping-particle":"","parse-names":false,"suffix":""},{"dropping-particle":"","family":"Pohlmann","given":"Holger","non-dropping-particle":"","parse-names":false,"suffix":""},{"dropping-particle":"","family":"Haak","given":"Helmuth","non-dropping-particle":"","parse-names":false,"suffix":""},{"dropping-particle":"","family":"Brune","given":"Sebastian","non-dropping-particle":"","parse-names":false,"suffix":""},{"dropping-particle":"","family":"Früh","given":"Barbara","non-dropping-particle":"","parse-names":false,"suffix":""},{"dropping-particle":"","family":"Baehr","given":"Johanna","non-dropping-particle":"","parse-names":false,"suffix":""}],"id":"ITEM-2","issued":{"date-parts":[["2020","4","2"]]},"title":"The German Climate Forecast System: GCFS","type":"article"},"uris":["http://www.mendeley.com/documents/?uuid=aa217790-a566-4a41-b8d8-a14e2dabd1b5"]}],"mendeley":{"formattedCitation":"(Fröhlich et al., 2020; Johnson et al., 2019)","plainTextFormattedCitation":"(Fröhlich et al., 2020; Johnson et al., 2019)","previouslyFormattedCitation":"(Fröhlich et al., 2020; Johnson et al., 2019)"},"properties":{"noteIndex":0},"schema":"https://github.com/citation-style-language/schema/raw/master/csl-citation.json"}</w:instrText>
      </w:r>
      <w:r w:rsidR="00751B15">
        <w:rPr>
          <w:lang w:val="es-ES"/>
        </w:rPr>
        <w:fldChar w:fldCharType="separate"/>
      </w:r>
      <w:r w:rsidR="00751B15" w:rsidRPr="00447422">
        <w:rPr>
          <w:noProof/>
          <w:lang w:val="es-ES"/>
        </w:rPr>
        <w:t>(Fröhlich et al., 2020; Johnson et al., 2019)</w:t>
      </w:r>
      <w:r w:rsidR="00751B15">
        <w:rPr>
          <w:lang w:val="es-ES"/>
        </w:rPr>
        <w:fldChar w:fldCharType="end"/>
      </w:r>
      <w:r w:rsidR="00751B15">
        <w:rPr>
          <w:lang w:val="es-ES"/>
        </w:rPr>
        <w:t>.</w:t>
      </w:r>
    </w:p>
    <w:p w14:paraId="29C5835C" w14:textId="1BBDED6B" w:rsidR="00326DA8" w:rsidRDefault="00326DA8" w:rsidP="00333102">
      <w:pPr>
        <w:spacing w:line="276" w:lineRule="auto"/>
        <w:rPr>
          <w:lang w:val="es-ES"/>
        </w:rPr>
      </w:pPr>
      <w:r>
        <w:rPr>
          <w:lang w:val="es-ES"/>
        </w:rPr>
        <w:t xml:space="preserve">Todas las predicciones de las herramientas climatológicas también pueden </w:t>
      </w:r>
      <w:r w:rsidR="00675D9C">
        <w:rPr>
          <w:lang w:val="es-ES"/>
        </w:rPr>
        <w:t>utilizarse</w:t>
      </w:r>
      <w:r w:rsidR="0043524F">
        <w:rPr>
          <w:lang w:val="es-ES"/>
        </w:rPr>
        <w:t xml:space="preserve"> para forzar modelos hidrológicos. Con ello se pueden predecir impactos </w:t>
      </w:r>
      <w:r w:rsidR="00675D9C">
        <w:rPr>
          <w:lang w:val="es-ES"/>
        </w:rPr>
        <w:t>y fortalecer la GIRH.</w:t>
      </w:r>
    </w:p>
    <w:p w14:paraId="7EFAA082" w14:textId="5CA4BA1B" w:rsidR="005C7398" w:rsidRDefault="00C4110F" w:rsidP="001900BF">
      <w:pPr>
        <w:spacing w:line="276" w:lineRule="auto"/>
        <w:ind w:firstLine="0"/>
        <w:jc w:val="center"/>
        <w:rPr>
          <w:lang w:val="es-ES"/>
        </w:rPr>
      </w:pPr>
      <w:r>
        <w:rPr>
          <w:noProof/>
        </w:rPr>
        <w:drawing>
          <wp:inline distT="0" distB="0" distL="0" distR="0" wp14:anchorId="5234FCBE" wp14:editId="61B88C26">
            <wp:extent cx="4949190" cy="4937903"/>
            <wp:effectExtent l="0" t="0" r="3810" b="0"/>
            <wp:docPr id="177214277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87519" cy="4976144"/>
                    </a:xfrm>
                    <a:prstGeom prst="rect">
                      <a:avLst/>
                    </a:prstGeom>
                    <a:noFill/>
                    <a:ln>
                      <a:noFill/>
                    </a:ln>
                  </pic:spPr>
                </pic:pic>
              </a:graphicData>
            </a:graphic>
          </wp:inline>
        </w:drawing>
      </w:r>
    </w:p>
    <w:p w14:paraId="3DF7F655" w14:textId="74D189F4" w:rsidR="005C7398" w:rsidRPr="00FC4ECD" w:rsidRDefault="005C7398" w:rsidP="00EA0B61">
      <w:pPr>
        <w:spacing w:line="276" w:lineRule="auto"/>
        <w:ind w:firstLine="0"/>
        <w:jc w:val="center"/>
      </w:pPr>
      <w:r>
        <w:rPr>
          <w:lang w:val="es-ES"/>
        </w:rPr>
        <w:t xml:space="preserve">Figura 3. Ejemplo de </w:t>
      </w:r>
      <w:r w:rsidR="00AA6157">
        <w:rPr>
          <w:lang w:val="es-ES"/>
        </w:rPr>
        <w:t xml:space="preserve">(a,b) </w:t>
      </w:r>
      <w:r w:rsidR="006C0CE9">
        <w:rPr>
          <w:lang w:val="es-ES"/>
        </w:rPr>
        <w:t>identificación de teleconexiones</w:t>
      </w:r>
      <w:r w:rsidR="00C350CC">
        <w:rPr>
          <w:lang w:val="es-ES"/>
        </w:rPr>
        <w:t xml:space="preserve"> </w:t>
      </w:r>
      <w:r w:rsidR="00C350CC">
        <w:rPr>
          <w:lang w:val="es-ES"/>
        </w:rPr>
        <w:fldChar w:fldCharType="begin" w:fldLock="1"/>
      </w:r>
      <w:r w:rsidR="006E1F7A">
        <w:rPr>
          <w:lang w:val="es-ES"/>
        </w:rPr>
        <w:instrText>ADDIN CSL_CITATION {"citationItems":[{"id":"ITEM-1","itemData":{"DOI":"10.5194/hess-29-3277-2025","ISSN":"1607-7938","abstract":"Abstract. Tropical South America's hydroclimate is influenced by ocean–atmospheric variability modes (drivers of climate variability). It is still not known which physical mechanisms teleconnect the Atlantic modes of variability with South America's soil moisture, net radiation, and terrestrial evaporation (evapotranspiration). Understanding these mechanisms is essential to predict the response of ecosystems. This study uses composites of reanalysis and satellite data to identify the processes linking land–surface anomalies and ocean–atmospheric modes. It estimates the control soil moisture and net radiation impose on evapotranspiration (categorised as water- or energy-limited regimes). It shows that these two local controllers of evapotranspiration are influenced by the position of the Intertropical Convergence Zone (ITCZ). However, the evapotranspiration anomalies are driven by the phase of each climate mode, which alter water and radiation availability. The Atlantic Meridional Mode (AMM) generates cross-equatorial wind anomalies that affect moisture convergence, which in turn modify the cloud cover, precipitation, soil moisture, radiation availability, and hence evapotranspiration. The anomalies have important geographical differences depending on the season analysed; they migrate from the east in austral autumn towards the central Amazon and western Orinoco in austral spring. The Atlantic Niño Equatorial mode (Atl3) affects evapotranspiration in the Guianas and eastern Orinoco by means of pressure and trade wind variability, which in turn affect local hydrometeorological conditions and evapotranspiration. Both Atlantic modes mainly impact regions different from those impacted by El Niño–Southern Oscillation (ENSO), although northeast Brazil and the Guianas might experience overlapping effects. Therefore, these ocean–atmospheric modes impact the water, energy, and carbon cycles; they might influence regional climate extremes (e.g. droughts and floods); and they are critical for achieving sustainable development goals (SDGs).","author":[{"dropping-particle":"","family":"Duque-Gardeazabal","given":"Nicolás","non-dropping-particle":"","parse-names":false,"suffix":""},{"dropping-particle":"","family":"Friedman","given":"Andrew R.","non-dropping-particle":"","parse-names":false,"suffix":""},{"dropping-particle":"","family":"Brönnimann","given":"Stefan","non-dropping-particle":"","parse-names":false,"suffix":""}],"container-title":"Hydrology and Earth System Sciences","id":"ITEM-1","issue":"14","issued":{"date-parts":[["2025","7","28"]]},"page":"3277-3295","title":"An Atlantic influence on evapotranspiration in the Orinoco and Amazon basins","type":"article-journal","volume":"29"},"uris":["http://www.mendeley.com/documents/?uuid=a7c9fe76-446d-4196-a609-c9831531beb9"]}],"mendeley":{"formattedCitation":"(Duque-Gardeazabal, Friedman, et al., 2025)","plainTextFormattedCitation":"(Duque-Gardeazabal, Friedman, et al., 2025)","previouslyFormattedCitation":"(Duque-Gardeazabal, Friedman, et al., 2025)"},"properties":{"noteIndex":0},"schema":"https://github.com/citation-style-language/schema/raw/master/csl-citation.json"}</w:instrText>
      </w:r>
      <w:r w:rsidR="00C350CC">
        <w:rPr>
          <w:lang w:val="es-ES"/>
        </w:rPr>
        <w:fldChar w:fldCharType="separate"/>
      </w:r>
      <w:r w:rsidR="00C350CC" w:rsidRPr="00C350CC">
        <w:rPr>
          <w:noProof/>
          <w:lang w:val="es-ES"/>
        </w:rPr>
        <w:t>(</w:t>
      </w:r>
      <w:r w:rsidR="00C350CC" w:rsidRPr="00EF6F6D">
        <w:rPr>
          <w:i/>
          <w:iCs/>
          <w:noProof/>
          <w:lang w:val="es-ES"/>
        </w:rPr>
        <w:t>Duque-Gardeazabal</w:t>
      </w:r>
      <w:r w:rsidR="00C350CC" w:rsidRPr="00C350CC">
        <w:rPr>
          <w:noProof/>
          <w:lang w:val="es-ES"/>
        </w:rPr>
        <w:t>, Friedman, et al., 2025)</w:t>
      </w:r>
      <w:r w:rsidR="00C350CC">
        <w:rPr>
          <w:lang w:val="es-ES"/>
        </w:rPr>
        <w:fldChar w:fldCharType="end"/>
      </w:r>
      <w:r w:rsidR="006F5AF4">
        <w:rPr>
          <w:lang w:val="es-ES"/>
        </w:rPr>
        <w:t>, y</w:t>
      </w:r>
      <w:r w:rsidR="006C0CE9">
        <w:rPr>
          <w:lang w:val="es-ES"/>
        </w:rPr>
        <w:t xml:space="preserve"> </w:t>
      </w:r>
      <w:r w:rsidR="00AA6157">
        <w:rPr>
          <w:lang w:val="es-ES"/>
        </w:rPr>
        <w:t xml:space="preserve">(c) </w:t>
      </w:r>
      <w:r>
        <w:rPr>
          <w:lang w:val="es-ES"/>
        </w:rPr>
        <w:t>filtrado de miembros de un ensambl</w:t>
      </w:r>
      <w:r w:rsidR="00AA6157">
        <w:rPr>
          <w:lang w:val="es-ES"/>
        </w:rPr>
        <w:t>e</w:t>
      </w:r>
      <w:r w:rsidR="004472D6">
        <w:rPr>
          <w:lang w:val="es-ES"/>
        </w:rPr>
        <w:t>,</w:t>
      </w:r>
      <w:r>
        <w:rPr>
          <w:lang w:val="es-ES"/>
        </w:rPr>
        <w:t xml:space="preserve"> con base en teleconexiones</w:t>
      </w:r>
      <w:r w:rsidR="004472D6">
        <w:rPr>
          <w:lang w:val="es-ES"/>
        </w:rPr>
        <w:t>, para mejorar el desempeño de un pronóstico</w:t>
      </w:r>
      <w:r w:rsidR="00080DAD">
        <w:rPr>
          <w:lang w:val="pt-BR"/>
        </w:rPr>
        <w:t xml:space="preserve"> </w:t>
      </w:r>
      <w:r w:rsidR="006E1F7A">
        <w:rPr>
          <w:lang w:val="pt-BR"/>
        </w:rPr>
        <w:fldChar w:fldCharType="begin" w:fldLock="1"/>
      </w:r>
      <w:r w:rsidR="006E1F7A">
        <w:rPr>
          <w:lang w:val="pt-BR"/>
        </w:rPr>
        <w:instrText>ADDIN CSL_CITATION {"citationItems":[{"id":"ITEM-1","itemData":{"DOI":"10.5194/ems2025-218","abstract":"As Germany accelerates its renewable energy transition aiming for 80% renewable electricity by 2030, the expansion of wind and solar capacity, the phase-out of fossil fuels, and improvements to grid infrastructure are crucial for ensuring a sustainable and secure energy system. In this context, seasonal forecasts of wind and solar radiation have the potential to support energy reserve management, planning for variable renewable supply, and improving the long-term resilience of the energy system. This study focuses on the development and evaluation of seasonal forecasts for 100m wind speed and solar radiation across Germany. We apply the statistical-dynamical downscaling method EPISODES (Kreienkamp et al., 2019) to hindcast data (1990–2020) from the German Climate Forecasting System Version 2.1 and investigate the predictability and forecast skill of 100m wind speed and solar radiation forecasts on lead times ranging from one to six months. The analysis focuses on the summer season, when solar energy production is highest, and the winter season, when wind energy production peaks. Despite the overall rather low forecast skill of seasonal forecasts for Germany, we find that skillful wind forecasts for the winter season are possible with a reasonable correlation to observations. Furthermore, the forecast model is able to predict solar radiation in summer over southern Germany, a region that contains most of the solar plants in Germany, relatively well. We further employ a statistically selected subsampling approach (Dalelane et al., 2020 and Dalelane et al. 2025, in preparation) to generate a smaller ensemble based on large-scale teleconnections in the North Atlantic and apply it to the forecasts. With this approach, we find a substantial increase in forecast skill for both wind and solar radiation in both summer and winter compared to the full ensemble. Our findings show that skillful seasonal forecasts in winter and summer are possible despite the limitations and challenges of seasonal prediction. In the future, we plan to use multi-model approaches and teleconnection indices to further explore potentials for more skillful seasonal prediction of wind and solar radiation and publish skillful forecasts on the DWD climate prediction webpage (http://www.dwd.de/climatepredictions). This user-oriented website consistently evaluates and displays subseasonal, seasonal and decadal climate predictions at high resolution for Germany.Kreienkamp, F., Paxian, A., Früh,…","author":[{"dropping-particle":"","family":"Wandel","given":"Jan","non-dropping-particle":"","parse-names":false,"suffix":""},{"dropping-particle":"","family":"Paxian","given":"Andreas","non-dropping-particle":"","parse-names":false,"suffix":""},{"dropping-particle":"","family":"Dalelane","given":"Clementine","non-dropping-particle":"","parse-names":false,"suffix":""},{"dropping-particle":"","family":"Tyagi","given":"Abhinav","non-dropping-particle":"","parse-names":false,"suffix":""},{"dropping-particle":"","family":"Happ","given":"Alina","non-dropping-particle":"","parse-names":false,"suffix":""},{"dropping-particle":"","family":"Siefert","given":"Malte","non-dropping-particle":"","parse-names":false,"suffix":""}],"container-title":"European Meteorological Society annual meeting","id":"ITEM-1","issued":{"date-parts":[["2025","7","16"]]},"title":"Seasonal forecasts of 100m Wind and solar radiation for Germany","type":"paper-conference"},"uris":["http://www.mendeley.com/documents/?uuid=89bca51f-55d9-40db-bdad-3da166c42f89"]}],"mendeley":{"formattedCitation":"(Wandel et al., 2025)","plainTextFormattedCitation":"(Wandel et al., 2025)"},"properties":{"noteIndex":0},"schema":"https://github.com/citation-style-language/schema/raw/master/csl-citation.json"}</w:instrText>
      </w:r>
      <w:r w:rsidR="006E1F7A">
        <w:rPr>
          <w:lang w:val="pt-BR"/>
        </w:rPr>
        <w:fldChar w:fldCharType="separate"/>
      </w:r>
      <w:r w:rsidR="006E1F7A" w:rsidRPr="006E1F7A">
        <w:rPr>
          <w:noProof/>
          <w:lang w:val="pt-BR"/>
        </w:rPr>
        <w:t>(Wandel et al., 2025)</w:t>
      </w:r>
      <w:r w:rsidR="006E1F7A">
        <w:rPr>
          <w:lang w:val="pt-BR"/>
        </w:rPr>
        <w:fldChar w:fldCharType="end"/>
      </w:r>
      <w:r w:rsidR="006E1F7A">
        <w:rPr>
          <w:lang w:val="pt-BR"/>
        </w:rPr>
        <w:t>.</w:t>
      </w:r>
    </w:p>
    <w:p w14:paraId="49750748" w14:textId="2FED517D" w:rsidR="00241B91" w:rsidRPr="004D5CD6" w:rsidRDefault="00BF50CB" w:rsidP="00EE272A">
      <w:pPr>
        <w:spacing w:line="276" w:lineRule="auto"/>
      </w:pPr>
      <w:r w:rsidRPr="00FC4ECD">
        <w:t>Respecto del cambio climático antropogénico, hay varias temáticas que afectarán la GIR</w:t>
      </w:r>
      <w:r w:rsidR="00A80758" w:rsidRPr="00FC4ECD">
        <w:t>H</w:t>
      </w:r>
      <w:r w:rsidR="00646313" w:rsidRPr="00FC4ECD">
        <w:t xml:space="preserve"> </w:t>
      </w:r>
      <w:r w:rsidR="00646313">
        <w:rPr>
          <w:lang w:val="es-ES"/>
        </w:rPr>
        <w:fldChar w:fldCharType="begin" w:fldLock="1"/>
      </w:r>
      <w:r w:rsidR="00E36669" w:rsidRPr="00FC4ECD">
        <w:instrText>ADDIN CSL_CITATION {"citationItems":[{"id":"ITEM-1","itemData":{"DOI":"10.1017/9781009157896","ISBN":"9781009157896","author":[{"dropping-particle":"","family":"IPCC","given":"","non-dropping-particle":"","parse-names":false,"suffix":""}],"id":"ITEM-1","issued":{"date-parts":[["2021","7","6"]]},"number-of-pages":"2391","publisher":"Cambridge University Press","publisher-place":"Cambriedge, United Kingdom","title":"Climate Change 2021: The Physical Science Basis","type":"book"},"uris":["http://www.mendeley.com/documents/?uuid=a1d7d935-d050-4e44-b880-c330dabbe2fa"]}],"mendeley":{"formattedCitation":"(IPCC, 2021)","plainTextFormattedCitation":"(IPCC, 2021)","previouslyFormattedCitation":"(IPCC, 2021)"},"properties":{"noteIndex":0},"schema":"https://github.com/citation-style-language/schema/raw/master/csl-citation.json"}</w:instrText>
      </w:r>
      <w:r w:rsidR="00646313">
        <w:rPr>
          <w:lang w:val="es-ES"/>
        </w:rPr>
        <w:fldChar w:fldCharType="separate"/>
      </w:r>
      <w:r w:rsidR="00646313" w:rsidRPr="00FC4ECD">
        <w:rPr>
          <w:noProof/>
        </w:rPr>
        <w:t>(IPCC, 2021)</w:t>
      </w:r>
      <w:r w:rsidR="00646313">
        <w:rPr>
          <w:lang w:val="es-ES"/>
        </w:rPr>
        <w:fldChar w:fldCharType="end"/>
      </w:r>
      <w:r w:rsidRPr="00FC4ECD">
        <w:t xml:space="preserve">. </w:t>
      </w:r>
      <w:r>
        <w:rPr>
          <w:lang w:val="es-ES"/>
        </w:rPr>
        <w:t xml:space="preserve">Los impactos en Suramérica debidos al incremento de aerosoles entre 1950 y 1980 y su posterior disminución no han sido estudiados en profundidad. Posibles cambios en la circulación atmosférica y el transporte de humedad estarían relacionados con cambios decadales en la precipitación, afectando cultivos por sequías sucesivas y por tanto la GIRH </w:t>
      </w:r>
      <w:r>
        <w:rPr>
          <w:lang w:val="es-ES"/>
        </w:rPr>
        <w:fldChar w:fldCharType="begin" w:fldLock="1"/>
      </w:r>
      <w:r w:rsidR="006E1F7A">
        <w:rPr>
          <w:lang w:val="es-ES"/>
        </w:rPr>
        <w:instrText>ADDIN CSL_CITATION {"citationItems":[{"id":"ITEM-1","itemData":{"DOI":"10.21203/rs.3.rs-8134517/v1","abstract":"Tropical rainfall variability strongly affects ecosystems, agriculture and food security across South America (e.g. the Amazon, Brazilian breadbasket regions, etc.).It is influenced by mechanisms of ocean-atmospheric modes of variability, but themodes can be modulated by external forcing factors, and consequently, it is relevant to study and compare forced and unforced variability. Here, we compare theeffects of anthropogenic and volcanic aerosols on tropical South American rainfall. We use three reanalyses of the 20th and 21st centuries and contrast themwith rainfall and streamflow observations reaching back to the 1920s. We also usea paleo-reanalysis dataset family to analyse five large volcanic eruptions in thelate 18th and early 19th century. Our results show concurrent changes in nearsurface temperature, altered atmospheric mechanisms and precipitation, associated with negative radiative forcing from meridionally asymmetric and increasingtropospheric concentration. Abrupt stratospheric injections modified the land-ocean temperature contrast, weakened moisture transport and caused droughts.The analysis of meridional energy transport links aerosol forcing to changes inthe interhemispheric temperature gradient (IHTG), atmospheric energy redistribution and changes in features of global atmospheric circulation. Tropospheric aerosols progressively modified the IHTG, regional circulation and the latitudinal position of rainfall, consistent with global changes in atmospheric circulation,specifically in the location of the strong ascent of moist air (ascending branch ofthe Hadley cell). Conversely, volcanic aerosols were related to overall cooling andreductions in rainfall. We discuss these dynamics against recent studies based onatmospheric simulations, while our study uses reanalysis.","author":[{"dropping-particle":"","family":"Duque-Gardeazabal","given":"Nicolás","non-dropping-particle":"","parse-names":false,"suffix":""},{"dropping-particle":"","family":"Brönnimann","given":"Stefan","non-dropping-particle":"","parse-names":false,"suffix":""},{"dropping-particle":"","family":"Friedman","given":"Andrew R.","non-dropping-particle":"","parse-names":false,"suffix":""},{"dropping-particle":"","family":"Franke","given":"Jörg","non-dropping-particle":"","parse-names":false,"suffix":""}],"id":"ITEM-1","issued":{"date-parts":[["2025","11","26"]]},"title":"Possible effects of anthropogenic and volcanic aerosols on the ITCZ and rainfall over South America","type":"article"},"uris":["http://www.mendeley.com/documents/?uuid=1687148e-1ea4-474b-b6ba-0cbcfc4be717"]},{"id":"ITEM-2","itemData":{"DOI":"10.1029/2018GL081406","ISSN":"19448007","abstract":"By analyzing observations and model simulations, here we show that there exists a significant anticorrelation on interannual to multidecadal time scales between the Sahel and southeast Amazon rainfall during July-August-September. This rainfall seesaw, which is strongest on decadal to multidecadal scales, is due to an anomalous meridional gradient of sea surface temperatures across the tropical Atlantic that pushes the Intertropical Convergence Zone and its associated rain belt toward the anomalously warm hemisphere. Large ensemble model simulations suggest that the seesaw pattern is likely caused by decadal changes in anthropogenic and volcanic aerosols, rather than internal climate variability. Our results suggest that the recent decadal to multidecadal climate variations in and around the North Atlantic basin are largely externally forced and that projected large North Atlantic warming could lead to a wetter Sahel but drier Amazon in the future.","author":[{"dropping-particle":"","family":"Hua","given":"Wenjian","non-dropping-particle":"","parse-names":false,"suffix":""},{"dropping-particle":"","family":"Dai","given":"Aiguo","non-dropping-particle":"","parse-names":false,"suffix":""},{"dropping-particle":"","family":"Zhou","given":"Liming","non-dropping-particle":"","parse-names":false,"suffix":""},{"dropping-particle":"","family":"Qin","given":"Minhua","non-dropping-particle":"","parse-names":false,"suffix":""},{"dropping-particle":"","family":"Chen","given":"Haishan","non-dropping-particle":"","parse-names":false,"suffix":""}],"container-title":"Geophysical Research Letters","id":"ITEM-2","issue":"2","issued":{"date-parts":[["2019"]]},"note":"Aerosols produced in the norther hemesphire have influence in the AMM, the sahel and Amazon rainfall. This dinamyc was strong after 1950 when vast amounts of emissions were produced in US and Europe\n\nThe mechanism is that a cooler norther hemisphere requires a southward and stronger ITCZ and Hadley cell, to bring energy to the northern hemisphere through the top branch.","page":"923-932","title":"An Externally Forced Decadal Rainfall Seesaw Pattern Over the Sahel and Southeast Amazon","type":"article-journal","volume":"46"},"uris":["http://www.mendeley.com/documents/?uuid=5e5ffab2-4fc4-4e11-8739-b529ea50aa96"]},{"id":"ITEM-3","itemData":{"DOI":"10.1038/s41586-023-06489-4","ISSN":"14764687","PMID":"37704729","abstract":"The tropical Atlantic climate is characterized by prominent and correlated multidecadal variability in Atlantic sea surface temperatures (SSTs), Sahel rainfall and hurricane activity1–4. Owing to uncertainties in both the models and the observations, the origin of the physical relationships among these systems has remained controversial3–7. Here we show that the cross-equatorial gradient in tropical Atlantic SSTs—largely driven by radiative perturbations associated with anthropogenic emissions and volcanic aerosols since 19503,7—is a key determinant of Atlantic hurricane formation and Sahel rainfall. The relationship is obscured in a large ensemble of CMIP6 Earth system models, because the models overestimate long-term trends for warming in the Northern Hemisphere relative to the Southern Hemisphere from around 1950 as well as associated changes in atmospheric circulation and rainfall. When the overestimated trends are removed, correlations between SSTs and Atlantic hurricane formation and Sahel rainfall emerge as a response to radiative forcing, especially since 1950 when anthropogenic aerosol forcing has been high. Our findings establish that the tropical Atlantic SST gradient is a stronger determinant of tropical impacts than SSTs across the entire North Atlantic, because the gradient is more physically connected to tropical impacts via local atmospheric circulations8. Our findings highlight that Atlantic hurricane activity and Sahel rainfall variations can be predicted from radiative forcing driven by anthropogenic emissions and volcanism, but firmer predictions are limited by the signal-to-noise paradox9–11 and uncertainty in future climate forcings.","author":[{"dropping-particle":"","family":"He","given":"Chengfei","non-dropping-particle":"","parse-names":false,"suffix":""},{"dropping-particle":"","family":"Clement","given":"Amy C.","non-dropping-particle":"","parse-names":false,"suffix":""},{"dropping-particle":"","family":"Kramer","given":"Sydney M.","non-dropping-particle":"","parse-names":false,"suffix":""},{"dropping-particle":"","family":"Cane","given":"Mark A.","non-dropping-particle":"","parse-names":false,"suffix":""},{"dropping-particle":"","family":"Klavans","given":"Jeremy M.","non-dropping-particle":"","parse-names":false,"suffix":""},{"dropping-particle":"","family":"Fenske","given":"Tyler M.","non-dropping-particle":"","parse-names":false,"suffix":""},{"dropping-particle":"","family":"Murphy","given":"Lisa N.","non-dropping-particle":"","parse-names":false,"suffix":""}],"container-title":"Nature","id":"ITEM-3","issue":"October","issued":{"date-parts":[["2023"]]},"note":"Aerosols produced in the norther hemesphire have influence in the AMM, the sahel and Amazon rainfall. This dinamyc was strong after 1950 when vast amounts of emissions were produced in US and Europe\n\nThe mechanism is that a cooler norther hemisphere requires a southward and stronger ITCZ and Hadley cell, to bring energy to the northern hemisphere through the top branch.\n\nThe dominance analysis is what allows to estimate the percentage of each forcing in the total variance explained (R2), or with ANOVA","title":"Tropical Atlantic multidecadal variability is dominated by external forcing","type":"article-journal","volume":"622"},"uris":["http://www.mendeley.com/documents/?uuid=ec77f70b-2d74-4bd0-a4de-da051c1203b9"]}],"mendeley":{"formattedCitation":"(Duque-Gardeazabal, Brönnimann, et al., 2025; He et al., 2023; Hua et al., 2019)","manualFormatting":"(Duque-Gardeazabal, Brönnimann, et al., 2025; He et al., 2023; Hua et al., 2019)","plainTextFormattedCitation":"(Duque-Gardeazabal, Brönnimann, et al., 2025; He et al., 2023; Hua et al., 2019)","previouslyFormattedCitation":"(Duque-Gardeazabal, Brönnimann, et al., 2025; He et al., 2023; Hua et al., 2019)"},"properties":{"noteIndex":0},"schema":"https://github.com/citation-style-language/schema/raw/master/csl-citation.json"}</w:instrText>
      </w:r>
      <w:r>
        <w:rPr>
          <w:lang w:val="es-ES"/>
        </w:rPr>
        <w:fldChar w:fldCharType="separate"/>
      </w:r>
      <w:r w:rsidR="000D5985" w:rsidRPr="000D5985">
        <w:rPr>
          <w:noProof/>
          <w:lang w:val="es-ES"/>
        </w:rPr>
        <w:t>(</w:t>
      </w:r>
      <w:r w:rsidR="000D5985" w:rsidRPr="00C05A5F">
        <w:rPr>
          <w:i/>
          <w:iCs/>
          <w:noProof/>
          <w:lang w:val="es-ES"/>
        </w:rPr>
        <w:t>Duque-Gardeazabal</w:t>
      </w:r>
      <w:r w:rsidR="000D5985" w:rsidRPr="000D5985">
        <w:rPr>
          <w:noProof/>
          <w:lang w:val="es-ES"/>
        </w:rPr>
        <w:t>, Brönnimann, et al., 2025; He et al., 2023; Hua et al., 2019)</w:t>
      </w:r>
      <w:r>
        <w:rPr>
          <w:lang w:val="es-ES"/>
        </w:rPr>
        <w:fldChar w:fldCharType="end"/>
      </w:r>
      <w:r>
        <w:rPr>
          <w:lang w:val="es-ES"/>
        </w:rPr>
        <w:t xml:space="preserve">. Asimismo, los CGCM seguirán avanzando en la inclusión de procesos físicos </w:t>
      </w:r>
      <w:r>
        <w:rPr>
          <w:lang w:val="es-ES"/>
        </w:rPr>
        <w:lastRenderedPageBreak/>
        <w:t xml:space="preserve">importantes para los trópicos, como las rutinas de convección permitida para la fase CMIP7. Esto implica que los cambios futuros estimados para la precipitación pueden ser diferentes a lo proyectado en CMIP6 </w:t>
      </w:r>
      <w:r>
        <w:rPr>
          <w:lang w:val="es-ES"/>
        </w:rPr>
        <w:fldChar w:fldCharType="begin" w:fldLock="1"/>
      </w:r>
      <w:r>
        <w:rPr>
          <w:lang w:val="es-ES"/>
        </w:rPr>
        <w:instrText>ADDIN CSL_CITATION {"citationItems":[{"id":"ITEM-1","itemData":{"DOI":"10.1038/nclimate3287","ISSN":"1758-678X","author":[{"dropping-particle":"","family":"Pfahl","given":"S.","non-dropping-particle":"","parse-names":false,"suffix":""},{"dropping-particle":"","family":"O’Gorman","given":"P. A.","non-dropping-particle":"","parse-names":false,"suffix":""},{"dropping-particle":"","family":"Fischer","given":"E. M.","non-dropping-particle":"","parse-names":false,"suffix":""}],"container-title":"Nature Climate Change","id":"ITEM-1","issue":"6","issued":{"date-parts":[["2017","6","15"]]},"page":"423-427","title":"Understanding the regional pattern of projected future changes in extreme precipitation","type":"article-journal","volume":"7"},"uris":["http://www.mendeley.com/documents/?uuid=1c80bfb7-5920-4446-bcde-f90a0345aba1"]}],"mendeley":{"formattedCitation":"(Pfahl et al., 2017)","plainTextFormattedCitation":"(Pfahl et al., 2017)","previouslyFormattedCitation":"(Pfahl et al., 2017)"},"properties":{"noteIndex":0},"schema":"https://github.com/citation-style-language/schema/raw/master/csl-citation.json"}</w:instrText>
      </w:r>
      <w:r>
        <w:rPr>
          <w:lang w:val="es-ES"/>
        </w:rPr>
        <w:fldChar w:fldCharType="separate"/>
      </w:r>
      <w:r w:rsidRPr="00D604FE">
        <w:rPr>
          <w:noProof/>
          <w:lang w:val="es-ES"/>
        </w:rPr>
        <w:t>(Pfahl et al., 2017)</w:t>
      </w:r>
      <w:r>
        <w:rPr>
          <w:lang w:val="es-ES"/>
        </w:rPr>
        <w:fldChar w:fldCharType="end"/>
      </w:r>
      <w:r>
        <w:rPr>
          <w:lang w:val="es-ES"/>
        </w:rPr>
        <w:t>; pero no se espera que haya diferencias con las proyecciones de temperatura y balance de radiación, que ya se ha demostrado ampliamente que son producto del incremento de GHG asociados a la quema de combustibles fósiles</w:t>
      </w:r>
      <w:r w:rsidR="00E36669">
        <w:rPr>
          <w:lang w:val="es-ES"/>
        </w:rPr>
        <w:t xml:space="preserve"> </w:t>
      </w:r>
      <w:r w:rsidR="00E36669">
        <w:rPr>
          <w:lang w:val="es-ES"/>
        </w:rPr>
        <w:fldChar w:fldCharType="begin" w:fldLock="1"/>
      </w:r>
      <w:r w:rsidR="003B497B">
        <w:rPr>
          <w:lang w:val="es-ES"/>
        </w:rPr>
        <w:instrText>ADDIN CSL_CITATION {"citationItems":[{"id":"ITEM-1","itemData":{"DOI":"10.1017/9781009157896","ISBN":"9781009157896","author":[{"dropping-particle":"","family":"IPCC","given":"","non-dropping-particle":"","parse-names":false,"suffix":""}],"id":"ITEM-1","issued":{"date-parts":[["2021","7","6"]]},"number-of-pages":"2391","publisher":"Cambridge University Press","publisher-place":"Cambriedge, United Kingdom","title":"Climate Change 2021: The Physical Science Basis","type":"book"},"uris":["http://www.mendeley.com/documents/?uuid=a1d7d935-d050-4e44-b880-c330dabbe2fa"]}],"mendeley":{"formattedCitation":"(IPCC, 2021)","plainTextFormattedCitation":"(IPCC, 2021)","previouslyFormattedCitation":"(IPCC, 2021)"},"properties":{"noteIndex":0},"schema":"https://github.com/citation-style-language/schema/raw/master/csl-citation.json"}</w:instrText>
      </w:r>
      <w:r w:rsidR="00E36669">
        <w:rPr>
          <w:lang w:val="es-ES"/>
        </w:rPr>
        <w:fldChar w:fldCharType="separate"/>
      </w:r>
      <w:r w:rsidR="00E36669" w:rsidRPr="00E36669">
        <w:rPr>
          <w:noProof/>
          <w:lang w:val="es-ES"/>
        </w:rPr>
        <w:t>(IPCC, 2021)</w:t>
      </w:r>
      <w:r w:rsidR="00E36669">
        <w:rPr>
          <w:lang w:val="es-ES"/>
        </w:rPr>
        <w:fldChar w:fldCharType="end"/>
      </w:r>
      <w:r>
        <w:rPr>
          <w:lang w:val="es-ES"/>
        </w:rPr>
        <w:t xml:space="preserve">. Igualmente, </w:t>
      </w:r>
      <w:r w:rsidR="00605EB4">
        <w:rPr>
          <w:lang w:val="es-ES"/>
        </w:rPr>
        <w:t>deben</w:t>
      </w:r>
      <w:r w:rsidR="00C61815">
        <w:rPr>
          <w:lang w:val="es-ES"/>
        </w:rPr>
        <w:t xml:space="preserve"> investigarse los</w:t>
      </w:r>
      <w:r>
        <w:rPr>
          <w:lang w:val="es-ES"/>
        </w:rPr>
        <w:t xml:space="preserve"> </w:t>
      </w:r>
      <w:r w:rsidR="00605EB4">
        <w:rPr>
          <w:lang w:val="es-ES"/>
        </w:rPr>
        <w:t xml:space="preserve">posibles </w:t>
      </w:r>
      <w:r>
        <w:rPr>
          <w:lang w:val="es-ES"/>
        </w:rPr>
        <w:t>cambios en fenómenos océano-atmosféricos</w:t>
      </w:r>
      <w:r w:rsidR="00EE272A">
        <w:t xml:space="preserve"> </w:t>
      </w:r>
      <w:r>
        <w:rPr>
          <w:lang w:val="es-ES"/>
        </w:rPr>
        <w:t xml:space="preserve">debido al calentamiento global </w:t>
      </w:r>
      <w:r w:rsidR="00EE272A">
        <w:t xml:space="preserve">– lo que afectaría la variabilidad climática – </w:t>
      </w:r>
      <w:r>
        <w:rPr>
          <w:lang w:val="es-ES"/>
        </w:rPr>
        <w:t xml:space="preserve">y </w:t>
      </w:r>
      <w:r w:rsidR="00EE272A">
        <w:rPr>
          <w:lang w:val="es-ES"/>
        </w:rPr>
        <w:t xml:space="preserve">generaría impactos </w:t>
      </w:r>
      <w:r>
        <w:rPr>
          <w:lang w:val="es-ES"/>
        </w:rPr>
        <w:t xml:space="preserve">en la GIRH </w:t>
      </w:r>
      <w:r>
        <w:rPr>
          <w:lang w:val="es-ES"/>
        </w:rPr>
        <w:fldChar w:fldCharType="begin" w:fldLock="1"/>
      </w:r>
      <w:r>
        <w:rPr>
          <w:lang w:val="es-ES"/>
        </w:rPr>
        <w:instrText>ADDIN CSL_CITATION {"citationItems":[{"id":"ITEM-1","itemData":{"DOI":"10.1038/s41558-022-01445-y","ISBN":"4155802201","ISSN":"17586798","abstract":"Interannual variability of the Atlantic intertropical convergence zone (ITCZ) affects hydrological cycles, extreme weather events, ecosystems, agriculture and livelihoods in Atlantic-rim countries. It can experience an interannual extreme swing, moving hundreds of kilometres northwards during boreal spring, causing severe droughts in central-eastern Amazon and floods in northern South America. How its interannual variability will respond to global warming remains unknown. Here using state-of-the-art climate models under a high-emission scenario, we project a more-than-doubling increase of extreme northward swings. This increase from one event per 20.4 years in the twentieth century to one per 9.3 years in the twenty-first century is underpinned by a mean state change of sea surface temperature, with faster warming north of the Equator. The warming differential facilitates the increased frequency of extreme swings, as the ITCZ follows the maximum sea surface temperature. Our finding suggests a substantial increase in ITCZ swing-induced severe droughts/floods in the Atlantic-rim countries.","author":[{"dropping-particle":"","family":"Liu","given":"Yi","non-dropping-particle":"","parse-names":false,"suffix":""},{"dropping-particle":"","family":"Cai","given":"Wenju","non-dropping-particle":"","parse-names":false,"suffix":""},{"dropping-particle":"","family":"Lin","given":"Xiaopei","non-dropping-particle":"","parse-names":false,"suffix":""},{"dropping-particle":"","family":"Li","given":"Ziguang","non-dropping-particle":"","parse-names":false,"suffix":""}],"container-title":"Nature Climate Change","id":"ITEM-1","issue":"9","issued":{"date-parts":[["2022"]]},"page":"828-833","publisher":"Springer US","title":"Increased extreme swings of Atlantic intertropical convergence zone in a warming climate","type":"article-journal","volume":"12"},"uris":["http://www.mendeley.com/documents/?uuid=299c0811-52e0-4c34-a692-a39935a550e7"]}],"mendeley":{"formattedCitation":"(Liu et al., 2022)","plainTextFormattedCitation":"(Liu et al., 2022)","previouslyFormattedCitation":"(Liu et al., 2022)"},"properties":{"noteIndex":0},"schema":"https://github.com/citation-style-language/schema/raw/master/csl-citation.json"}</w:instrText>
      </w:r>
      <w:r>
        <w:rPr>
          <w:lang w:val="es-ES"/>
        </w:rPr>
        <w:fldChar w:fldCharType="separate"/>
      </w:r>
      <w:r w:rsidRPr="00322EB3">
        <w:rPr>
          <w:noProof/>
          <w:lang w:val="es-ES"/>
        </w:rPr>
        <w:t>(Liu et al., 2022)</w:t>
      </w:r>
      <w:r>
        <w:rPr>
          <w:lang w:val="es-ES"/>
        </w:rPr>
        <w:fldChar w:fldCharType="end"/>
      </w:r>
      <w:r>
        <w:rPr>
          <w:lang w:val="es-ES"/>
        </w:rPr>
        <w:t>.</w:t>
      </w:r>
    </w:p>
    <w:p w14:paraId="2B8B575E" w14:textId="2F32F639" w:rsidR="009C3A5A" w:rsidRPr="008B276D" w:rsidRDefault="004B2FE0" w:rsidP="00BF50CB">
      <w:pPr>
        <w:spacing w:line="276" w:lineRule="auto"/>
        <w:ind w:firstLine="0"/>
      </w:pPr>
      <w:r>
        <w:t xml:space="preserve">Para llevar a cabo las investigaciones, se propone </w:t>
      </w:r>
      <w:r w:rsidR="007C4778">
        <w:t xml:space="preserve">un enfoque mixto de investigación propia y </w:t>
      </w:r>
      <w:r w:rsidR="00D47855">
        <w:t>apoyo de estudiantes de posgrado. E</w:t>
      </w:r>
      <w:r w:rsidR="00C36ECC">
        <w:t>n</w:t>
      </w:r>
      <w:r w:rsidR="00A20359">
        <w:t xml:space="preserve"> maestría</w:t>
      </w:r>
      <w:r w:rsidR="00392D08">
        <w:t>,</w:t>
      </w:r>
      <w:r w:rsidR="00A20359">
        <w:t xml:space="preserve"> </w:t>
      </w:r>
      <w:r w:rsidR="00C36ECC">
        <w:t xml:space="preserve">se </w:t>
      </w:r>
      <w:r w:rsidR="00392D08">
        <w:rPr>
          <w:lang w:val="es-ES"/>
        </w:rPr>
        <w:t>estudiarán</w:t>
      </w:r>
      <w:r w:rsidR="00A20359">
        <w:rPr>
          <w:lang w:val="es-ES"/>
        </w:rPr>
        <w:t xml:space="preserve"> </w:t>
      </w:r>
      <w:r w:rsidR="00D47855">
        <w:rPr>
          <w:lang w:val="es-ES"/>
        </w:rPr>
        <w:t xml:space="preserve">los impactos de </w:t>
      </w:r>
      <w:r w:rsidR="00A20359">
        <w:rPr>
          <w:lang w:val="es-ES"/>
        </w:rPr>
        <w:t xml:space="preserve">un </w:t>
      </w:r>
      <w:r w:rsidR="00D6750D">
        <w:rPr>
          <w:lang w:val="es-ES"/>
        </w:rPr>
        <w:t>único</w:t>
      </w:r>
      <w:r w:rsidR="00A20359">
        <w:rPr>
          <w:lang w:val="es-ES"/>
        </w:rPr>
        <w:t xml:space="preserve"> fenómeno o </w:t>
      </w:r>
      <w:r w:rsidR="00886B72">
        <w:rPr>
          <w:lang w:val="es-ES"/>
        </w:rPr>
        <w:t xml:space="preserve">de </w:t>
      </w:r>
      <w:r w:rsidR="00A20359">
        <w:rPr>
          <w:lang w:val="es-ES"/>
        </w:rPr>
        <w:t>eslabones medios en la cadena de transmisión</w:t>
      </w:r>
      <w:r w:rsidR="00F05106">
        <w:rPr>
          <w:lang w:val="es-ES"/>
        </w:rPr>
        <w:t>. Para la construcción de herramienta</w:t>
      </w:r>
      <w:r w:rsidR="000D3F94">
        <w:rPr>
          <w:lang w:val="es-ES"/>
        </w:rPr>
        <w:t>s</w:t>
      </w:r>
      <w:r w:rsidR="00F05106">
        <w:rPr>
          <w:lang w:val="es-ES"/>
        </w:rPr>
        <w:t xml:space="preserve"> completa</w:t>
      </w:r>
      <w:r w:rsidR="000D3F94">
        <w:rPr>
          <w:lang w:val="es-ES"/>
        </w:rPr>
        <w:t>s</w:t>
      </w:r>
      <w:r w:rsidR="00886B72">
        <w:rPr>
          <w:lang w:val="es-ES"/>
        </w:rPr>
        <w:t>, se buscará el apoyo de estudiante</w:t>
      </w:r>
      <w:r w:rsidR="000D3F94">
        <w:rPr>
          <w:lang w:val="es-ES"/>
        </w:rPr>
        <w:t>s</w:t>
      </w:r>
      <w:r w:rsidR="00886B72">
        <w:rPr>
          <w:lang w:val="es-ES"/>
        </w:rPr>
        <w:t xml:space="preserve"> doctoral</w:t>
      </w:r>
      <w:r w:rsidR="000D3F94">
        <w:rPr>
          <w:lang w:val="es-ES"/>
        </w:rPr>
        <w:t>es</w:t>
      </w:r>
      <w:r w:rsidR="00886B72">
        <w:rPr>
          <w:lang w:val="es-ES"/>
        </w:rPr>
        <w:t>.</w:t>
      </w:r>
      <w:r w:rsidR="0075230C">
        <w:rPr>
          <w:lang w:val="es-ES"/>
        </w:rPr>
        <w:t xml:space="preserve"> </w:t>
      </w:r>
      <w:r w:rsidR="007E1CA1">
        <w:rPr>
          <w:lang w:val="es-ES"/>
        </w:rPr>
        <w:t xml:space="preserve">Se buscará </w:t>
      </w:r>
      <w:r w:rsidR="0075230C">
        <w:rPr>
          <w:lang w:val="es-ES"/>
        </w:rPr>
        <w:t>colabora</w:t>
      </w:r>
      <w:r w:rsidR="007E1CA1">
        <w:rPr>
          <w:lang w:val="es-ES"/>
        </w:rPr>
        <w:t>r</w:t>
      </w:r>
      <w:r w:rsidR="0075230C">
        <w:rPr>
          <w:lang w:val="es-ES"/>
        </w:rPr>
        <w:t xml:space="preserve"> con entidades estatales colombianas y de países vecinos</w:t>
      </w:r>
      <w:r w:rsidR="00160E4D">
        <w:rPr>
          <w:lang w:val="es-ES"/>
        </w:rPr>
        <w:t>.</w:t>
      </w:r>
    </w:p>
    <w:p w14:paraId="4D9DA464" w14:textId="37D201C9" w:rsidR="00EA0532" w:rsidRPr="0014536A" w:rsidRDefault="00EA0532" w:rsidP="003E5D02">
      <w:pPr>
        <w:pStyle w:val="Ttulo1"/>
        <w:numPr>
          <w:ilvl w:val="0"/>
          <w:numId w:val="5"/>
        </w:numPr>
        <w:spacing w:line="276" w:lineRule="auto"/>
      </w:pPr>
      <w:bookmarkStart w:id="3" w:name="_Propuesta_del_componente_1"/>
      <w:bookmarkEnd w:id="3"/>
      <w:r w:rsidRPr="000D50F9">
        <w:rPr>
          <w:lang w:val="es-ES"/>
        </w:rPr>
        <w:t>Propues</w:t>
      </w:r>
      <w:r w:rsidRPr="0014536A">
        <w:t>ta del componente de extensión</w:t>
      </w:r>
    </w:p>
    <w:p w14:paraId="748DB4E1" w14:textId="70640DBE" w:rsidR="00EA0532" w:rsidRDefault="00CF5CF2" w:rsidP="000F58F6">
      <w:pPr>
        <w:spacing w:line="276" w:lineRule="auto"/>
      </w:pPr>
      <w:r w:rsidRPr="00254596">
        <w:t>P</w:t>
      </w:r>
      <w:r w:rsidR="00873BAD" w:rsidRPr="00254596">
        <w:t>rov</w:t>
      </w:r>
      <w:r w:rsidR="007B2453" w:rsidRPr="00254596">
        <w:t>e</w:t>
      </w:r>
      <w:r w:rsidR="00873BAD" w:rsidRPr="00254596">
        <w:t>e</w:t>
      </w:r>
      <w:r w:rsidR="007B2453" w:rsidRPr="00254596">
        <w:t xml:space="preserve">r </w:t>
      </w:r>
      <w:r w:rsidRPr="00254596">
        <w:t xml:space="preserve">servicios climáticos que </w:t>
      </w:r>
      <w:r w:rsidR="00254596" w:rsidRPr="00254596">
        <w:t>i</w:t>
      </w:r>
      <w:r w:rsidR="00254596">
        <w:t xml:space="preserve">nformen eficientemente la toma de decisiones </w:t>
      </w:r>
      <w:r w:rsidR="00350FE7">
        <w:t xml:space="preserve">también </w:t>
      </w:r>
      <w:r w:rsidR="00254596">
        <w:t xml:space="preserve">requiere </w:t>
      </w:r>
      <w:r w:rsidR="00350FE7">
        <w:t xml:space="preserve">la colaboración con diversos </w:t>
      </w:r>
      <w:r w:rsidR="00AF4179">
        <w:t>sectores</w:t>
      </w:r>
      <w:r w:rsidR="00350FE7">
        <w:t xml:space="preserve"> económicos</w:t>
      </w:r>
      <w:r w:rsidR="002D4FCF">
        <w:t xml:space="preserve"> y multidisciplinares</w:t>
      </w:r>
      <w:r w:rsidR="00350FE7">
        <w:t xml:space="preserve">. </w:t>
      </w:r>
      <w:r w:rsidR="002D4FCF" w:rsidRPr="002D4FCF">
        <w:t xml:space="preserve">En consecuencia, se </w:t>
      </w:r>
      <w:r w:rsidR="000F58F6">
        <w:t xml:space="preserve">propondrá a las entidades del SINA y gremios industriales </w:t>
      </w:r>
      <w:r w:rsidR="00EE5D09">
        <w:t>generar convenios interadministrativos</w:t>
      </w:r>
      <w:r w:rsidR="00CC00F9">
        <w:t xml:space="preserve"> para </w:t>
      </w:r>
      <w:r w:rsidR="00E166E1">
        <w:t>el desarrollo conjunto de las herramientas</w:t>
      </w:r>
      <w:r w:rsidR="006240CF">
        <w:t xml:space="preserve"> (sistemas de apoyo a la decisión - DSS)</w:t>
      </w:r>
      <w:r w:rsidR="001B0EB5">
        <w:t xml:space="preserve">. </w:t>
      </w:r>
      <w:r w:rsidR="00080C38">
        <w:t>A</w:t>
      </w:r>
      <w:r w:rsidR="003D74BD">
        <w:t xml:space="preserve"> través de talleres se </w:t>
      </w:r>
      <w:r w:rsidR="00AF4179">
        <w:t>identificarán</w:t>
      </w:r>
      <w:r w:rsidR="003D74BD">
        <w:t xml:space="preserve"> </w:t>
      </w:r>
      <w:r w:rsidR="00012438">
        <w:t xml:space="preserve">conjuntamente </w:t>
      </w:r>
      <w:r w:rsidR="003D74BD">
        <w:t xml:space="preserve">las características que deben tener </w:t>
      </w:r>
      <w:r w:rsidR="0027793B">
        <w:t>las aplicaciones</w:t>
      </w:r>
      <w:r w:rsidR="00A57E51">
        <w:t xml:space="preserve"> (web-based)</w:t>
      </w:r>
      <w:r w:rsidR="001B0EB5">
        <w:t xml:space="preserve">; se </w:t>
      </w:r>
      <w:r w:rsidR="00A71B13">
        <w:t>mostra</w:t>
      </w:r>
      <w:r w:rsidR="001B0EB5">
        <w:t xml:space="preserve">rán ejemplos de otros </w:t>
      </w:r>
      <w:r w:rsidR="0033186B">
        <w:t xml:space="preserve">centros meteorológicos con el fin de </w:t>
      </w:r>
      <w:r w:rsidR="005C3F6E">
        <w:t>motivar</w:t>
      </w:r>
      <w:r w:rsidR="00B24004">
        <w:t xml:space="preserve"> ideas </w:t>
      </w:r>
      <w:r w:rsidR="00DB35FC">
        <w:t xml:space="preserve">de herramientas </w:t>
      </w:r>
      <w:r w:rsidR="00A71B13">
        <w:t xml:space="preserve">útiles </w:t>
      </w:r>
      <w:r w:rsidR="00536FE7">
        <w:t>para la toma de decisiones</w:t>
      </w:r>
      <w:r w:rsidR="00042FC4">
        <w:t xml:space="preserve"> </w:t>
      </w:r>
      <w:r w:rsidR="00A01F78">
        <w:t xml:space="preserve">(Figura </w:t>
      </w:r>
      <w:r w:rsidR="00FB0D86">
        <w:t>4</w:t>
      </w:r>
      <w:r w:rsidR="00A01F78">
        <w:t>).</w:t>
      </w:r>
      <w:r w:rsidR="002B65CA">
        <w:t xml:space="preserve"> </w:t>
      </w:r>
      <w:r w:rsidR="00615D40">
        <w:t>Las herramientas a desarrollar serán un complemento a las ya usadas por el IDEAM.</w:t>
      </w:r>
    </w:p>
    <w:p w14:paraId="0625B0A6" w14:textId="77233002" w:rsidR="009965D8" w:rsidRPr="002D4FCF" w:rsidRDefault="003621C3" w:rsidP="009965D8">
      <w:pPr>
        <w:spacing w:line="276" w:lineRule="auto"/>
        <w:ind w:firstLine="0"/>
        <w:jc w:val="center"/>
      </w:pPr>
      <w:r>
        <w:rPr>
          <w:noProof/>
        </w:rPr>
        <w:drawing>
          <wp:inline distT="0" distB="0" distL="0" distR="0" wp14:anchorId="0CD5BE0D" wp14:editId="24B30522">
            <wp:extent cx="6404610" cy="4302760"/>
            <wp:effectExtent l="0" t="0" r="0" b="2540"/>
            <wp:docPr id="784652343"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652343" name="Imagen 1" descr="Gráfico&#10;&#10;El contenido generado por IA puede ser incorrec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04610" cy="4302760"/>
                    </a:xfrm>
                    <a:prstGeom prst="rect">
                      <a:avLst/>
                    </a:prstGeom>
                    <a:noFill/>
                    <a:ln>
                      <a:noFill/>
                    </a:ln>
                  </pic:spPr>
                </pic:pic>
              </a:graphicData>
            </a:graphic>
          </wp:inline>
        </w:drawing>
      </w:r>
    </w:p>
    <w:p w14:paraId="7179E6CD" w14:textId="6095FFB1" w:rsidR="00384287" w:rsidRDefault="00384287" w:rsidP="00576CC4">
      <w:pPr>
        <w:ind w:firstLine="0"/>
        <w:jc w:val="center"/>
      </w:pPr>
      <w:r>
        <w:t xml:space="preserve">Figura </w:t>
      </w:r>
      <w:r w:rsidR="00FB0D86">
        <w:t>4</w:t>
      </w:r>
      <w:r>
        <w:t xml:space="preserve">. </w:t>
      </w:r>
      <w:r w:rsidR="005E7672">
        <w:t>Gráficas</w:t>
      </w:r>
      <w:r w:rsidR="00D86FEA">
        <w:t xml:space="preserve"> </w:t>
      </w:r>
      <w:r w:rsidR="003621C3">
        <w:t>con</w:t>
      </w:r>
      <w:r w:rsidR="00AB4401">
        <w:t xml:space="preserve"> ejemplos</w:t>
      </w:r>
      <w:r w:rsidR="00ED020E">
        <w:t xml:space="preserve"> de representación </w:t>
      </w:r>
      <w:r w:rsidR="003621C3">
        <w:t xml:space="preserve">a varias escalas </w:t>
      </w:r>
      <w:r w:rsidR="00543A7C">
        <w:fldChar w:fldCharType="begin" w:fldLock="1"/>
      </w:r>
      <w:r w:rsidR="00646313">
        <w:instrText>ADDIN CSL_CITATION {"citationItems":[{"id":"ITEM-1","itemData":{"URL":"https://www.meteoswiss.admin.ch/","author":[{"dropping-particle":"","family":"MeteoSwiss","given":"","non-dropping-particle":"","parse-names":false,"suffix":""}],"id":"ITEM-1","issued":{"date-parts":[["2026"]]},"title":"Federal office of meteorology and climatology Meteoswiss","type":"webpage"},"uris":["http://www.mendeley.com/documents/?uuid=de920d66-fa17-4a48-8153-1a7436374621"]}],"mendeley":{"formattedCitation":"(MeteoSwiss, 2026)","plainTextFormattedCitation":"(MeteoSwiss, 2026)","previouslyFormattedCitation":"(MeteoSwiss, 2026)"},"properties":{"noteIndex":0},"schema":"https://github.com/citation-style-language/schema/raw/master/csl-citation.json"}</w:instrText>
      </w:r>
      <w:r w:rsidR="00543A7C">
        <w:fldChar w:fldCharType="separate"/>
      </w:r>
      <w:r w:rsidR="00543A7C" w:rsidRPr="00543A7C">
        <w:rPr>
          <w:noProof/>
        </w:rPr>
        <w:t>(MeteoSwiss, 2026)</w:t>
      </w:r>
      <w:r w:rsidR="00543A7C">
        <w:fldChar w:fldCharType="end"/>
      </w:r>
      <w:r w:rsidR="00ED4CA4">
        <w:t xml:space="preserve">. </w:t>
      </w:r>
      <w:r>
        <w:t xml:space="preserve">(a) </w:t>
      </w:r>
      <w:r w:rsidR="000C2C61">
        <w:t>Pronóstico</w:t>
      </w:r>
      <w:r w:rsidR="00B23E22">
        <w:t xml:space="preserve"> de corto rango </w:t>
      </w:r>
      <w:r w:rsidR="000C2C61">
        <w:t xml:space="preserve">de temperatura y precipitación </w:t>
      </w:r>
      <w:r w:rsidR="00B23E22">
        <w:t xml:space="preserve">que muestra </w:t>
      </w:r>
      <w:r w:rsidR="000C2C61">
        <w:t>también la incertidumbre de la predicción.</w:t>
      </w:r>
      <w:r w:rsidR="00F1407F">
        <w:t xml:space="preserve"> </w:t>
      </w:r>
      <w:r w:rsidR="000C3D86">
        <w:t xml:space="preserve">(b) Pronóstico </w:t>
      </w:r>
      <w:r w:rsidR="006264E6">
        <w:t xml:space="preserve">de largo rango </w:t>
      </w:r>
      <w:r w:rsidR="00C37A82">
        <w:t xml:space="preserve">con los rangos de </w:t>
      </w:r>
      <w:r w:rsidR="009B4615">
        <w:t>valores</w:t>
      </w:r>
      <w:r w:rsidR="00C37A82">
        <w:t xml:space="preserve"> e incertidumbre en la p</w:t>
      </w:r>
      <w:r w:rsidR="00363B53">
        <w:t>roba</w:t>
      </w:r>
      <w:r w:rsidR="00C37A82">
        <w:t>bilidad de ocurrencia</w:t>
      </w:r>
      <w:r w:rsidR="009B4615">
        <w:t>. (c) Monitoreo mostrando el ciclo anual y sus anomalías.</w:t>
      </w:r>
    </w:p>
    <w:p w14:paraId="76086428" w14:textId="750E6016" w:rsidR="00FE6420" w:rsidRDefault="00FE6420" w:rsidP="00FE6420">
      <w:pPr>
        <w:spacing w:line="276" w:lineRule="auto"/>
      </w:pPr>
      <w:r>
        <w:lastRenderedPageBreak/>
        <w:t xml:space="preserve">Para asegurar el uso de las herramientas, también debe realizar cursos de </w:t>
      </w:r>
      <w:r w:rsidR="0046712A">
        <w:t>extensión</w:t>
      </w:r>
      <w:r>
        <w:t xml:space="preserve"> </w:t>
      </w:r>
      <w:r w:rsidR="0046712A">
        <w:t>en los que se expliquen</w:t>
      </w:r>
      <w:r w:rsidR="00BC68CE">
        <w:t xml:space="preserve"> </w:t>
      </w:r>
      <w:r>
        <w:t>los conocimientos soportantes, el alcance y la incertidumbre de las herramientas</w:t>
      </w:r>
      <w:r w:rsidR="00213967">
        <w:t xml:space="preserve"> (ver componente de </w:t>
      </w:r>
      <w:hyperlink w:anchor="_Propuesta_del_componente" w:history="1">
        <w:r w:rsidR="00213967" w:rsidRPr="00635E15">
          <w:rPr>
            <w:rStyle w:val="Hipervnculo"/>
          </w:rPr>
          <w:t>docencia</w:t>
        </w:r>
      </w:hyperlink>
      <w:r w:rsidR="00213967">
        <w:t>)</w:t>
      </w:r>
      <w:r>
        <w:t>. Con esto se busca apoyar una de las misionalidades de la universidad, satisfacer las necesidades de la sociedad, generar desarrollo humano y mejorar el bienestar.</w:t>
      </w:r>
    </w:p>
    <w:p w14:paraId="3AF74240" w14:textId="7FA59DB9" w:rsidR="00FE6420" w:rsidRDefault="00FE6420" w:rsidP="00FE6420">
      <w:pPr>
        <w:spacing w:line="276" w:lineRule="auto"/>
      </w:pPr>
      <w:r>
        <w:t xml:space="preserve">Dependiendo de la institución </w:t>
      </w:r>
      <w:r w:rsidR="00FD6730">
        <w:t xml:space="preserve">pública </w:t>
      </w:r>
      <w:r>
        <w:t xml:space="preserve">o corporación privada, los convenios se realizarán por medio de consultorías. Los beneficios derivados de </w:t>
      </w:r>
      <w:r w:rsidR="0063012F">
        <w:t>ellas</w:t>
      </w:r>
      <w:r>
        <w:t xml:space="preserve"> se reinvertir</w:t>
      </w:r>
      <w:r w:rsidR="0063012F">
        <w:t>án</w:t>
      </w:r>
      <w:r>
        <w:t xml:space="preserve"> en equipos y laboratorios que permitan continuar con otras investigaciones.</w:t>
      </w:r>
    </w:p>
    <w:p w14:paraId="12235CF0" w14:textId="77777777" w:rsidR="00C21C14" w:rsidRPr="008C4FEF" w:rsidRDefault="00C21C14" w:rsidP="008C4FEF">
      <w:pPr>
        <w:pStyle w:val="Prrafodelista"/>
        <w:numPr>
          <w:ilvl w:val="0"/>
          <w:numId w:val="7"/>
        </w:numPr>
        <w:spacing w:line="276" w:lineRule="auto"/>
        <w:rPr>
          <w:b/>
          <w:bCs/>
        </w:rPr>
      </w:pPr>
      <w:r w:rsidRPr="008C4FEF">
        <w:rPr>
          <w:b/>
          <w:bCs/>
        </w:rPr>
        <w:t>Motivación y habilidades</w:t>
      </w:r>
    </w:p>
    <w:p w14:paraId="14DAA8E0" w14:textId="2461DD12" w:rsidR="007B20A4" w:rsidRDefault="007B20A4" w:rsidP="007B20A4">
      <w:pPr>
        <w:spacing w:line="276" w:lineRule="auto"/>
      </w:pPr>
      <w:r>
        <w:t xml:space="preserve">Mi motivación para abordar los riesgos del agua, tanto por exceso como por escasez, proviene de mis experiencias en diversos trabajos. </w:t>
      </w:r>
      <w:r w:rsidR="00B320B6">
        <w:t>Trabajando c</w:t>
      </w:r>
      <w:r>
        <w:t xml:space="preserve">on Fundación Natura en la ciénaga de Zapatosa, </w:t>
      </w:r>
      <w:r w:rsidR="00C87CF3">
        <w:t>evidencié</w:t>
      </w:r>
      <w:r>
        <w:t xml:space="preserve"> </w:t>
      </w:r>
      <w:r w:rsidR="00B320B6">
        <w:t>cómo</w:t>
      </w:r>
      <w:r>
        <w:t xml:space="preserve"> </w:t>
      </w:r>
      <w:r w:rsidR="00B320B6">
        <w:t xml:space="preserve">los </w:t>
      </w:r>
      <w:r>
        <w:t xml:space="preserve">pescadores tienen problemas de movilidad por taponamiento de canales durante sequías, y cómo sus viviendas y cultivos aledaños sufren </w:t>
      </w:r>
      <w:r w:rsidR="00EB318D">
        <w:t>por</w:t>
      </w:r>
      <w:r>
        <w:t xml:space="preserve"> inundaciones. Aunque nuestra campaña de muestreo buscaba evaluar la calidad del agua, ayuda</w:t>
      </w:r>
      <w:r w:rsidR="00EB318D">
        <w:t>mos</w:t>
      </w:r>
      <w:r>
        <w:t xml:space="preserve"> a los lancheros con imágenes Sentinel para guiar la navegación. Trabajando con el IDEAM</w:t>
      </w:r>
      <w:r w:rsidR="00152496">
        <w:t xml:space="preserve"> en convenios con Ecopetrol y</w:t>
      </w:r>
      <w:r w:rsidR="00C27183">
        <w:t xml:space="preserve"> </w:t>
      </w:r>
      <w:r w:rsidR="00152496">
        <w:t>el E</w:t>
      </w:r>
      <w:r w:rsidR="00C27183">
        <w:t xml:space="preserve">NA </w:t>
      </w:r>
      <w:r w:rsidR="00152496">
        <w:t>2018</w:t>
      </w:r>
      <w:r>
        <w:t xml:space="preserve">, interactúe con </w:t>
      </w:r>
      <w:r w:rsidR="007A47D1">
        <w:t>diversos sectores económicos (</w:t>
      </w:r>
      <w:r w:rsidR="00A92F68">
        <w:t xml:space="preserve">agricultores, </w:t>
      </w:r>
      <w:r>
        <w:t>generadoras hidroeléctricas</w:t>
      </w:r>
      <w:r w:rsidR="00A92F68">
        <w:t>, etc.)</w:t>
      </w:r>
      <w:r>
        <w:t xml:space="preserve"> y evidencie </w:t>
      </w:r>
      <w:r w:rsidR="00A92F68">
        <w:t xml:space="preserve">algunas de </w:t>
      </w:r>
      <w:r>
        <w:t xml:space="preserve">sus necesidades. </w:t>
      </w:r>
      <w:r w:rsidR="00884B9A">
        <w:t xml:space="preserve">Esas experiencias </w:t>
      </w:r>
      <w:r w:rsidR="00BB2803">
        <w:t xml:space="preserve">me motivan a ayudar a </w:t>
      </w:r>
      <w:r w:rsidR="00EA5FAC">
        <w:t>cre</w:t>
      </w:r>
      <w:r w:rsidR="00BB2803">
        <w:t>ar una mejor sociedad</w:t>
      </w:r>
      <w:r w:rsidR="00D710D5">
        <w:t xml:space="preserve"> y </w:t>
      </w:r>
      <w:r w:rsidR="00990FB4">
        <w:t>he tenido la oportunidad de transmitir parte de ese conocimiento dicta</w:t>
      </w:r>
      <w:r w:rsidR="009E636B">
        <w:t>ndo</w:t>
      </w:r>
      <w:r w:rsidR="00990FB4">
        <w:t xml:space="preserve"> </w:t>
      </w:r>
      <w:r w:rsidR="00405C88">
        <w:t>clases</w:t>
      </w:r>
      <w:r w:rsidR="00990FB4">
        <w:t xml:space="preserve"> (</w:t>
      </w:r>
      <w:r w:rsidR="001A5310">
        <w:t>mirar CV</w:t>
      </w:r>
      <w:r w:rsidR="00990FB4">
        <w:t>)</w:t>
      </w:r>
      <w:r w:rsidR="00BB2803">
        <w:t>.</w:t>
      </w:r>
    </w:p>
    <w:p w14:paraId="32D9D34D" w14:textId="59016A85" w:rsidR="0045154D" w:rsidRDefault="0045154D" w:rsidP="0045154D">
      <w:pPr>
        <w:spacing w:line="276" w:lineRule="auto"/>
      </w:pPr>
      <w:r>
        <w:t xml:space="preserve">He desarrollado mis habilidades para atacar </w:t>
      </w:r>
      <w:r w:rsidR="002C5C31">
        <w:t xml:space="preserve">las </w:t>
      </w:r>
      <w:r>
        <w:t>problemáticas</w:t>
      </w:r>
      <w:r w:rsidR="002C5C31">
        <w:t xml:space="preserve"> asociadas al recurso hídrico</w:t>
      </w:r>
      <w:r>
        <w:t xml:space="preserve">. Programo con rutinas paralelas en R y Python, uso datos satelitales y de reanálisis meteorológicos, y uso programas especializados como Climate Data </w:t>
      </w:r>
      <w:r w:rsidR="005D146D">
        <w:t>Operators (</w:t>
      </w:r>
      <w:r w:rsidR="00565457">
        <w:t xml:space="preserve">habilidades </w:t>
      </w:r>
      <w:r w:rsidR="00ED7CDD">
        <w:t>adquiridas durante el</w:t>
      </w:r>
      <w:r>
        <w:t xml:space="preserve"> </w:t>
      </w:r>
      <w:r w:rsidR="0017174D">
        <w:t>doctora</w:t>
      </w:r>
      <w:r w:rsidR="00ED7CDD">
        <w:t>do</w:t>
      </w:r>
      <w:r>
        <w:t>). Durante mi maestría desarrollé modelos hidrológicos agregados y distribuidos</w:t>
      </w:r>
      <w:r w:rsidR="008C4FEF">
        <w:t xml:space="preserve"> (ver tesis)</w:t>
      </w:r>
      <w:r>
        <w:t>, y también aprendí sobre modelos hidrodinámicos.</w:t>
      </w:r>
    </w:p>
    <w:p w14:paraId="5AE81781" w14:textId="5ED64E3B" w:rsidR="007B20A4" w:rsidRPr="0014536A" w:rsidRDefault="00BB2803" w:rsidP="0065542B">
      <w:pPr>
        <w:spacing w:line="276" w:lineRule="auto"/>
      </w:pPr>
      <w:r>
        <w:t xml:space="preserve">Considerando </w:t>
      </w:r>
      <w:r w:rsidR="00841F25">
        <w:t>mi</w:t>
      </w:r>
      <w:r w:rsidR="00A5143A">
        <w:t xml:space="preserve"> motivación, habilidades y experiencia, </w:t>
      </w:r>
      <w:r w:rsidR="009C4D73">
        <w:t>soy</w:t>
      </w:r>
      <w:r w:rsidR="00A5143A">
        <w:t xml:space="preserve"> un candidato acorde para</w:t>
      </w:r>
      <w:r w:rsidR="006B0A20">
        <w:t xml:space="preserve"> cumplir</w:t>
      </w:r>
      <w:r w:rsidR="00A5143A">
        <w:t xml:space="preserve"> las </w:t>
      </w:r>
      <w:r w:rsidR="006B0A20">
        <w:t xml:space="preserve">misionalidades </w:t>
      </w:r>
      <w:r w:rsidR="00A5143A">
        <w:t>de la Universidad Nacional</w:t>
      </w:r>
      <w:r w:rsidR="006B0A20">
        <w:t>.</w:t>
      </w:r>
      <w:r w:rsidR="00EE65A2">
        <w:t xml:space="preserve"> </w:t>
      </w:r>
      <w:r w:rsidR="00B90603">
        <w:t>Apreciaré</w:t>
      </w:r>
      <w:r w:rsidR="00EE65A2">
        <w:t xml:space="preserve"> la oportunidad de </w:t>
      </w:r>
      <w:r w:rsidR="00B90603">
        <w:t xml:space="preserve">hablar y trabajar con </w:t>
      </w:r>
      <w:r w:rsidR="008479C1">
        <w:t>la sección de hidráulica de tan prestigiosa universidad.</w:t>
      </w:r>
    </w:p>
    <w:p w14:paraId="582356BE" w14:textId="4666E2F5" w:rsidR="00EA0532" w:rsidRPr="000877C8" w:rsidRDefault="00972207" w:rsidP="00323C0F">
      <w:pPr>
        <w:pStyle w:val="Ttulo1"/>
      </w:pPr>
      <w:r w:rsidRPr="000877C8">
        <w:br w:type="page"/>
      </w:r>
      <w:r w:rsidR="00EA0532" w:rsidRPr="000877C8">
        <w:lastRenderedPageBreak/>
        <w:t>Bibliografía</w:t>
      </w:r>
    </w:p>
    <w:p w14:paraId="284F8CCA" w14:textId="58B9578A" w:rsidR="006E1F7A" w:rsidRPr="006E1F7A" w:rsidRDefault="00743AFA" w:rsidP="006E1F7A">
      <w:pPr>
        <w:widowControl w:val="0"/>
        <w:autoSpaceDE w:val="0"/>
        <w:autoSpaceDN w:val="0"/>
        <w:adjustRightInd w:val="0"/>
        <w:spacing w:line="240" w:lineRule="auto"/>
        <w:ind w:left="480" w:hanging="480"/>
        <w:rPr>
          <w:rFonts w:cs="Times New Roman"/>
          <w:noProof/>
          <w:kern w:val="0"/>
        </w:rPr>
      </w:pPr>
      <w:r>
        <w:rPr>
          <w:lang w:val="es-ES"/>
        </w:rPr>
        <w:fldChar w:fldCharType="begin" w:fldLock="1"/>
      </w:r>
      <w:r w:rsidRPr="000877C8">
        <w:instrText xml:space="preserve">ADDIN Mendeley Bibliography CSL_BIBLIOGRAPHY </w:instrText>
      </w:r>
      <w:r>
        <w:rPr>
          <w:lang w:val="es-ES"/>
        </w:rPr>
        <w:fldChar w:fldCharType="separate"/>
      </w:r>
      <w:r w:rsidR="006E1F7A" w:rsidRPr="006E1F7A">
        <w:rPr>
          <w:rFonts w:cs="Times New Roman"/>
          <w:noProof/>
          <w:kern w:val="0"/>
        </w:rPr>
        <w:t xml:space="preserve">Álvarez, D. M., &amp; Poveda, G. (2022). Spatiotemporal Dynamics of NDVI, Soil Moisture and ENSO in Tropical South America. </w:t>
      </w:r>
      <w:r w:rsidR="006E1F7A" w:rsidRPr="006E1F7A">
        <w:rPr>
          <w:rFonts w:cs="Times New Roman"/>
          <w:i/>
          <w:iCs/>
          <w:noProof/>
          <w:kern w:val="0"/>
        </w:rPr>
        <w:t>Remote Sensing</w:t>
      </w:r>
      <w:r w:rsidR="006E1F7A" w:rsidRPr="006E1F7A">
        <w:rPr>
          <w:rFonts w:cs="Times New Roman"/>
          <w:noProof/>
          <w:kern w:val="0"/>
        </w:rPr>
        <w:t xml:space="preserve">, </w:t>
      </w:r>
      <w:r w:rsidR="006E1F7A" w:rsidRPr="006E1F7A">
        <w:rPr>
          <w:rFonts w:cs="Times New Roman"/>
          <w:i/>
          <w:iCs/>
          <w:noProof/>
          <w:kern w:val="0"/>
        </w:rPr>
        <w:t>14</w:t>
      </w:r>
      <w:r w:rsidR="006E1F7A" w:rsidRPr="006E1F7A">
        <w:rPr>
          <w:rFonts w:cs="Times New Roman"/>
          <w:noProof/>
          <w:kern w:val="0"/>
        </w:rPr>
        <w:t>(11). https://doi.org/10.3390/rs14112521</w:t>
      </w:r>
    </w:p>
    <w:p w14:paraId="0ED8E413"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Arias, P. A., Garreaud, R., Poveda, G., Espinoza, J. C., Molina-Carpio, J., Masiokas, M., Viale, M., Scaff, L., &amp; van Oevelen, P. J. (2021). Hydroclimate of the Andes Part II: Hydroclimate Variability and Sub-Continental Patterns. </w:t>
      </w:r>
      <w:r w:rsidRPr="006E1F7A">
        <w:rPr>
          <w:rFonts w:cs="Times New Roman"/>
          <w:i/>
          <w:iCs/>
          <w:noProof/>
          <w:kern w:val="0"/>
        </w:rPr>
        <w:t>Frontiers in Earth Science</w:t>
      </w:r>
      <w:r w:rsidRPr="006E1F7A">
        <w:rPr>
          <w:rFonts w:cs="Times New Roman"/>
          <w:noProof/>
          <w:kern w:val="0"/>
        </w:rPr>
        <w:t xml:space="preserve">, </w:t>
      </w:r>
      <w:r w:rsidRPr="006E1F7A">
        <w:rPr>
          <w:rFonts w:cs="Times New Roman"/>
          <w:i/>
          <w:iCs/>
          <w:noProof/>
          <w:kern w:val="0"/>
        </w:rPr>
        <w:t>8</w:t>
      </w:r>
      <w:r w:rsidRPr="006E1F7A">
        <w:rPr>
          <w:rFonts w:cs="Times New Roman"/>
          <w:noProof/>
          <w:kern w:val="0"/>
        </w:rPr>
        <w:t>(February), 1–25. https://doi.org/10.3389/feart.2020.505467</w:t>
      </w:r>
    </w:p>
    <w:p w14:paraId="31B25357"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Arias, P. A., Martínez, J. A., Mejía, J. D., Pazos, M. J., Espinoza, J. C., &amp; Wongchuig-Correa, S. (2020). Changes in Normalized Difference Vegetation Index in the Orinoco and Amazon River Basins: Links to Tropical Atlantic Surface Temperatures. </w:t>
      </w:r>
      <w:r w:rsidRPr="006E1F7A">
        <w:rPr>
          <w:rFonts w:cs="Times New Roman"/>
          <w:i/>
          <w:iCs/>
          <w:noProof/>
          <w:kern w:val="0"/>
        </w:rPr>
        <w:t>Journal of Climate</w:t>
      </w:r>
      <w:r w:rsidRPr="006E1F7A">
        <w:rPr>
          <w:rFonts w:cs="Times New Roman"/>
          <w:noProof/>
          <w:kern w:val="0"/>
        </w:rPr>
        <w:t xml:space="preserve">, </w:t>
      </w:r>
      <w:r w:rsidRPr="006E1F7A">
        <w:rPr>
          <w:rFonts w:cs="Times New Roman"/>
          <w:i/>
          <w:iCs/>
          <w:noProof/>
          <w:kern w:val="0"/>
        </w:rPr>
        <w:t>33</w:t>
      </w:r>
      <w:r w:rsidRPr="006E1F7A">
        <w:rPr>
          <w:rFonts w:cs="Times New Roman"/>
          <w:noProof/>
          <w:kern w:val="0"/>
        </w:rPr>
        <w:t>(19), 8537–8559. https://doi.org/10.1175/JCLI-D-19-0696.1</w:t>
      </w:r>
    </w:p>
    <w:p w14:paraId="2134116A"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Bao, J., Bony, S., Takasuka, D., &amp; Muller, C. (2025). Tropics-wide intraseasonal oscillations. </w:t>
      </w:r>
      <w:r w:rsidRPr="006E1F7A">
        <w:rPr>
          <w:rFonts w:cs="Times New Roman"/>
          <w:i/>
          <w:iCs/>
          <w:noProof/>
          <w:kern w:val="0"/>
        </w:rPr>
        <w:t>Proceedings of the National Academy of Sciences of the United States of America</w:t>
      </w:r>
      <w:r w:rsidRPr="006E1F7A">
        <w:rPr>
          <w:rFonts w:cs="Times New Roman"/>
          <w:noProof/>
          <w:kern w:val="0"/>
        </w:rPr>
        <w:t xml:space="preserve">, </w:t>
      </w:r>
      <w:r w:rsidRPr="006E1F7A">
        <w:rPr>
          <w:rFonts w:cs="Times New Roman"/>
          <w:i/>
          <w:iCs/>
          <w:noProof/>
          <w:kern w:val="0"/>
        </w:rPr>
        <w:t>122</w:t>
      </w:r>
      <w:r w:rsidRPr="006E1F7A">
        <w:rPr>
          <w:rFonts w:cs="Times New Roman"/>
          <w:noProof/>
          <w:kern w:val="0"/>
        </w:rPr>
        <w:t>(48), 1–10. https://doi.org/10.1073/pnas.2511549122</w:t>
      </w:r>
    </w:p>
    <w:p w14:paraId="658CDD0E"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Brönnimann, S. (2015). </w:t>
      </w:r>
      <w:r w:rsidRPr="006E1F7A">
        <w:rPr>
          <w:rFonts w:cs="Times New Roman"/>
          <w:i/>
          <w:iCs/>
          <w:noProof/>
          <w:kern w:val="0"/>
        </w:rPr>
        <w:t>Climatic Changes Since 1700</w:t>
      </w:r>
      <w:r w:rsidRPr="006E1F7A">
        <w:rPr>
          <w:rFonts w:cs="Times New Roman"/>
          <w:noProof/>
          <w:kern w:val="0"/>
        </w:rPr>
        <w:t xml:space="preserve"> (Vol. 55). Springer International Publishing. https://doi.org/10.1007/978-3-319-19042-6</w:t>
      </w:r>
    </w:p>
    <w:p w14:paraId="68096236"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Brunner, M. I., Slater, L., Tallaksen, L. M., &amp; Clark, M. (2021). Challenges in modeling and predicting floods and droughts: A review. </w:t>
      </w:r>
      <w:r w:rsidRPr="006E1F7A">
        <w:rPr>
          <w:rFonts w:cs="Times New Roman"/>
          <w:i/>
          <w:iCs/>
          <w:noProof/>
          <w:kern w:val="0"/>
        </w:rPr>
        <w:t>Wiley Interdisciplinary Reviews: Water</w:t>
      </w:r>
      <w:r w:rsidRPr="006E1F7A">
        <w:rPr>
          <w:rFonts w:cs="Times New Roman"/>
          <w:noProof/>
          <w:kern w:val="0"/>
        </w:rPr>
        <w:t xml:space="preserve">, </w:t>
      </w:r>
      <w:r w:rsidRPr="006E1F7A">
        <w:rPr>
          <w:rFonts w:cs="Times New Roman"/>
          <w:i/>
          <w:iCs/>
          <w:noProof/>
          <w:kern w:val="0"/>
        </w:rPr>
        <w:t>8</w:t>
      </w:r>
      <w:r w:rsidRPr="006E1F7A">
        <w:rPr>
          <w:rFonts w:cs="Times New Roman"/>
          <w:noProof/>
          <w:kern w:val="0"/>
        </w:rPr>
        <w:t>(3), 1–32. https://doi.org/10.1002/wat2.1520</w:t>
      </w:r>
    </w:p>
    <w:p w14:paraId="4B09A2AF"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Builes-Jaramillo, A., Valencia, J., &amp; Salas, H. D. (2023). The influence of the El Niño-Southern Oscillation phase transitions over the northern South America hydroclimate. </w:t>
      </w:r>
      <w:r w:rsidRPr="006E1F7A">
        <w:rPr>
          <w:rFonts w:cs="Times New Roman"/>
          <w:i/>
          <w:iCs/>
          <w:noProof/>
          <w:kern w:val="0"/>
        </w:rPr>
        <w:t>Atmospheric Research</w:t>
      </w:r>
      <w:r w:rsidRPr="006E1F7A">
        <w:rPr>
          <w:rFonts w:cs="Times New Roman"/>
          <w:noProof/>
          <w:kern w:val="0"/>
        </w:rPr>
        <w:t xml:space="preserve">, </w:t>
      </w:r>
      <w:r w:rsidRPr="006E1F7A">
        <w:rPr>
          <w:rFonts w:cs="Times New Roman"/>
          <w:i/>
          <w:iCs/>
          <w:noProof/>
          <w:kern w:val="0"/>
        </w:rPr>
        <w:t>290</w:t>
      </w:r>
      <w:r w:rsidRPr="006E1F7A">
        <w:rPr>
          <w:rFonts w:cs="Times New Roman"/>
          <w:noProof/>
          <w:kern w:val="0"/>
        </w:rPr>
        <w:t>(May), 106786. https://doi.org/10.1016/j.atmosres.2023.106786</w:t>
      </w:r>
    </w:p>
    <w:p w14:paraId="4BB2F116"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Builes</w:t>
      </w:r>
      <w:r w:rsidRPr="006E1F7A">
        <w:rPr>
          <w:rFonts w:ascii="Cambria Math" w:hAnsi="Cambria Math" w:cs="Cambria Math"/>
          <w:noProof/>
          <w:kern w:val="0"/>
        </w:rPr>
        <w:t>‐</w:t>
      </w:r>
      <w:r w:rsidRPr="006E1F7A">
        <w:rPr>
          <w:rFonts w:cs="Times New Roman"/>
          <w:noProof/>
          <w:kern w:val="0"/>
        </w:rPr>
        <w:t>Jaramillo, A., Yepes, J., Salas, H. D., Bedoya</w:t>
      </w:r>
      <w:r w:rsidRPr="006E1F7A">
        <w:rPr>
          <w:rFonts w:ascii="Cambria Math" w:hAnsi="Cambria Math" w:cs="Cambria Math"/>
          <w:noProof/>
          <w:kern w:val="0"/>
        </w:rPr>
        <w:t>‐</w:t>
      </w:r>
      <w:r w:rsidRPr="006E1F7A">
        <w:rPr>
          <w:rFonts w:cs="Times New Roman"/>
          <w:noProof/>
          <w:kern w:val="0"/>
        </w:rPr>
        <w:t xml:space="preserve">Soto, J. M., Rivera, P., Valencia, J., &amp; Carmona, A. M. (2025). Intraseasonal Oscillations and Hydroclimate of Northern South America, Central America and Mexico. </w:t>
      </w:r>
      <w:r w:rsidRPr="006E1F7A">
        <w:rPr>
          <w:rFonts w:cs="Times New Roman"/>
          <w:i/>
          <w:iCs/>
          <w:noProof/>
          <w:kern w:val="0"/>
        </w:rPr>
        <w:t>International Journal of Climatology</w:t>
      </w:r>
      <w:r w:rsidRPr="006E1F7A">
        <w:rPr>
          <w:rFonts w:cs="Times New Roman"/>
          <w:noProof/>
          <w:kern w:val="0"/>
        </w:rPr>
        <w:t>, 1–17. https://doi.org/10.1002/joc.8848</w:t>
      </w:r>
    </w:p>
    <w:p w14:paraId="2AD7A6D8"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Cai, W., McPhaden, M. J., Grimm, A. M., Rodrigues, R. R., Taschetto, A. S., Garreaud, R. D., Dewitte, B., Poveda, G., Ham, Y. G., Santoso, A., Ng, B., Anderson, W., Wang, G., Geng, T., Jo, H. S., Marengo, J. A., Alves, L. M., Osman, M., Li, S., … Vera, C. (2020). Climate impacts of the El Niño–Southern Oscillation on South America. </w:t>
      </w:r>
      <w:r w:rsidRPr="006E1F7A">
        <w:rPr>
          <w:rFonts w:cs="Times New Roman"/>
          <w:i/>
          <w:iCs/>
          <w:noProof/>
          <w:kern w:val="0"/>
        </w:rPr>
        <w:t>Nature Reviews Earth and Environment</w:t>
      </w:r>
      <w:r w:rsidRPr="006E1F7A">
        <w:rPr>
          <w:rFonts w:cs="Times New Roman"/>
          <w:noProof/>
          <w:kern w:val="0"/>
        </w:rPr>
        <w:t xml:space="preserve">, </w:t>
      </w:r>
      <w:r w:rsidRPr="006E1F7A">
        <w:rPr>
          <w:rFonts w:cs="Times New Roman"/>
          <w:i/>
          <w:iCs/>
          <w:noProof/>
          <w:kern w:val="0"/>
        </w:rPr>
        <w:t>1</w:t>
      </w:r>
      <w:r w:rsidRPr="006E1F7A">
        <w:rPr>
          <w:rFonts w:cs="Times New Roman"/>
          <w:noProof/>
          <w:kern w:val="0"/>
        </w:rPr>
        <w:t>(4), 215–231. https://doi.org/10.1038/s43017-020-0040-3</w:t>
      </w:r>
    </w:p>
    <w:p w14:paraId="2E287BBF"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Correa, I. C., Arias, P. A., Vieira, S. C., &amp; Martínez, J. A. (2024). A drier Orinoco basin during the twenty-first century: the role of the Orinoco low-level jet. </w:t>
      </w:r>
      <w:r w:rsidRPr="006E1F7A">
        <w:rPr>
          <w:rFonts w:cs="Times New Roman"/>
          <w:i/>
          <w:iCs/>
          <w:noProof/>
          <w:kern w:val="0"/>
        </w:rPr>
        <w:t>Climate Dynamics</w:t>
      </w:r>
      <w:r w:rsidRPr="006E1F7A">
        <w:rPr>
          <w:rFonts w:cs="Times New Roman"/>
          <w:noProof/>
          <w:kern w:val="0"/>
        </w:rPr>
        <w:t xml:space="preserve">, </w:t>
      </w:r>
      <w:r w:rsidRPr="006E1F7A">
        <w:rPr>
          <w:rFonts w:cs="Times New Roman"/>
          <w:i/>
          <w:iCs/>
          <w:noProof/>
          <w:kern w:val="0"/>
        </w:rPr>
        <w:t>0123456789</w:t>
      </w:r>
      <w:r w:rsidRPr="006E1F7A">
        <w:rPr>
          <w:rFonts w:cs="Times New Roman"/>
          <w:noProof/>
          <w:kern w:val="0"/>
        </w:rPr>
        <w:t>. https://doi.org/10.1007/s00382-023-07028-7</w:t>
      </w:r>
    </w:p>
    <w:p w14:paraId="6220089B"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Dalelane, C., Paxian, A., Senande, M., Sanfiz, S., Rodríguez Guisado, E., Wandel, J., &amp; Tyagi, A. (2025). </w:t>
      </w:r>
      <w:r w:rsidRPr="006E1F7A">
        <w:rPr>
          <w:rFonts w:cs="Times New Roman"/>
          <w:i/>
          <w:iCs/>
          <w:noProof/>
          <w:kern w:val="0"/>
        </w:rPr>
        <w:t>Targeted Teleconnections and their Application to the Postprocessing of Climate Predictions</w:t>
      </w:r>
      <w:r w:rsidRPr="006E1F7A">
        <w:rPr>
          <w:rFonts w:cs="Times New Roman"/>
          <w:noProof/>
          <w:kern w:val="0"/>
        </w:rPr>
        <w:t>. https://doi.org/10.5194/egusphere-2025-3664</w:t>
      </w:r>
    </w:p>
    <w:p w14:paraId="01F70152"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Duque-Gardeazabal, N., Brönnimann, S., Friedman, A. R., Dolores-Tesillos, E., &amp; Martius, O. (2026). Wind and solar energy variability in tropical South America: Ocean-atmospheric modulators. </w:t>
      </w:r>
      <w:r w:rsidRPr="006E1F7A">
        <w:rPr>
          <w:rFonts w:cs="Times New Roman"/>
          <w:i/>
          <w:iCs/>
          <w:noProof/>
          <w:kern w:val="0"/>
        </w:rPr>
        <w:t>Meteorological Applications</w:t>
      </w:r>
      <w:r w:rsidRPr="006E1F7A">
        <w:rPr>
          <w:rFonts w:cs="Times New Roman"/>
          <w:noProof/>
          <w:kern w:val="0"/>
        </w:rPr>
        <w:t>. https://doi.org/10.1002/met.70165</w:t>
      </w:r>
    </w:p>
    <w:p w14:paraId="7BFA668D"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Duque-Gardeazabal, N., Brönnimann, S., Friedman, A. R., &amp; Franke, J. (2025). </w:t>
      </w:r>
      <w:r w:rsidRPr="006E1F7A">
        <w:rPr>
          <w:rFonts w:cs="Times New Roman"/>
          <w:i/>
          <w:iCs/>
          <w:noProof/>
          <w:kern w:val="0"/>
        </w:rPr>
        <w:t>Possible effects of anthropogenic and volcanic aerosols on the ITCZ and rainfall over South America</w:t>
      </w:r>
      <w:r w:rsidRPr="006E1F7A">
        <w:rPr>
          <w:rFonts w:cs="Times New Roman"/>
          <w:noProof/>
          <w:kern w:val="0"/>
        </w:rPr>
        <w:t>. https://doi.org/10.21203/rs.3.rs-8134517/v1</w:t>
      </w:r>
    </w:p>
    <w:p w14:paraId="503D1F2B"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Duque-Gardeazabal, N., Friedman, A. R., &amp; Brönnimann, S. (2025). An Atlantic influence on evapotranspiration in the Orinoco and Amazon basins. </w:t>
      </w:r>
      <w:r w:rsidRPr="006E1F7A">
        <w:rPr>
          <w:rFonts w:cs="Times New Roman"/>
          <w:i/>
          <w:iCs/>
          <w:noProof/>
          <w:kern w:val="0"/>
        </w:rPr>
        <w:t>Hydrology and Earth System Sciences</w:t>
      </w:r>
      <w:r w:rsidRPr="006E1F7A">
        <w:rPr>
          <w:rFonts w:cs="Times New Roman"/>
          <w:noProof/>
          <w:kern w:val="0"/>
        </w:rPr>
        <w:t xml:space="preserve">, </w:t>
      </w:r>
      <w:r w:rsidRPr="006E1F7A">
        <w:rPr>
          <w:rFonts w:cs="Times New Roman"/>
          <w:i/>
          <w:iCs/>
          <w:noProof/>
          <w:kern w:val="0"/>
        </w:rPr>
        <w:t>29</w:t>
      </w:r>
      <w:r w:rsidRPr="006E1F7A">
        <w:rPr>
          <w:rFonts w:cs="Times New Roman"/>
          <w:noProof/>
          <w:kern w:val="0"/>
        </w:rPr>
        <w:t>(14), 3277–3295. https://doi.org/10.5194/hess-29-3277-2025</w:t>
      </w:r>
    </w:p>
    <w:p w14:paraId="53E18D69"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Duque-Gardeazabal, N., García, C., Montoya, J. J., &amp; Bernal Quiroga, F. A. (2024). Improving estimates of water resources availability over North Tropical South America: comparison of two satellite precipitation merging schemes. </w:t>
      </w:r>
      <w:r w:rsidRPr="006E1F7A">
        <w:rPr>
          <w:rFonts w:cs="Times New Roman"/>
          <w:i/>
          <w:iCs/>
          <w:noProof/>
          <w:kern w:val="0"/>
        </w:rPr>
        <w:t>Earth Sciences Research Journal</w:t>
      </w:r>
      <w:r w:rsidRPr="006E1F7A">
        <w:rPr>
          <w:rFonts w:cs="Times New Roman"/>
          <w:noProof/>
          <w:kern w:val="0"/>
        </w:rPr>
        <w:t xml:space="preserve">, </w:t>
      </w:r>
      <w:r w:rsidRPr="006E1F7A">
        <w:rPr>
          <w:rFonts w:cs="Times New Roman"/>
          <w:i/>
          <w:iCs/>
          <w:noProof/>
          <w:kern w:val="0"/>
        </w:rPr>
        <w:t>28</w:t>
      </w:r>
      <w:r w:rsidRPr="006E1F7A">
        <w:rPr>
          <w:rFonts w:cs="Times New Roman"/>
          <w:noProof/>
          <w:kern w:val="0"/>
        </w:rPr>
        <w:t>(1), 55–63. https://doi.org/10.15446/esrj.v28n1.104344</w:t>
      </w:r>
    </w:p>
    <w:p w14:paraId="0EFAD85A"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Duque-Gardeazabal, N., &amp; Rodríguez, E. A. (2023). Improving Rainfall Fields in Data-Scarce Basins: Influence of the Kernel </w:t>
      </w:r>
      <w:r w:rsidRPr="006E1F7A">
        <w:rPr>
          <w:rFonts w:cs="Times New Roman"/>
          <w:noProof/>
          <w:kern w:val="0"/>
        </w:rPr>
        <w:lastRenderedPageBreak/>
        <w:t xml:space="preserve">Bandwidth Value of Merging on Hydrometeorological Modeling. </w:t>
      </w:r>
      <w:r w:rsidRPr="006E1F7A">
        <w:rPr>
          <w:rFonts w:cs="Times New Roman"/>
          <w:i/>
          <w:iCs/>
          <w:noProof/>
          <w:kern w:val="0"/>
        </w:rPr>
        <w:t>Journal of Hydrologic Engineering</w:t>
      </w:r>
      <w:r w:rsidRPr="006E1F7A">
        <w:rPr>
          <w:rFonts w:cs="Times New Roman"/>
          <w:noProof/>
          <w:kern w:val="0"/>
        </w:rPr>
        <w:t xml:space="preserve">, </w:t>
      </w:r>
      <w:r w:rsidRPr="006E1F7A">
        <w:rPr>
          <w:rFonts w:cs="Times New Roman"/>
          <w:i/>
          <w:iCs/>
          <w:noProof/>
          <w:kern w:val="0"/>
        </w:rPr>
        <w:t>28</w:t>
      </w:r>
      <w:r w:rsidRPr="006E1F7A">
        <w:rPr>
          <w:rFonts w:cs="Times New Roman"/>
          <w:noProof/>
          <w:kern w:val="0"/>
        </w:rPr>
        <w:t>(7). https://doi.org/10.1061/JHYEFF.HEENG-5541</w:t>
      </w:r>
    </w:p>
    <w:p w14:paraId="484ABB0E"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DW. (2026). </w:t>
      </w:r>
      <w:r w:rsidRPr="006E1F7A">
        <w:rPr>
          <w:rFonts w:cs="Times New Roman"/>
          <w:i/>
          <w:iCs/>
          <w:noProof/>
          <w:kern w:val="0"/>
        </w:rPr>
        <w:t>Cómo usar (bien) la IA en la escuela: riesgos, reglas y oportunidades</w:t>
      </w:r>
      <w:r w:rsidRPr="006E1F7A">
        <w:rPr>
          <w:rFonts w:cs="Times New Roman"/>
          <w:noProof/>
          <w:kern w:val="0"/>
        </w:rPr>
        <w:t>. https://www.youtube.com/watch?v=NOSBak2scO8</w:t>
      </w:r>
    </w:p>
    <w:p w14:paraId="75F6D110"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Fröhlich, K., Dobrynin, M., Isensee, K., Gessner, C., Paxian, A., Pohlmann, H., Haak, H., Brune, S., Früh, B., &amp; Baehr, J. (2020). </w:t>
      </w:r>
      <w:r w:rsidRPr="006E1F7A">
        <w:rPr>
          <w:rFonts w:cs="Times New Roman"/>
          <w:i/>
          <w:iCs/>
          <w:noProof/>
          <w:kern w:val="0"/>
        </w:rPr>
        <w:t>The German Climate Forecast System: GCFS</w:t>
      </w:r>
      <w:r w:rsidRPr="006E1F7A">
        <w:rPr>
          <w:rFonts w:cs="Times New Roman"/>
          <w:noProof/>
          <w:kern w:val="0"/>
        </w:rPr>
        <w:t>. https://doi.org/10.1002/essoar.10502582.1</w:t>
      </w:r>
    </w:p>
    <w:p w14:paraId="18BF4FDF"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Giraldo-Cardenas, S., Arias, P. A., Vieira, S. C., &amp; Zuluaga, M. D. (2022). Easterly waves and precipitation over northern South America and the Caribbean. </w:t>
      </w:r>
      <w:r w:rsidRPr="006E1F7A">
        <w:rPr>
          <w:rFonts w:cs="Times New Roman"/>
          <w:i/>
          <w:iCs/>
          <w:noProof/>
          <w:kern w:val="0"/>
        </w:rPr>
        <w:t>International Journal of Climatology</w:t>
      </w:r>
      <w:r w:rsidRPr="006E1F7A">
        <w:rPr>
          <w:rFonts w:cs="Times New Roman"/>
          <w:noProof/>
          <w:kern w:val="0"/>
        </w:rPr>
        <w:t xml:space="preserve">, </w:t>
      </w:r>
      <w:r w:rsidRPr="006E1F7A">
        <w:rPr>
          <w:rFonts w:cs="Times New Roman"/>
          <w:i/>
          <w:iCs/>
          <w:noProof/>
          <w:kern w:val="0"/>
        </w:rPr>
        <w:t>42</w:t>
      </w:r>
      <w:r w:rsidRPr="006E1F7A">
        <w:rPr>
          <w:rFonts w:cs="Times New Roman"/>
          <w:noProof/>
          <w:kern w:val="0"/>
        </w:rPr>
        <w:t>(3), 1483–1499. https://doi.org/10.1002/joc.7315</w:t>
      </w:r>
    </w:p>
    <w:p w14:paraId="7E67D7A1"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GWP. (2008). </w:t>
      </w:r>
      <w:r w:rsidRPr="006E1F7A">
        <w:rPr>
          <w:rFonts w:cs="Times New Roman"/>
          <w:i/>
          <w:iCs/>
          <w:noProof/>
          <w:kern w:val="0"/>
        </w:rPr>
        <w:t>Principios de gestión integrada de los recursos hídricos</w:t>
      </w:r>
      <w:r w:rsidRPr="006E1F7A">
        <w:rPr>
          <w:rFonts w:cs="Times New Roman"/>
          <w:noProof/>
          <w:kern w:val="0"/>
        </w:rPr>
        <w:t>. https://www.gwp.org/globalassets/global/gwp-sam_files/publicaciones/sobre-girh/2008-principios-de-girh-base-para-el-desarrollo-de-planes-nacionales.pdf</w:t>
      </w:r>
    </w:p>
    <w:p w14:paraId="70C82F7A"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He, C., Clement, A. C., Kramer, S. M., Cane, M. A., Klavans, J. M., Fenske, T. M., &amp; Murphy, L. N. (2023). Tropical Atlantic multidecadal variability is dominated by external forcing. </w:t>
      </w:r>
      <w:r w:rsidRPr="006E1F7A">
        <w:rPr>
          <w:rFonts w:cs="Times New Roman"/>
          <w:i/>
          <w:iCs/>
          <w:noProof/>
          <w:kern w:val="0"/>
        </w:rPr>
        <w:t>Nature</w:t>
      </w:r>
      <w:r w:rsidRPr="006E1F7A">
        <w:rPr>
          <w:rFonts w:cs="Times New Roman"/>
          <w:noProof/>
          <w:kern w:val="0"/>
        </w:rPr>
        <w:t xml:space="preserve">, </w:t>
      </w:r>
      <w:r w:rsidRPr="006E1F7A">
        <w:rPr>
          <w:rFonts w:cs="Times New Roman"/>
          <w:i/>
          <w:iCs/>
          <w:noProof/>
          <w:kern w:val="0"/>
        </w:rPr>
        <w:t>622</w:t>
      </w:r>
      <w:r w:rsidRPr="006E1F7A">
        <w:rPr>
          <w:rFonts w:cs="Times New Roman"/>
          <w:noProof/>
          <w:kern w:val="0"/>
        </w:rPr>
        <w:t>(October). https://doi.org/10.1038/s41586-023-06489-4</w:t>
      </w:r>
    </w:p>
    <w:p w14:paraId="4AD23C0D"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Hua, W., Dai, A., Zhou, L., Qin, M., &amp; Chen, H. (2019). An Externally Forced Decadal Rainfall Seesaw Pattern Over the Sahel and Southeast Amazon. </w:t>
      </w:r>
      <w:r w:rsidRPr="006E1F7A">
        <w:rPr>
          <w:rFonts w:cs="Times New Roman"/>
          <w:i/>
          <w:iCs/>
          <w:noProof/>
          <w:kern w:val="0"/>
        </w:rPr>
        <w:t>Geophysical Research Letters</w:t>
      </w:r>
      <w:r w:rsidRPr="006E1F7A">
        <w:rPr>
          <w:rFonts w:cs="Times New Roman"/>
          <w:noProof/>
          <w:kern w:val="0"/>
        </w:rPr>
        <w:t xml:space="preserve">, </w:t>
      </w:r>
      <w:r w:rsidRPr="006E1F7A">
        <w:rPr>
          <w:rFonts w:cs="Times New Roman"/>
          <w:i/>
          <w:iCs/>
          <w:noProof/>
          <w:kern w:val="0"/>
        </w:rPr>
        <w:t>46</w:t>
      </w:r>
      <w:r w:rsidRPr="006E1F7A">
        <w:rPr>
          <w:rFonts w:cs="Times New Roman"/>
          <w:noProof/>
          <w:kern w:val="0"/>
        </w:rPr>
        <w:t>(2), 923–932. https://doi.org/10.1029/2018GL081406</w:t>
      </w:r>
    </w:p>
    <w:p w14:paraId="7E56ABBD"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IDEAM. (2019). Estudio Nacional del Agua 2018. In O. Franco Torres, M. García Herrán, &amp; O. Vargas Martínez (Eds.), </w:t>
      </w:r>
      <w:r w:rsidRPr="006E1F7A">
        <w:rPr>
          <w:rFonts w:cs="Times New Roman"/>
          <w:i/>
          <w:iCs/>
          <w:noProof/>
          <w:kern w:val="0"/>
        </w:rPr>
        <w:t>Estudio Nacional del Agua</w:t>
      </w:r>
      <w:r w:rsidRPr="006E1F7A">
        <w:rPr>
          <w:rFonts w:cs="Times New Roman"/>
          <w:noProof/>
          <w:kern w:val="0"/>
        </w:rPr>
        <w:t>. IDEAM. http://documentacion.ideam.gov.co/openbiblio/bvirtual/023858/023858.html</w:t>
      </w:r>
    </w:p>
    <w:p w14:paraId="5E077CE0"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IDEAM. (2023). </w:t>
      </w:r>
      <w:r w:rsidRPr="006E1F7A">
        <w:rPr>
          <w:rFonts w:cs="Times New Roman"/>
          <w:i/>
          <w:iCs/>
          <w:noProof/>
          <w:kern w:val="0"/>
        </w:rPr>
        <w:t>Estudio Nacional del Agua 2022</w:t>
      </w:r>
      <w:r w:rsidRPr="006E1F7A">
        <w:rPr>
          <w:rFonts w:cs="Times New Roman"/>
          <w:noProof/>
          <w:kern w:val="0"/>
        </w:rPr>
        <w:t xml:space="preserve"> (M. García Herrán &amp; O. Vargas Martínez (eds.)).</w:t>
      </w:r>
    </w:p>
    <w:p w14:paraId="604E8A18"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IPCC. (2021). </w:t>
      </w:r>
      <w:r w:rsidRPr="006E1F7A">
        <w:rPr>
          <w:rFonts w:cs="Times New Roman"/>
          <w:i/>
          <w:iCs/>
          <w:noProof/>
          <w:kern w:val="0"/>
        </w:rPr>
        <w:t>Climate Change 2021: The Physical Science Basis</w:t>
      </w:r>
      <w:r w:rsidRPr="006E1F7A">
        <w:rPr>
          <w:rFonts w:cs="Times New Roman"/>
          <w:noProof/>
          <w:kern w:val="0"/>
        </w:rPr>
        <w:t>. Cambridge University Press. https://doi.org/10.1017/9781009157896</w:t>
      </w:r>
    </w:p>
    <w:p w14:paraId="4014AA10"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Johnson, S. J., Stockdale, T. N., Ferranti, L., Balmaseda, M. A., Molteni, F., Magnusson, L., Tietsche, S., Decremer, D., Weisheimer, A., Balsamo, G., Keeley, S. P. E., Mogensen, K., Zuo, H., &amp; Monge-Sanz, B. M. (2019). SEAS5: The new ECMWF seasonal forecast system. </w:t>
      </w:r>
      <w:r w:rsidRPr="006E1F7A">
        <w:rPr>
          <w:rFonts w:cs="Times New Roman"/>
          <w:i/>
          <w:iCs/>
          <w:noProof/>
          <w:kern w:val="0"/>
        </w:rPr>
        <w:t>Geoscientific Model Development</w:t>
      </w:r>
      <w:r w:rsidRPr="006E1F7A">
        <w:rPr>
          <w:rFonts w:cs="Times New Roman"/>
          <w:noProof/>
          <w:kern w:val="0"/>
        </w:rPr>
        <w:t xml:space="preserve">, </w:t>
      </w:r>
      <w:r w:rsidRPr="006E1F7A">
        <w:rPr>
          <w:rFonts w:cs="Times New Roman"/>
          <w:i/>
          <w:iCs/>
          <w:noProof/>
          <w:kern w:val="0"/>
        </w:rPr>
        <w:t>12</w:t>
      </w:r>
      <w:r w:rsidRPr="006E1F7A">
        <w:rPr>
          <w:rFonts w:cs="Times New Roman"/>
          <w:noProof/>
          <w:kern w:val="0"/>
        </w:rPr>
        <w:t>(3), 1087–1117. https://doi.org/10.5194/gmd-12-1087-2019</w:t>
      </w:r>
    </w:p>
    <w:p w14:paraId="73CCFE80"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Liu, Y., Cai, W., Lin, X., &amp; Li, Z. (2022). Increased extreme swings of Atlantic intertropical convergence zone in a warming climate. </w:t>
      </w:r>
      <w:r w:rsidRPr="006E1F7A">
        <w:rPr>
          <w:rFonts w:cs="Times New Roman"/>
          <w:i/>
          <w:iCs/>
          <w:noProof/>
          <w:kern w:val="0"/>
        </w:rPr>
        <w:t>Nature Climate Change</w:t>
      </w:r>
      <w:r w:rsidRPr="006E1F7A">
        <w:rPr>
          <w:rFonts w:cs="Times New Roman"/>
          <w:noProof/>
          <w:kern w:val="0"/>
        </w:rPr>
        <w:t xml:space="preserve">, </w:t>
      </w:r>
      <w:r w:rsidRPr="006E1F7A">
        <w:rPr>
          <w:rFonts w:cs="Times New Roman"/>
          <w:i/>
          <w:iCs/>
          <w:noProof/>
          <w:kern w:val="0"/>
        </w:rPr>
        <w:t>12</w:t>
      </w:r>
      <w:r w:rsidRPr="006E1F7A">
        <w:rPr>
          <w:rFonts w:cs="Times New Roman"/>
          <w:noProof/>
          <w:kern w:val="0"/>
        </w:rPr>
        <w:t>(9), 828–833. https://doi.org/10.1038/s41558-022-01445-y</w:t>
      </w:r>
    </w:p>
    <w:p w14:paraId="1A4C7AC6"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Merz, B., Blöschl, G., Vorogushyn, S., Dottori, F., Aerts, J. C. J. H., Bates, P., Bertola, M., Kemter, M., Kreibich, H., Lall, U., &amp; Macdonald, E. (2021). Causes, impacts and patterns of disastrous river floods. </w:t>
      </w:r>
      <w:r w:rsidRPr="006E1F7A">
        <w:rPr>
          <w:rFonts w:cs="Times New Roman"/>
          <w:i/>
          <w:iCs/>
          <w:noProof/>
          <w:kern w:val="0"/>
        </w:rPr>
        <w:t>Nature Reviews Earth and Environment</w:t>
      </w:r>
      <w:r w:rsidRPr="006E1F7A">
        <w:rPr>
          <w:rFonts w:cs="Times New Roman"/>
          <w:noProof/>
          <w:kern w:val="0"/>
        </w:rPr>
        <w:t xml:space="preserve">, </w:t>
      </w:r>
      <w:r w:rsidRPr="006E1F7A">
        <w:rPr>
          <w:rFonts w:cs="Times New Roman"/>
          <w:i/>
          <w:iCs/>
          <w:noProof/>
          <w:kern w:val="0"/>
        </w:rPr>
        <w:t>2</w:t>
      </w:r>
      <w:r w:rsidRPr="006E1F7A">
        <w:rPr>
          <w:rFonts w:cs="Times New Roman"/>
          <w:noProof/>
          <w:kern w:val="0"/>
        </w:rPr>
        <w:t>(9), 592–609. https://doi.org/10.1038/s43017-021-00195-3</w:t>
      </w:r>
    </w:p>
    <w:p w14:paraId="030EC497"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MeteoSwiss. (2026). </w:t>
      </w:r>
      <w:r w:rsidRPr="006E1F7A">
        <w:rPr>
          <w:rFonts w:cs="Times New Roman"/>
          <w:i/>
          <w:iCs/>
          <w:noProof/>
          <w:kern w:val="0"/>
        </w:rPr>
        <w:t>Federal office of meteorology and climatology Meteoswiss</w:t>
      </w:r>
      <w:r w:rsidRPr="006E1F7A">
        <w:rPr>
          <w:rFonts w:cs="Times New Roman"/>
          <w:noProof/>
          <w:kern w:val="0"/>
        </w:rPr>
        <w:t>. https://www.meteoswiss.admin.ch/</w:t>
      </w:r>
    </w:p>
    <w:p w14:paraId="68989358"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MinAmbiente. (2010). </w:t>
      </w:r>
      <w:r w:rsidRPr="006E1F7A">
        <w:rPr>
          <w:rFonts w:cs="Times New Roman"/>
          <w:i/>
          <w:iCs/>
          <w:noProof/>
          <w:kern w:val="0"/>
        </w:rPr>
        <w:t>Política nacional para la gestión integral del recurso hídrico</w:t>
      </w:r>
      <w:r w:rsidRPr="006E1F7A">
        <w:rPr>
          <w:rFonts w:cs="Times New Roman"/>
          <w:noProof/>
          <w:kern w:val="0"/>
        </w:rPr>
        <w:t>. Ministerio de Ambiente y desarrollo sostenible. https://www.minambiente.gov.co/wp-content/uploads/2021/10/Politica-nacional-Gestion-integral-de-recurso-Hidrico-web.pdf</w:t>
      </w:r>
    </w:p>
    <w:p w14:paraId="4059838B"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MinAmbiente. (2014). </w:t>
      </w:r>
      <w:r w:rsidRPr="006E1F7A">
        <w:rPr>
          <w:rFonts w:cs="Times New Roman"/>
          <w:i/>
          <w:iCs/>
          <w:noProof/>
          <w:kern w:val="0"/>
        </w:rPr>
        <w:t>Guía Técnica para la Formulación de los Planes de Ordenación y Manejo de Cuencas Hidrográficas</w:t>
      </w:r>
      <w:r w:rsidRPr="006E1F7A">
        <w:rPr>
          <w:rFonts w:cs="Times New Roman"/>
          <w:noProof/>
          <w:kern w:val="0"/>
        </w:rPr>
        <w:t>. Ministerio de Ambiente y desarrollo sostenible. https://www.minambiente.gov.co/wp-content/uploads/2021/10/GUIA_DE_POMCAS.pdf</w:t>
      </w:r>
    </w:p>
    <w:p w14:paraId="45183D8B"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MinAmbiente. (2024). </w:t>
      </w:r>
      <w:r w:rsidRPr="006E1F7A">
        <w:rPr>
          <w:rFonts w:cs="Times New Roman"/>
          <w:i/>
          <w:iCs/>
          <w:noProof/>
          <w:kern w:val="0"/>
        </w:rPr>
        <w:t>Programa nacional de monitoreo del recurso hídrico</w:t>
      </w:r>
      <w:r w:rsidRPr="006E1F7A">
        <w:rPr>
          <w:rFonts w:cs="Times New Roman"/>
          <w:noProof/>
          <w:kern w:val="0"/>
        </w:rPr>
        <w:t>. Ministerio de Ambiente y desarrollo sostenible. https://www.minambiente.gov.co/wp-content/uploads/2025/06/Programa-Nacional-de-Monitoreo-del-Recurso-Hidrico.pdf</w:t>
      </w:r>
    </w:p>
    <w:p w14:paraId="4DFDD35D"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Mishra, A. K., &amp; Singh, V. P. (2010). A review of drought concepts. </w:t>
      </w:r>
      <w:r w:rsidRPr="006E1F7A">
        <w:rPr>
          <w:rFonts w:cs="Times New Roman"/>
          <w:i/>
          <w:iCs/>
          <w:noProof/>
          <w:kern w:val="0"/>
        </w:rPr>
        <w:t>Journal of Hydrology</w:t>
      </w:r>
      <w:r w:rsidRPr="006E1F7A">
        <w:rPr>
          <w:rFonts w:cs="Times New Roman"/>
          <w:noProof/>
          <w:kern w:val="0"/>
        </w:rPr>
        <w:t xml:space="preserve">, </w:t>
      </w:r>
      <w:r w:rsidRPr="006E1F7A">
        <w:rPr>
          <w:rFonts w:cs="Times New Roman"/>
          <w:i/>
          <w:iCs/>
          <w:noProof/>
          <w:kern w:val="0"/>
        </w:rPr>
        <w:t>391</w:t>
      </w:r>
      <w:r w:rsidRPr="006E1F7A">
        <w:rPr>
          <w:rFonts w:cs="Times New Roman"/>
          <w:noProof/>
          <w:kern w:val="0"/>
        </w:rPr>
        <w:t>(1–2), 202–216. https://doi.org/10.1016/j.jhydrol.2010.07.012</w:t>
      </w:r>
    </w:p>
    <w:p w14:paraId="1DA276C5"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Mishra, A., Mukherjee, S., Merz, B., Singh, V. P., Wright, D. B., Villarini, G., Paul, S., Kumar, D. N., Khedun, C. P., Niyogi, D., Schumann, G., &amp; Stedinger, J. R. (2022). An Overview of Flood Concepts, Challenges, and Future Directions. </w:t>
      </w:r>
      <w:r w:rsidRPr="006E1F7A">
        <w:rPr>
          <w:rFonts w:cs="Times New Roman"/>
          <w:i/>
          <w:iCs/>
          <w:noProof/>
          <w:kern w:val="0"/>
        </w:rPr>
        <w:t xml:space="preserve">Journal of </w:t>
      </w:r>
      <w:r w:rsidRPr="006E1F7A">
        <w:rPr>
          <w:rFonts w:cs="Times New Roman"/>
          <w:i/>
          <w:iCs/>
          <w:noProof/>
          <w:kern w:val="0"/>
        </w:rPr>
        <w:lastRenderedPageBreak/>
        <w:t>Hydrologic Engineering</w:t>
      </w:r>
      <w:r w:rsidRPr="006E1F7A">
        <w:rPr>
          <w:rFonts w:cs="Times New Roman"/>
          <w:noProof/>
          <w:kern w:val="0"/>
        </w:rPr>
        <w:t xml:space="preserve">, </w:t>
      </w:r>
      <w:r w:rsidRPr="006E1F7A">
        <w:rPr>
          <w:rFonts w:cs="Times New Roman"/>
          <w:i/>
          <w:iCs/>
          <w:noProof/>
          <w:kern w:val="0"/>
        </w:rPr>
        <w:t>27</w:t>
      </w:r>
      <w:r w:rsidRPr="006E1F7A">
        <w:rPr>
          <w:rFonts w:cs="Times New Roman"/>
          <w:noProof/>
          <w:kern w:val="0"/>
        </w:rPr>
        <w:t>(6), 1–30. https://doi.org/10.1061/(ASCE)HE.1943-5584.0002164</w:t>
      </w:r>
    </w:p>
    <w:p w14:paraId="7CB33130"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Paccini, L., &amp; Schiro, K. A. (2025). Influence of Soil Moisture on the Development of Organized Convective Systems in South America. </w:t>
      </w:r>
      <w:r w:rsidRPr="006E1F7A">
        <w:rPr>
          <w:rFonts w:cs="Times New Roman"/>
          <w:i/>
          <w:iCs/>
          <w:noProof/>
          <w:kern w:val="0"/>
        </w:rPr>
        <w:t>Journal of Geophysical Research: Atmospheres</w:t>
      </w:r>
      <w:r w:rsidRPr="006E1F7A">
        <w:rPr>
          <w:rFonts w:cs="Times New Roman"/>
          <w:noProof/>
          <w:kern w:val="0"/>
        </w:rPr>
        <w:t xml:space="preserve">, </w:t>
      </w:r>
      <w:r w:rsidRPr="006E1F7A">
        <w:rPr>
          <w:rFonts w:cs="Times New Roman"/>
          <w:i/>
          <w:iCs/>
          <w:noProof/>
          <w:kern w:val="0"/>
        </w:rPr>
        <w:t>130</w:t>
      </w:r>
      <w:r w:rsidRPr="006E1F7A">
        <w:rPr>
          <w:rFonts w:cs="Times New Roman"/>
          <w:noProof/>
          <w:kern w:val="0"/>
        </w:rPr>
        <w:t>(9). https://doi.org/10.1029/2024JD042108</w:t>
      </w:r>
    </w:p>
    <w:p w14:paraId="0173058A"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Pfahl, S., O’Gorman, P. A., &amp; Fischer, E. M. (2017). Understanding the regional pattern of projected future changes in extreme precipitation. </w:t>
      </w:r>
      <w:r w:rsidRPr="006E1F7A">
        <w:rPr>
          <w:rFonts w:cs="Times New Roman"/>
          <w:i/>
          <w:iCs/>
          <w:noProof/>
          <w:kern w:val="0"/>
        </w:rPr>
        <w:t>Nature Climate Change</w:t>
      </w:r>
      <w:r w:rsidRPr="006E1F7A">
        <w:rPr>
          <w:rFonts w:cs="Times New Roman"/>
          <w:noProof/>
          <w:kern w:val="0"/>
        </w:rPr>
        <w:t xml:space="preserve">, </w:t>
      </w:r>
      <w:r w:rsidRPr="006E1F7A">
        <w:rPr>
          <w:rFonts w:cs="Times New Roman"/>
          <w:i/>
          <w:iCs/>
          <w:noProof/>
          <w:kern w:val="0"/>
        </w:rPr>
        <w:t>7</w:t>
      </w:r>
      <w:r w:rsidRPr="006E1F7A">
        <w:rPr>
          <w:rFonts w:cs="Times New Roman"/>
          <w:noProof/>
          <w:kern w:val="0"/>
        </w:rPr>
        <w:t>(6), 423–427. https://doi.org/10.1038/nclimate3287</w:t>
      </w:r>
    </w:p>
    <w:p w14:paraId="34A81F6E"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Poveda, G., Waylen, P. R., &amp; Pulwarty, R. S. (2006). Annual and inter-annual variability of the present climate in northern South America and southern Mesoamerica. </w:t>
      </w:r>
      <w:r w:rsidRPr="006E1F7A">
        <w:rPr>
          <w:rFonts w:cs="Times New Roman"/>
          <w:i/>
          <w:iCs/>
          <w:noProof/>
          <w:kern w:val="0"/>
        </w:rPr>
        <w:t>Palaeogeography, Palaeoclimatology, Palaeoecology</w:t>
      </w:r>
      <w:r w:rsidRPr="006E1F7A">
        <w:rPr>
          <w:rFonts w:cs="Times New Roman"/>
          <w:noProof/>
          <w:kern w:val="0"/>
        </w:rPr>
        <w:t xml:space="preserve">, </w:t>
      </w:r>
      <w:r w:rsidRPr="006E1F7A">
        <w:rPr>
          <w:rFonts w:cs="Times New Roman"/>
          <w:i/>
          <w:iCs/>
          <w:noProof/>
          <w:kern w:val="0"/>
        </w:rPr>
        <w:t>234</w:t>
      </w:r>
      <w:r w:rsidRPr="006E1F7A">
        <w:rPr>
          <w:rFonts w:cs="Times New Roman"/>
          <w:noProof/>
          <w:kern w:val="0"/>
        </w:rPr>
        <w:t>(1), 3–27. https://doi.org/10.1016/j.palaeo.2005.10.031</w:t>
      </w:r>
    </w:p>
    <w:p w14:paraId="30CA7D74"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Ruiz Murcia, F., &amp; Melo Franco, J. (2020). </w:t>
      </w:r>
      <w:r w:rsidRPr="006E1F7A">
        <w:rPr>
          <w:rFonts w:cs="Times New Roman"/>
          <w:i/>
          <w:iCs/>
          <w:noProof/>
          <w:kern w:val="0"/>
        </w:rPr>
        <w:t>Aspectos metodológicos de la predicción climática mensual de la precipitación en Colombia (Nota Técnica IDEAM–METEO/001-2020)</w:t>
      </w:r>
      <w:r w:rsidRPr="006E1F7A">
        <w:rPr>
          <w:rFonts w:cs="Times New Roman"/>
          <w:noProof/>
          <w:kern w:val="0"/>
        </w:rPr>
        <w:t>. https://bart.ideam.gov.co/wrfideam/new_modelo/DOCUMENTOS/2020/NT_001_2020.pdf</w:t>
      </w:r>
    </w:p>
    <w:p w14:paraId="633B9CD9"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Savenije, H. H. G., &amp; Van der Zaag, P. (2008). Integrated water resources management: Concepts and issues. </w:t>
      </w:r>
      <w:r w:rsidRPr="006E1F7A">
        <w:rPr>
          <w:rFonts w:cs="Times New Roman"/>
          <w:i/>
          <w:iCs/>
          <w:noProof/>
          <w:kern w:val="0"/>
        </w:rPr>
        <w:t>Physics and Chemistry of the Earth</w:t>
      </w:r>
      <w:r w:rsidRPr="006E1F7A">
        <w:rPr>
          <w:rFonts w:cs="Times New Roman"/>
          <w:noProof/>
          <w:kern w:val="0"/>
        </w:rPr>
        <w:t xml:space="preserve">, </w:t>
      </w:r>
      <w:r w:rsidRPr="006E1F7A">
        <w:rPr>
          <w:rFonts w:cs="Times New Roman"/>
          <w:i/>
          <w:iCs/>
          <w:noProof/>
          <w:kern w:val="0"/>
        </w:rPr>
        <w:t>33</w:t>
      </w:r>
      <w:r w:rsidRPr="006E1F7A">
        <w:rPr>
          <w:rFonts w:cs="Times New Roman"/>
          <w:noProof/>
          <w:kern w:val="0"/>
        </w:rPr>
        <w:t>(5), 290–297. https://doi.org/10.1016/j.pce.2008.02.003</w:t>
      </w:r>
    </w:p>
    <w:p w14:paraId="00FD20E4"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UN. (2002). </w:t>
      </w:r>
      <w:r w:rsidRPr="006E1F7A">
        <w:rPr>
          <w:rFonts w:cs="Times New Roman"/>
          <w:i/>
          <w:iCs/>
          <w:noProof/>
          <w:kern w:val="0"/>
        </w:rPr>
        <w:t>Report of the World Summit on Sustainable Development</w:t>
      </w:r>
      <w:r w:rsidRPr="006E1F7A">
        <w:rPr>
          <w:rFonts w:cs="Times New Roman"/>
          <w:noProof/>
          <w:kern w:val="0"/>
        </w:rPr>
        <w:t>. https://docs.un.org/en/A/CONF.199/20</w:t>
      </w:r>
    </w:p>
    <w:p w14:paraId="09E383C7"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UNESCO. (2024). </w:t>
      </w:r>
      <w:r w:rsidRPr="006E1F7A">
        <w:rPr>
          <w:rFonts w:cs="Times New Roman"/>
          <w:i/>
          <w:iCs/>
          <w:noProof/>
          <w:kern w:val="0"/>
        </w:rPr>
        <w:t>Guía para el uso de IA generativa en educación e investigación</w:t>
      </w:r>
      <w:r w:rsidRPr="006E1F7A">
        <w:rPr>
          <w:rFonts w:cs="Times New Roman"/>
          <w:noProof/>
          <w:kern w:val="0"/>
        </w:rPr>
        <w:t>. Organización de las Naciones Unidas para la Educación, la Ciencia y la Cultura. https://unesdoc.unesco.org/ark:/48223/pf0000389227</w:t>
      </w:r>
    </w:p>
    <w:p w14:paraId="78431E91"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Vallès</w:t>
      </w:r>
      <w:r w:rsidRPr="006E1F7A">
        <w:rPr>
          <w:rFonts w:ascii="Cambria Math" w:hAnsi="Cambria Math" w:cs="Cambria Math"/>
          <w:noProof/>
          <w:kern w:val="0"/>
        </w:rPr>
        <w:t>‐</w:t>
      </w:r>
      <w:r w:rsidRPr="006E1F7A">
        <w:rPr>
          <w:rFonts w:cs="Times New Roman"/>
          <w:noProof/>
          <w:kern w:val="0"/>
        </w:rPr>
        <w:t xml:space="preserve">Casanova, I., Lee, S., Foltz, G. R., &amp; Pelegrí, J. L. (2020). On the Spatiotemporal Diversity of Atlantic Niño and Associated Rainfall Variability Over West Africa and South America. </w:t>
      </w:r>
      <w:r w:rsidRPr="006E1F7A">
        <w:rPr>
          <w:rFonts w:cs="Times New Roman"/>
          <w:i/>
          <w:iCs/>
          <w:noProof/>
          <w:kern w:val="0"/>
        </w:rPr>
        <w:t>Geophysical Research Letters</w:t>
      </w:r>
      <w:r w:rsidRPr="006E1F7A">
        <w:rPr>
          <w:rFonts w:cs="Times New Roman"/>
          <w:noProof/>
          <w:kern w:val="0"/>
        </w:rPr>
        <w:t xml:space="preserve">, </w:t>
      </w:r>
      <w:r w:rsidRPr="006E1F7A">
        <w:rPr>
          <w:rFonts w:cs="Times New Roman"/>
          <w:i/>
          <w:iCs/>
          <w:noProof/>
          <w:kern w:val="0"/>
        </w:rPr>
        <w:t>47</w:t>
      </w:r>
      <w:r w:rsidRPr="006E1F7A">
        <w:rPr>
          <w:rFonts w:cs="Times New Roman"/>
          <w:noProof/>
          <w:kern w:val="0"/>
        </w:rPr>
        <w:t>(8), 1–10. https://doi.org/10.1029/2020GL087108</w:t>
      </w:r>
    </w:p>
    <w:p w14:paraId="41F88BA3"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Van Loon, A. F., Gleeson, T., Clark, J., Van Dijk, A. I. J. M., Stahl, K., Hannaford, J., Di Baldassarre, G., Teuling, A. J., Tallaksen, L. M., Uijlenhoet, R., Hannah, D. M., Sheffield, J., Svoboda, M., Verbeiren, B., Wagener, T., Rangecroft, S., Wanders, N., &amp; Van Lanen, H. A. J. (2016). Drought in the Anthropocene. </w:t>
      </w:r>
      <w:r w:rsidRPr="006E1F7A">
        <w:rPr>
          <w:rFonts w:cs="Times New Roman"/>
          <w:i/>
          <w:iCs/>
          <w:noProof/>
          <w:kern w:val="0"/>
        </w:rPr>
        <w:t>Nature Geoscience</w:t>
      </w:r>
      <w:r w:rsidRPr="006E1F7A">
        <w:rPr>
          <w:rFonts w:cs="Times New Roman"/>
          <w:noProof/>
          <w:kern w:val="0"/>
        </w:rPr>
        <w:t xml:space="preserve">, </w:t>
      </w:r>
      <w:r w:rsidRPr="006E1F7A">
        <w:rPr>
          <w:rFonts w:cs="Times New Roman"/>
          <w:i/>
          <w:iCs/>
          <w:noProof/>
          <w:kern w:val="0"/>
        </w:rPr>
        <w:t>9</w:t>
      </w:r>
      <w:r w:rsidRPr="006E1F7A">
        <w:rPr>
          <w:rFonts w:cs="Times New Roman"/>
          <w:noProof/>
          <w:kern w:val="0"/>
        </w:rPr>
        <w:t>(2), 89–91. https://doi.org/10.1038/ngeo2646</w:t>
      </w:r>
    </w:p>
    <w:p w14:paraId="7711BE1C"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Wandel, J., Paxian, A., Dalelane, C., Tyagi, A., Happ, A., &amp; Siefert, M. (2025, July 16). Seasonal forecasts of 100m Wind and solar radiation for Germany. </w:t>
      </w:r>
      <w:r w:rsidRPr="006E1F7A">
        <w:rPr>
          <w:rFonts w:cs="Times New Roman"/>
          <w:i/>
          <w:iCs/>
          <w:noProof/>
          <w:kern w:val="0"/>
        </w:rPr>
        <w:t>European Meteorological Society Annual Meeting</w:t>
      </w:r>
      <w:r w:rsidRPr="006E1F7A">
        <w:rPr>
          <w:rFonts w:cs="Times New Roman"/>
          <w:noProof/>
          <w:kern w:val="0"/>
        </w:rPr>
        <w:t>. https://doi.org/10.5194/ems2025-218</w:t>
      </w:r>
    </w:p>
    <w:p w14:paraId="7EB72676"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White, C. J., Carlsen, H., Robertson, A. W., Klein, R. J. T., Lazo, J. K., Kumar, A., Vitart, F., Coughlan de Perez, E., Ray, A. J., Murray, V., Bharwani, S., MacLeod, D., James, R., Fleming, L., Morse, A. P., Eggen, B., Graham, R., Kjellström, E., Becker, E., … Zebiak, S. E. (2017). Potential applications of subseasonal</w:t>
      </w:r>
      <w:r w:rsidRPr="006E1F7A">
        <w:rPr>
          <w:rFonts w:ascii="Cambria Math" w:hAnsi="Cambria Math" w:cs="Cambria Math"/>
          <w:noProof/>
          <w:kern w:val="0"/>
        </w:rPr>
        <w:t>‐</w:t>
      </w:r>
      <w:r w:rsidRPr="006E1F7A">
        <w:rPr>
          <w:rFonts w:cs="Times New Roman"/>
          <w:noProof/>
          <w:kern w:val="0"/>
        </w:rPr>
        <w:t>to</w:t>
      </w:r>
      <w:r w:rsidRPr="006E1F7A">
        <w:rPr>
          <w:rFonts w:ascii="Cambria Math" w:hAnsi="Cambria Math" w:cs="Cambria Math"/>
          <w:noProof/>
          <w:kern w:val="0"/>
        </w:rPr>
        <w:t>‐</w:t>
      </w:r>
      <w:r w:rsidRPr="006E1F7A">
        <w:rPr>
          <w:rFonts w:cs="Times New Roman"/>
          <w:noProof/>
          <w:kern w:val="0"/>
        </w:rPr>
        <w:t xml:space="preserve">seasonal (S2S) predictions. </w:t>
      </w:r>
      <w:r w:rsidRPr="006E1F7A">
        <w:rPr>
          <w:rFonts w:cs="Times New Roman"/>
          <w:i/>
          <w:iCs/>
          <w:noProof/>
          <w:kern w:val="0"/>
        </w:rPr>
        <w:t>Meteorological Applications</w:t>
      </w:r>
      <w:r w:rsidRPr="006E1F7A">
        <w:rPr>
          <w:rFonts w:cs="Times New Roman"/>
          <w:noProof/>
          <w:kern w:val="0"/>
        </w:rPr>
        <w:t xml:space="preserve">, </w:t>
      </w:r>
      <w:r w:rsidRPr="006E1F7A">
        <w:rPr>
          <w:rFonts w:cs="Times New Roman"/>
          <w:i/>
          <w:iCs/>
          <w:noProof/>
          <w:kern w:val="0"/>
        </w:rPr>
        <w:t>24</w:t>
      </w:r>
      <w:r w:rsidRPr="006E1F7A">
        <w:rPr>
          <w:rFonts w:cs="Times New Roman"/>
          <w:noProof/>
          <w:kern w:val="0"/>
        </w:rPr>
        <w:t>(3), 315–325. https://doi.org/10.1002/met.1654</w:t>
      </w:r>
    </w:p>
    <w:p w14:paraId="534B8B74"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Williams, P. D., Alexander, M. J., Barnes, E. A., Butler, A. H., Davies, H. C., Garfinkel, C. I., Kushnir, Y., Lane, T. P., Lundquist, J. K., Martius, O., Maue, R. N., Peltier, W. R., Sato, K., Scaife, A. A., &amp; Zhang, C. (2017). A Census of Atmospheric Variability From Seconds to Decades. </w:t>
      </w:r>
      <w:r w:rsidRPr="006E1F7A">
        <w:rPr>
          <w:rFonts w:cs="Times New Roman"/>
          <w:i/>
          <w:iCs/>
          <w:noProof/>
          <w:kern w:val="0"/>
        </w:rPr>
        <w:t>Geophysical Research Letters</w:t>
      </w:r>
      <w:r w:rsidRPr="006E1F7A">
        <w:rPr>
          <w:rFonts w:cs="Times New Roman"/>
          <w:noProof/>
          <w:kern w:val="0"/>
        </w:rPr>
        <w:t xml:space="preserve">, </w:t>
      </w:r>
      <w:r w:rsidRPr="006E1F7A">
        <w:rPr>
          <w:rFonts w:cs="Times New Roman"/>
          <w:i/>
          <w:iCs/>
          <w:noProof/>
          <w:kern w:val="0"/>
        </w:rPr>
        <w:t>44</w:t>
      </w:r>
      <w:r w:rsidRPr="006E1F7A">
        <w:rPr>
          <w:rFonts w:cs="Times New Roman"/>
          <w:noProof/>
          <w:kern w:val="0"/>
        </w:rPr>
        <w:t>(21), 11,201-11,211. https://doi.org/10.1002/2017GL075483</w:t>
      </w:r>
    </w:p>
    <w:p w14:paraId="1431D475" w14:textId="77777777" w:rsidR="006E1F7A" w:rsidRPr="006E1F7A" w:rsidRDefault="006E1F7A" w:rsidP="006E1F7A">
      <w:pPr>
        <w:widowControl w:val="0"/>
        <w:autoSpaceDE w:val="0"/>
        <w:autoSpaceDN w:val="0"/>
        <w:adjustRightInd w:val="0"/>
        <w:spacing w:line="240" w:lineRule="auto"/>
        <w:ind w:left="480" w:hanging="480"/>
        <w:rPr>
          <w:rFonts w:cs="Times New Roman"/>
          <w:noProof/>
          <w:kern w:val="0"/>
        </w:rPr>
      </w:pPr>
      <w:r w:rsidRPr="006E1F7A">
        <w:rPr>
          <w:rFonts w:cs="Times New Roman"/>
          <w:noProof/>
          <w:kern w:val="0"/>
        </w:rPr>
        <w:t xml:space="preserve">WMO. (2026). </w:t>
      </w:r>
      <w:r w:rsidRPr="006E1F7A">
        <w:rPr>
          <w:rFonts w:cs="Times New Roman"/>
          <w:i/>
          <w:iCs/>
          <w:noProof/>
          <w:kern w:val="0"/>
        </w:rPr>
        <w:t>What are Climate Services?</w:t>
      </w:r>
      <w:r w:rsidRPr="006E1F7A">
        <w:rPr>
          <w:rFonts w:cs="Times New Roman"/>
          <w:noProof/>
          <w:kern w:val="0"/>
        </w:rPr>
        <w:t xml:space="preserve"> Global Framework for Climate Services (GFCS). https://gfcs.wmo.int/site/global-framework-climate-services-gfcs/what-are-climate-services</w:t>
      </w:r>
    </w:p>
    <w:p w14:paraId="56B054E2" w14:textId="77777777" w:rsidR="006E1F7A" w:rsidRPr="006E1F7A" w:rsidRDefault="006E1F7A" w:rsidP="006E1F7A">
      <w:pPr>
        <w:widowControl w:val="0"/>
        <w:autoSpaceDE w:val="0"/>
        <w:autoSpaceDN w:val="0"/>
        <w:adjustRightInd w:val="0"/>
        <w:spacing w:line="240" w:lineRule="auto"/>
        <w:ind w:left="480" w:hanging="480"/>
        <w:rPr>
          <w:noProof/>
        </w:rPr>
      </w:pPr>
      <w:r w:rsidRPr="006E1F7A">
        <w:rPr>
          <w:rFonts w:cs="Times New Roman"/>
          <w:noProof/>
          <w:kern w:val="0"/>
        </w:rPr>
        <w:t xml:space="preserve">Zanin, P. R., Pareja-Quispe, D., &amp; Espinoza, J. (2024). Evapotranspiration in the Amazon Basin: Couplings, hydrological memory and water feedback. </w:t>
      </w:r>
      <w:r w:rsidRPr="006E1F7A">
        <w:rPr>
          <w:rFonts w:cs="Times New Roman"/>
          <w:i/>
          <w:iCs/>
          <w:noProof/>
          <w:kern w:val="0"/>
        </w:rPr>
        <w:t>Agricultural and Forest Meteorology</w:t>
      </w:r>
      <w:r w:rsidRPr="006E1F7A">
        <w:rPr>
          <w:rFonts w:cs="Times New Roman"/>
          <w:noProof/>
          <w:kern w:val="0"/>
        </w:rPr>
        <w:t xml:space="preserve">, </w:t>
      </w:r>
      <w:r w:rsidRPr="006E1F7A">
        <w:rPr>
          <w:rFonts w:cs="Times New Roman"/>
          <w:i/>
          <w:iCs/>
          <w:noProof/>
          <w:kern w:val="0"/>
        </w:rPr>
        <w:t>352</w:t>
      </w:r>
      <w:r w:rsidRPr="006E1F7A">
        <w:rPr>
          <w:rFonts w:cs="Times New Roman"/>
          <w:noProof/>
          <w:kern w:val="0"/>
        </w:rPr>
        <w:t>(April), 110040. https://doi.org/10.1016/j.agrformet.2024.110040</w:t>
      </w:r>
    </w:p>
    <w:p w14:paraId="139299C7" w14:textId="36530A44" w:rsidR="00EA0532" w:rsidRPr="00EA0532" w:rsidRDefault="00743AFA" w:rsidP="00743AFA">
      <w:pPr>
        <w:spacing w:line="276" w:lineRule="auto"/>
        <w:ind w:firstLine="0"/>
        <w:rPr>
          <w:lang w:val="es-ES"/>
        </w:rPr>
      </w:pPr>
      <w:r>
        <w:rPr>
          <w:lang w:val="es-ES"/>
        </w:rPr>
        <w:fldChar w:fldCharType="end"/>
      </w:r>
    </w:p>
    <w:sectPr w:rsidR="00EA0532" w:rsidRPr="00EA0532" w:rsidSect="00C21C14">
      <w:headerReference w:type="default" r:id="rId14"/>
      <w:footerReference w:type="default" r:id="rId15"/>
      <w:pgSz w:w="12240" w:h="15840"/>
      <w:pgMar w:top="1134" w:right="1077" w:bottom="113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FA44F" w14:textId="77777777" w:rsidR="006005C7" w:rsidRDefault="006005C7" w:rsidP="009A31D3">
      <w:pPr>
        <w:spacing w:after="0" w:line="240" w:lineRule="auto"/>
      </w:pPr>
      <w:r>
        <w:separator/>
      </w:r>
    </w:p>
  </w:endnote>
  <w:endnote w:type="continuationSeparator" w:id="0">
    <w:p w14:paraId="2D8C011C" w14:textId="77777777" w:rsidR="006005C7" w:rsidRDefault="006005C7" w:rsidP="009A3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0400358"/>
      <w:docPartObj>
        <w:docPartGallery w:val="Page Numbers (Bottom of Page)"/>
        <w:docPartUnique/>
      </w:docPartObj>
    </w:sdtPr>
    <w:sdtEndPr/>
    <w:sdtContent>
      <w:p w14:paraId="5738F691" w14:textId="2E66A7F3" w:rsidR="005B2577" w:rsidRDefault="005B2577">
        <w:pPr>
          <w:pStyle w:val="Piedepgina"/>
          <w:jc w:val="right"/>
        </w:pPr>
        <w:r>
          <w:fldChar w:fldCharType="begin"/>
        </w:r>
        <w:r>
          <w:instrText>PAGE   \* MERGEFORMAT</w:instrText>
        </w:r>
        <w:r>
          <w:fldChar w:fldCharType="separate"/>
        </w:r>
        <w:r>
          <w:rPr>
            <w:lang w:val="es-ES"/>
          </w:rPr>
          <w:t>2</w:t>
        </w:r>
        <w:r>
          <w:fldChar w:fldCharType="end"/>
        </w:r>
      </w:p>
    </w:sdtContent>
  </w:sdt>
  <w:p w14:paraId="2FBC2785" w14:textId="77777777" w:rsidR="005B2577" w:rsidRDefault="005B25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9FBDB" w14:textId="77777777" w:rsidR="006005C7" w:rsidRDefault="006005C7" w:rsidP="009A31D3">
      <w:pPr>
        <w:spacing w:after="0" w:line="240" w:lineRule="auto"/>
      </w:pPr>
      <w:r>
        <w:separator/>
      </w:r>
    </w:p>
  </w:footnote>
  <w:footnote w:type="continuationSeparator" w:id="0">
    <w:p w14:paraId="4915AB1A" w14:textId="77777777" w:rsidR="006005C7" w:rsidRDefault="006005C7" w:rsidP="009A31D3">
      <w:pPr>
        <w:spacing w:after="0" w:line="240" w:lineRule="auto"/>
      </w:pPr>
      <w:r>
        <w:continuationSeparator/>
      </w:r>
    </w:p>
  </w:footnote>
  <w:footnote w:id="1">
    <w:p w14:paraId="68BF2559" w14:textId="562483AF" w:rsidR="00552C77" w:rsidRPr="00552C77" w:rsidRDefault="00552C77">
      <w:pPr>
        <w:pStyle w:val="Textonotapie"/>
        <w:rPr>
          <w:lang w:val="es-ES"/>
        </w:rPr>
      </w:pPr>
      <w:r>
        <w:rPr>
          <w:rStyle w:val="Refdenotaalpie"/>
        </w:rPr>
        <w:footnoteRef/>
      </w:r>
      <w:r>
        <w:t xml:space="preserve"> </w:t>
      </w:r>
      <w:r w:rsidRPr="00A8762E">
        <w:rPr>
          <w:sz w:val="22"/>
          <w:szCs w:val="22"/>
          <w:lang w:val="es-ES"/>
        </w:rPr>
        <w:t xml:space="preserve">Los pronósticos </w:t>
      </w:r>
      <w:r w:rsidR="006D632B" w:rsidRPr="00A8762E">
        <w:rPr>
          <w:sz w:val="22"/>
          <w:szCs w:val="22"/>
          <w:lang w:val="es-ES"/>
        </w:rPr>
        <w:t>mensuales y estacionales del IDEAM son realizados con la herramienta CPT desarrollada por el IRI-Columbia university</w:t>
      </w:r>
      <w:r w:rsidR="00A8762E" w:rsidRPr="00A8762E">
        <w:rPr>
          <w:sz w:val="22"/>
          <w:szCs w:val="22"/>
          <w:lang w:val="es-ES"/>
        </w:rPr>
        <w:t xml:space="preserve"> </w:t>
      </w:r>
      <w:r w:rsidR="00A8762E" w:rsidRPr="00A8762E">
        <w:rPr>
          <w:sz w:val="22"/>
          <w:szCs w:val="22"/>
          <w:lang w:val="es-ES"/>
        </w:rPr>
        <w:fldChar w:fldCharType="begin" w:fldLock="1"/>
      </w:r>
      <w:r w:rsidR="00C402A2">
        <w:rPr>
          <w:sz w:val="22"/>
          <w:szCs w:val="22"/>
          <w:lang w:val="es-ES"/>
        </w:rPr>
        <w:instrText>ADDIN CSL_CITATION {"citationItems":[{"id":"ITEM-1","itemData":{"author":[{"dropping-particle":"","family":"Ruiz Murcia","given":"Franklin","non-dropping-particle":"","parse-names":false,"suffix":""},{"dropping-particle":"","family":"Melo Franco","given":"J","non-dropping-particle":"","parse-names":false,"suffix":""}],"id":"ITEM-1","issued":{"date-parts":[["2020"]]},"title":"Aspectos metodológicos de la predicción climática mensual de la precipitación en Colombia (Nota Técnica IDEAM–METEO/001-2020)","type":"report"},"uris":["http://www.mendeley.com/documents/?uuid=50d64fe8-7ac3-4574-9ece-0b0f75e0d7f2"]}],"mendeley":{"formattedCitation":"(Ruiz Murcia &amp; Melo Franco, 2020)","plainTextFormattedCitation":"(Ruiz Murcia &amp; Melo Franco, 2020)","previouslyFormattedCitation":"(Ruiz Murcia &amp; Melo Franco, 2020)"},"properties":{"noteIndex":0},"schema":"https://github.com/citation-style-language/schema/raw/master/csl-citation.json"}</w:instrText>
      </w:r>
      <w:r w:rsidR="00A8762E" w:rsidRPr="00A8762E">
        <w:rPr>
          <w:sz w:val="22"/>
          <w:szCs w:val="22"/>
          <w:lang w:val="es-ES"/>
        </w:rPr>
        <w:fldChar w:fldCharType="separate"/>
      </w:r>
      <w:r w:rsidR="00A8762E" w:rsidRPr="00A8762E">
        <w:rPr>
          <w:noProof/>
          <w:sz w:val="22"/>
          <w:szCs w:val="22"/>
          <w:lang w:val="es-ES"/>
        </w:rPr>
        <w:t>(Ruiz Murcia &amp; Melo Franco, 2020)</w:t>
      </w:r>
      <w:r w:rsidR="00A8762E" w:rsidRPr="00A8762E">
        <w:rPr>
          <w:sz w:val="22"/>
          <w:szCs w:val="22"/>
          <w:lang w:val="es-ES"/>
        </w:rPr>
        <w:fldChar w:fldCharType="end"/>
      </w:r>
      <w:r w:rsidR="00A8762E" w:rsidRPr="00A8762E">
        <w:rPr>
          <w:sz w:val="22"/>
          <w:szCs w:val="22"/>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B639" w14:textId="47720EA3" w:rsidR="009A31D3" w:rsidRPr="00F91A9B" w:rsidRDefault="00F163CC">
    <w:pPr>
      <w:pStyle w:val="Encabezado"/>
    </w:pPr>
    <w:r w:rsidRPr="00F91A9B">
      <w:t>Nicolás Duque Gardeazábal</w:t>
    </w:r>
    <w:r w:rsidR="009A31D3" w:rsidRPr="00F91A9B">
      <w:ptab w:relativeTo="margin" w:alignment="center" w:leader="none"/>
    </w:r>
    <w:r w:rsidR="00F91A9B" w:rsidRPr="00F91A9B">
      <w:t>Perfil E2</w:t>
    </w:r>
    <w:r w:rsidR="005A478C">
      <w:t xml:space="preserve">, </w:t>
    </w:r>
    <w:r w:rsidR="007E5BE9">
      <w:t>Análisis</w:t>
    </w:r>
    <w:r w:rsidR="00483210">
      <w:t xml:space="preserve"> </w:t>
    </w:r>
    <w:r w:rsidR="006E73B9">
      <w:t xml:space="preserve">y planificación </w:t>
    </w:r>
    <w:r w:rsidR="00483210">
      <w:t>del</w:t>
    </w:r>
    <w:r w:rsidR="00114AB4">
      <w:t xml:space="preserve"> </w:t>
    </w:r>
    <w:r w:rsidR="00483210">
      <w:t>recurso hídrico</w:t>
    </w:r>
    <w:r w:rsidR="009A31D3" w:rsidRPr="00F91A9B">
      <w:ptab w:relativeTo="margin" w:alignment="right" w:leader="none"/>
    </w:r>
    <w:r w:rsidR="00CA4D55">
      <w:t>UNAL</w:t>
    </w:r>
    <w:r w:rsidR="00F91A9B" w:rsidRPr="00F91A9B">
      <w:t xml:space="preserve"> </w:t>
    </w:r>
    <w:r w:rsidR="00CA4D55">
      <w:t xml:space="preserve">Res. </w:t>
    </w:r>
    <w:r w:rsidR="00F91A9B" w:rsidRPr="00F91A9B">
      <w:t>No. 5690 de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11FBF"/>
    <w:multiLevelType w:val="hybridMultilevel"/>
    <w:tmpl w:val="4DE24EEE"/>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5AE348D"/>
    <w:multiLevelType w:val="hybridMultilevel"/>
    <w:tmpl w:val="727A43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154923"/>
    <w:multiLevelType w:val="hybridMultilevel"/>
    <w:tmpl w:val="EE446C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70D5B8A"/>
    <w:multiLevelType w:val="hybridMultilevel"/>
    <w:tmpl w:val="1EC0190E"/>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 w15:restartNumberingAfterBreak="0">
    <w:nsid w:val="5D4740D7"/>
    <w:multiLevelType w:val="hybridMultilevel"/>
    <w:tmpl w:val="DEE6CD80"/>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738D3CA6"/>
    <w:multiLevelType w:val="hybridMultilevel"/>
    <w:tmpl w:val="298C52B2"/>
    <w:lvl w:ilvl="0" w:tplc="5A8C1AA2">
      <w:start w:val="4"/>
      <w:numFmt w:val="decimal"/>
      <w:lvlText w:val="%1."/>
      <w:lvlJc w:val="left"/>
      <w:pPr>
        <w:ind w:left="100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AE44D89"/>
    <w:multiLevelType w:val="hybridMultilevel"/>
    <w:tmpl w:val="A34C2A70"/>
    <w:lvl w:ilvl="0" w:tplc="1B76EDF8">
      <w:start w:val="6"/>
      <w:numFmt w:val="decimal"/>
      <w:lvlText w:val="%1."/>
      <w:lvlJc w:val="left"/>
      <w:pPr>
        <w:ind w:left="100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41434020">
    <w:abstractNumId w:val="3"/>
  </w:num>
  <w:num w:numId="2" w16cid:durableId="671840686">
    <w:abstractNumId w:val="4"/>
  </w:num>
  <w:num w:numId="3" w16cid:durableId="968321633">
    <w:abstractNumId w:val="2"/>
  </w:num>
  <w:num w:numId="4" w16cid:durableId="2075277112">
    <w:abstractNumId w:val="1"/>
  </w:num>
  <w:num w:numId="5" w16cid:durableId="316763536">
    <w:abstractNumId w:val="5"/>
  </w:num>
  <w:num w:numId="6" w16cid:durableId="1701852523">
    <w:abstractNumId w:val="0"/>
  </w:num>
  <w:num w:numId="7" w16cid:durableId="20497970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532"/>
    <w:rsid w:val="00001288"/>
    <w:rsid w:val="00001773"/>
    <w:rsid w:val="00001921"/>
    <w:rsid w:val="00002041"/>
    <w:rsid w:val="0000209B"/>
    <w:rsid w:val="0000406C"/>
    <w:rsid w:val="00004CEE"/>
    <w:rsid w:val="00005A3C"/>
    <w:rsid w:val="00005E92"/>
    <w:rsid w:val="00006F40"/>
    <w:rsid w:val="00006FFE"/>
    <w:rsid w:val="00012070"/>
    <w:rsid w:val="00012438"/>
    <w:rsid w:val="0001437D"/>
    <w:rsid w:val="0001682B"/>
    <w:rsid w:val="0001712A"/>
    <w:rsid w:val="00017D6C"/>
    <w:rsid w:val="00017EA6"/>
    <w:rsid w:val="000200A9"/>
    <w:rsid w:val="00021A5C"/>
    <w:rsid w:val="0002224E"/>
    <w:rsid w:val="00023316"/>
    <w:rsid w:val="00023B22"/>
    <w:rsid w:val="000244FD"/>
    <w:rsid w:val="0002540A"/>
    <w:rsid w:val="00025F9B"/>
    <w:rsid w:val="0002752E"/>
    <w:rsid w:val="00034795"/>
    <w:rsid w:val="00036B06"/>
    <w:rsid w:val="0003793A"/>
    <w:rsid w:val="00041953"/>
    <w:rsid w:val="00042FC4"/>
    <w:rsid w:val="00044BF5"/>
    <w:rsid w:val="00045699"/>
    <w:rsid w:val="000459C8"/>
    <w:rsid w:val="00045C48"/>
    <w:rsid w:val="000463E3"/>
    <w:rsid w:val="00046B48"/>
    <w:rsid w:val="00046FDE"/>
    <w:rsid w:val="000471BA"/>
    <w:rsid w:val="000502F7"/>
    <w:rsid w:val="0005139F"/>
    <w:rsid w:val="000514E0"/>
    <w:rsid w:val="00052B17"/>
    <w:rsid w:val="00054C58"/>
    <w:rsid w:val="0005507A"/>
    <w:rsid w:val="000567D0"/>
    <w:rsid w:val="00057E99"/>
    <w:rsid w:val="0006112A"/>
    <w:rsid w:val="000628A7"/>
    <w:rsid w:val="00070D8D"/>
    <w:rsid w:val="0007137B"/>
    <w:rsid w:val="0007273F"/>
    <w:rsid w:val="00072A00"/>
    <w:rsid w:val="000732BB"/>
    <w:rsid w:val="00075320"/>
    <w:rsid w:val="00080C38"/>
    <w:rsid w:val="00080DAD"/>
    <w:rsid w:val="00081B92"/>
    <w:rsid w:val="00081DCF"/>
    <w:rsid w:val="0008334C"/>
    <w:rsid w:val="00085167"/>
    <w:rsid w:val="000877C8"/>
    <w:rsid w:val="00090EDB"/>
    <w:rsid w:val="00091503"/>
    <w:rsid w:val="00092ED1"/>
    <w:rsid w:val="00094AD2"/>
    <w:rsid w:val="00095906"/>
    <w:rsid w:val="00096181"/>
    <w:rsid w:val="00097025"/>
    <w:rsid w:val="000A124F"/>
    <w:rsid w:val="000A1F49"/>
    <w:rsid w:val="000A4836"/>
    <w:rsid w:val="000A5608"/>
    <w:rsid w:val="000A5C44"/>
    <w:rsid w:val="000A5CED"/>
    <w:rsid w:val="000B0387"/>
    <w:rsid w:val="000B0606"/>
    <w:rsid w:val="000B0769"/>
    <w:rsid w:val="000B19AC"/>
    <w:rsid w:val="000B1CC0"/>
    <w:rsid w:val="000B2200"/>
    <w:rsid w:val="000B31E3"/>
    <w:rsid w:val="000B3A18"/>
    <w:rsid w:val="000B5BEC"/>
    <w:rsid w:val="000C09EF"/>
    <w:rsid w:val="000C2C61"/>
    <w:rsid w:val="000C3D86"/>
    <w:rsid w:val="000C4E29"/>
    <w:rsid w:val="000C5301"/>
    <w:rsid w:val="000C7BFA"/>
    <w:rsid w:val="000D022A"/>
    <w:rsid w:val="000D153A"/>
    <w:rsid w:val="000D3D4C"/>
    <w:rsid w:val="000D3F94"/>
    <w:rsid w:val="000D50F9"/>
    <w:rsid w:val="000D5829"/>
    <w:rsid w:val="000D5985"/>
    <w:rsid w:val="000D694A"/>
    <w:rsid w:val="000D6DAF"/>
    <w:rsid w:val="000E12D0"/>
    <w:rsid w:val="000F300C"/>
    <w:rsid w:val="000F4F99"/>
    <w:rsid w:val="000F5284"/>
    <w:rsid w:val="000F58F6"/>
    <w:rsid w:val="000F7592"/>
    <w:rsid w:val="00100F7C"/>
    <w:rsid w:val="001011AB"/>
    <w:rsid w:val="0010176B"/>
    <w:rsid w:val="001038A0"/>
    <w:rsid w:val="00103CB8"/>
    <w:rsid w:val="001048D5"/>
    <w:rsid w:val="001050BB"/>
    <w:rsid w:val="00105A43"/>
    <w:rsid w:val="00105F5E"/>
    <w:rsid w:val="00107703"/>
    <w:rsid w:val="00110C8E"/>
    <w:rsid w:val="00111A11"/>
    <w:rsid w:val="001135C6"/>
    <w:rsid w:val="00113834"/>
    <w:rsid w:val="00113B99"/>
    <w:rsid w:val="00114AB4"/>
    <w:rsid w:val="00115CD8"/>
    <w:rsid w:val="001178D2"/>
    <w:rsid w:val="00117968"/>
    <w:rsid w:val="00120BEB"/>
    <w:rsid w:val="00121540"/>
    <w:rsid w:val="00122E56"/>
    <w:rsid w:val="001234B4"/>
    <w:rsid w:val="001247FF"/>
    <w:rsid w:val="00127346"/>
    <w:rsid w:val="00127D6D"/>
    <w:rsid w:val="00130956"/>
    <w:rsid w:val="00130AE9"/>
    <w:rsid w:val="00131248"/>
    <w:rsid w:val="0013357C"/>
    <w:rsid w:val="001336B5"/>
    <w:rsid w:val="0013682F"/>
    <w:rsid w:val="00136D5B"/>
    <w:rsid w:val="00137804"/>
    <w:rsid w:val="0014536A"/>
    <w:rsid w:val="00150C88"/>
    <w:rsid w:val="00151138"/>
    <w:rsid w:val="00151BC5"/>
    <w:rsid w:val="00152496"/>
    <w:rsid w:val="00153C69"/>
    <w:rsid w:val="00153D01"/>
    <w:rsid w:val="00156FDB"/>
    <w:rsid w:val="0015721E"/>
    <w:rsid w:val="00160E4D"/>
    <w:rsid w:val="00161123"/>
    <w:rsid w:val="00162435"/>
    <w:rsid w:val="00162DAB"/>
    <w:rsid w:val="001634E9"/>
    <w:rsid w:val="00165AC0"/>
    <w:rsid w:val="00165B41"/>
    <w:rsid w:val="00166209"/>
    <w:rsid w:val="001663CC"/>
    <w:rsid w:val="00166C05"/>
    <w:rsid w:val="0017174D"/>
    <w:rsid w:val="00172CC3"/>
    <w:rsid w:val="001759B2"/>
    <w:rsid w:val="00176285"/>
    <w:rsid w:val="00176C4C"/>
    <w:rsid w:val="0018477F"/>
    <w:rsid w:val="00184E42"/>
    <w:rsid w:val="00187517"/>
    <w:rsid w:val="001900BF"/>
    <w:rsid w:val="001972EC"/>
    <w:rsid w:val="001976CA"/>
    <w:rsid w:val="001A094C"/>
    <w:rsid w:val="001A1251"/>
    <w:rsid w:val="001A3308"/>
    <w:rsid w:val="001A5310"/>
    <w:rsid w:val="001A6890"/>
    <w:rsid w:val="001B0EB5"/>
    <w:rsid w:val="001B4FC3"/>
    <w:rsid w:val="001B6198"/>
    <w:rsid w:val="001B7AB9"/>
    <w:rsid w:val="001C265C"/>
    <w:rsid w:val="001C4F04"/>
    <w:rsid w:val="001C5A16"/>
    <w:rsid w:val="001D02A3"/>
    <w:rsid w:val="001D043D"/>
    <w:rsid w:val="001D092F"/>
    <w:rsid w:val="001D0D26"/>
    <w:rsid w:val="001D1775"/>
    <w:rsid w:val="001D20FC"/>
    <w:rsid w:val="001D2A25"/>
    <w:rsid w:val="001D4587"/>
    <w:rsid w:val="001D60F9"/>
    <w:rsid w:val="001E3134"/>
    <w:rsid w:val="001E463F"/>
    <w:rsid w:val="001E467D"/>
    <w:rsid w:val="001E4B3E"/>
    <w:rsid w:val="001F4813"/>
    <w:rsid w:val="001F7F42"/>
    <w:rsid w:val="001F7FAA"/>
    <w:rsid w:val="00201DFF"/>
    <w:rsid w:val="002063DF"/>
    <w:rsid w:val="00206725"/>
    <w:rsid w:val="002068F0"/>
    <w:rsid w:val="002069D0"/>
    <w:rsid w:val="00207A78"/>
    <w:rsid w:val="00210796"/>
    <w:rsid w:val="00210FEC"/>
    <w:rsid w:val="00211BEE"/>
    <w:rsid w:val="0021207C"/>
    <w:rsid w:val="00213967"/>
    <w:rsid w:val="00214E23"/>
    <w:rsid w:val="002153F8"/>
    <w:rsid w:val="002179E0"/>
    <w:rsid w:val="00220970"/>
    <w:rsid w:val="00223FD9"/>
    <w:rsid w:val="002261DB"/>
    <w:rsid w:val="00227040"/>
    <w:rsid w:val="00231AD2"/>
    <w:rsid w:val="00231DE3"/>
    <w:rsid w:val="00232E20"/>
    <w:rsid w:val="002333C1"/>
    <w:rsid w:val="002350E2"/>
    <w:rsid w:val="00237465"/>
    <w:rsid w:val="00241B91"/>
    <w:rsid w:val="00242DFF"/>
    <w:rsid w:val="00243C4D"/>
    <w:rsid w:val="00250228"/>
    <w:rsid w:val="00254596"/>
    <w:rsid w:val="0025728B"/>
    <w:rsid w:val="00263487"/>
    <w:rsid w:val="0026495B"/>
    <w:rsid w:val="002705CB"/>
    <w:rsid w:val="00271171"/>
    <w:rsid w:val="0027589E"/>
    <w:rsid w:val="0027764F"/>
    <w:rsid w:val="0027793B"/>
    <w:rsid w:val="002801CB"/>
    <w:rsid w:val="002815F4"/>
    <w:rsid w:val="00281648"/>
    <w:rsid w:val="002819D4"/>
    <w:rsid w:val="00282229"/>
    <w:rsid w:val="002838E3"/>
    <w:rsid w:val="0028417B"/>
    <w:rsid w:val="0028760C"/>
    <w:rsid w:val="0029028E"/>
    <w:rsid w:val="0029105B"/>
    <w:rsid w:val="002928CD"/>
    <w:rsid w:val="00295782"/>
    <w:rsid w:val="002958D0"/>
    <w:rsid w:val="00296209"/>
    <w:rsid w:val="00297DBF"/>
    <w:rsid w:val="002A011D"/>
    <w:rsid w:val="002A2295"/>
    <w:rsid w:val="002A2421"/>
    <w:rsid w:val="002A62D7"/>
    <w:rsid w:val="002A789F"/>
    <w:rsid w:val="002B5319"/>
    <w:rsid w:val="002B53C8"/>
    <w:rsid w:val="002B56C4"/>
    <w:rsid w:val="002B65CA"/>
    <w:rsid w:val="002B75F6"/>
    <w:rsid w:val="002C31FB"/>
    <w:rsid w:val="002C32CF"/>
    <w:rsid w:val="002C3471"/>
    <w:rsid w:val="002C3A83"/>
    <w:rsid w:val="002C4721"/>
    <w:rsid w:val="002C5C31"/>
    <w:rsid w:val="002C6A15"/>
    <w:rsid w:val="002D224E"/>
    <w:rsid w:val="002D2872"/>
    <w:rsid w:val="002D4FCF"/>
    <w:rsid w:val="002E356B"/>
    <w:rsid w:val="002E3A09"/>
    <w:rsid w:val="002E4B76"/>
    <w:rsid w:val="002E54E5"/>
    <w:rsid w:val="002E5F99"/>
    <w:rsid w:val="002E76E8"/>
    <w:rsid w:val="002F1067"/>
    <w:rsid w:val="002F1D24"/>
    <w:rsid w:val="002F2AEA"/>
    <w:rsid w:val="002F5A49"/>
    <w:rsid w:val="002F5CFF"/>
    <w:rsid w:val="00300741"/>
    <w:rsid w:val="003008CA"/>
    <w:rsid w:val="003075B4"/>
    <w:rsid w:val="00307989"/>
    <w:rsid w:val="003117F9"/>
    <w:rsid w:val="003138F0"/>
    <w:rsid w:val="0031519F"/>
    <w:rsid w:val="003153CF"/>
    <w:rsid w:val="00317555"/>
    <w:rsid w:val="003176D1"/>
    <w:rsid w:val="003177A7"/>
    <w:rsid w:val="00321C6D"/>
    <w:rsid w:val="00322C47"/>
    <w:rsid w:val="00322EB3"/>
    <w:rsid w:val="00323C0F"/>
    <w:rsid w:val="00324673"/>
    <w:rsid w:val="00324B7F"/>
    <w:rsid w:val="00325A01"/>
    <w:rsid w:val="00326DA8"/>
    <w:rsid w:val="00326F2F"/>
    <w:rsid w:val="00331720"/>
    <w:rsid w:val="0033186B"/>
    <w:rsid w:val="00332CB4"/>
    <w:rsid w:val="00333102"/>
    <w:rsid w:val="00337D0F"/>
    <w:rsid w:val="003407E0"/>
    <w:rsid w:val="00347241"/>
    <w:rsid w:val="00350FE7"/>
    <w:rsid w:val="00354FD4"/>
    <w:rsid w:val="0035595F"/>
    <w:rsid w:val="003577DD"/>
    <w:rsid w:val="003621C3"/>
    <w:rsid w:val="003636AB"/>
    <w:rsid w:val="00363B53"/>
    <w:rsid w:val="00365317"/>
    <w:rsid w:val="0037003C"/>
    <w:rsid w:val="003701DE"/>
    <w:rsid w:val="00371736"/>
    <w:rsid w:val="0037345D"/>
    <w:rsid w:val="00377E9F"/>
    <w:rsid w:val="00380E39"/>
    <w:rsid w:val="00381732"/>
    <w:rsid w:val="00381803"/>
    <w:rsid w:val="00381B3F"/>
    <w:rsid w:val="003839D3"/>
    <w:rsid w:val="00383C1E"/>
    <w:rsid w:val="00384287"/>
    <w:rsid w:val="00384C1F"/>
    <w:rsid w:val="00385CDF"/>
    <w:rsid w:val="003901A3"/>
    <w:rsid w:val="0039062D"/>
    <w:rsid w:val="00391FB1"/>
    <w:rsid w:val="00392B25"/>
    <w:rsid w:val="00392D08"/>
    <w:rsid w:val="00393EBB"/>
    <w:rsid w:val="003944CE"/>
    <w:rsid w:val="0039692F"/>
    <w:rsid w:val="00397EDD"/>
    <w:rsid w:val="003A1604"/>
    <w:rsid w:val="003A278E"/>
    <w:rsid w:val="003A2E67"/>
    <w:rsid w:val="003A3221"/>
    <w:rsid w:val="003A38AF"/>
    <w:rsid w:val="003A3FAA"/>
    <w:rsid w:val="003A7D30"/>
    <w:rsid w:val="003B3B6E"/>
    <w:rsid w:val="003B497B"/>
    <w:rsid w:val="003B7A09"/>
    <w:rsid w:val="003C55CE"/>
    <w:rsid w:val="003C58BC"/>
    <w:rsid w:val="003D169C"/>
    <w:rsid w:val="003D2FC5"/>
    <w:rsid w:val="003D74BD"/>
    <w:rsid w:val="003D7E17"/>
    <w:rsid w:val="003E5D02"/>
    <w:rsid w:val="003F0764"/>
    <w:rsid w:val="00400934"/>
    <w:rsid w:val="00402E54"/>
    <w:rsid w:val="00404DA1"/>
    <w:rsid w:val="00405C88"/>
    <w:rsid w:val="00405D87"/>
    <w:rsid w:val="00405E7D"/>
    <w:rsid w:val="00406EE1"/>
    <w:rsid w:val="00410734"/>
    <w:rsid w:val="00412AF6"/>
    <w:rsid w:val="00413DBE"/>
    <w:rsid w:val="004153E7"/>
    <w:rsid w:val="004205C7"/>
    <w:rsid w:val="00425068"/>
    <w:rsid w:val="004277AE"/>
    <w:rsid w:val="004300F0"/>
    <w:rsid w:val="00432309"/>
    <w:rsid w:val="004329E5"/>
    <w:rsid w:val="004340C1"/>
    <w:rsid w:val="0043524F"/>
    <w:rsid w:val="00435EC0"/>
    <w:rsid w:val="00437F84"/>
    <w:rsid w:val="00440A78"/>
    <w:rsid w:val="004421BC"/>
    <w:rsid w:val="00442A47"/>
    <w:rsid w:val="004472D6"/>
    <w:rsid w:val="00447422"/>
    <w:rsid w:val="0045154D"/>
    <w:rsid w:val="00451582"/>
    <w:rsid w:val="00453EBC"/>
    <w:rsid w:val="00461A93"/>
    <w:rsid w:val="00463F54"/>
    <w:rsid w:val="00464D3D"/>
    <w:rsid w:val="00466DA4"/>
    <w:rsid w:val="0046712A"/>
    <w:rsid w:val="00470B63"/>
    <w:rsid w:val="0047429F"/>
    <w:rsid w:val="00474FA5"/>
    <w:rsid w:val="00475587"/>
    <w:rsid w:val="00483210"/>
    <w:rsid w:val="00485FFF"/>
    <w:rsid w:val="004874B2"/>
    <w:rsid w:val="004875F3"/>
    <w:rsid w:val="004879DA"/>
    <w:rsid w:val="0049093E"/>
    <w:rsid w:val="00491382"/>
    <w:rsid w:val="004931F7"/>
    <w:rsid w:val="0049349C"/>
    <w:rsid w:val="0049365B"/>
    <w:rsid w:val="00497947"/>
    <w:rsid w:val="004A19BD"/>
    <w:rsid w:val="004A3563"/>
    <w:rsid w:val="004A4AC0"/>
    <w:rsid w:val="004A51DD"/>
    <w:rsid w:val="004A52AE"/>
    <w:rsid w:val="004A6E8C"/>
    <w:rsid w:val="004B2634"/>
    <w:rsid w:val="004B2FE0"/>
    <w:rsid w:val="004B46F8"/>
    <w:rsid w:val="004B6710"/>
    <w:rsid w:val="004C11A4"/>
    <w:rsid w:val="004C13C4"/>
    <w:rsid w:val="004C38BE"/>
    <w:rsid w:val="004C53C3"/>
    <w:rsid w:val="004C5AE1"/>
    <w:rsid w:val="004C730F"/>
    <w:rsid w:val="004C7E2A"/>
    <w:rsid w:val="004D3E7F"/>
    <w:rsid w:val="004D5CD6"/>
    <w:rsid w:val="004E1992"/>
    <w:rsid w:val="004F4506"/>
    <w:rsid w:val="004F5533"/>
    <w:rsid w:val="004F739D"/>
    <w:rsid w:val="004F79E6"/>
    <w:rsid w:val="00500ED4"/>
    <w:rsid w:val="00501C0A"/>
    <w:rsid w:val="00511F67"/>
    <w:rsid w:val="005149A8"/>
    <w:rsid w:val="00514B71"/>
    <w:rsid w:val="005207B8"/>
    <w:rsid w:val="0052156B"/>
    <w:rsid w:val="00521FA0"/>
    <w:rsid w:val="0052324F"/>
    <w:rsid w:val="00530862"/>
    <w:rsid w:val="00530F0D"/>
    <w:rsid w:val="00531882"/>
    <w:rsid w:val="00531C94"/>
    <w:rsid w:val="005327E5"/>
    <w:rsid w:val="00532FB0"/>
    <w:rsid w:val="005364BC"/>
    <w:rsid w:val="00536FE7"/>
    <w:rsid w:val="00543638"/>
    <w:rsid w:val="00543A7C"/>
    <w:rsid w:val="005446D9"/>
    <w:rsid w:val="005503E9"/>
    <w:rsid w:val="005511E6"/>
    <w:rsid w:val="00552C77"/>
    <w:rsid w:val="00552EFB"/>
    <w:rsid w:val="005562D2"/>
    <w:rsid w:val="00560901"/>
    <w:rsid w:val="0056269A"/>
    <w:rsid w:val="00564E34"/>
    <w:rsid w:val="00565457"/>
    <w:rsid w:val="0056611E"/>
    <w:rsid w:val="0056676C"/>
    <w:rsid w:val="0056759D"/>
    <w:rsid w:val="00567B9A"/>
    <w:rsid w:val="005708B9"/>
    <w:rsid w:val="00571D49"/>
    <w:rsid w:val="00571E2B"/>
    <w:rsid w:val="00573975"/>
    <w:rsid w:val="00573AFA"/>
    <w:rsid w:val="0057553F"/>
    <w:rsid w:val="00575701"/>
    <w:rsid w:val="0057681B"/>
    <w:rsid w:val="00576CC4"/>
    <w:rsid w:val="00577F5F"/>
    <w:rsid w:val="005811F8"/>
    <w:rsid w:val="00581338"/>
    <w:rsid w:val="0058147C"/>
    <w:rsid w:val="00581718"/>
    <w:rsid w:val="005837A4"/>
    <w:rsid w:val="005922FF"/>
    <w:rsid w:val="00593CDC"/>
    <w:rsid w:val="005955BE"/>
    <w:rsid w:val="00596E32"/>
    <w:rsid w:val="005974EB"/>
    <w:rsid w:val="005A12BB"/>
    <w:rsid w:val="005A478C"/>
    <w:rsid w:val="005A5311"/>
    <w:rsid w:val="005B0D09"/>
    <w:rsid w:val="005B2343"/>
    <w:rsid w:val="005B2577"/>
    <w:rsid w:val="005B33CB"/>
    <w:rsid w:val="005B3734"/>
    <w:rsid w:val="005B5B7E"/>
    <w:rsid w:val="005C0851"/>
    <w:rsid w:val="005C3F6E"/>
    <w:rsid w:val="005C47C4"/>
    <w:rsid w:val="005C6F6B"/>
    <w:rsid w:val="005C7398"/>
    <w:rsid w:val="005C7F15"/>
    <w:rsid w:val="005D146D"/>
    <w:rsid w:val="005D1774"/>
    <w:rsid w:val="005E180A"/>
    <w:rsid w:val="005E3469"/>
    <w:rsid w:val="005E51B7"/>
    <w:rsid w:val="005E7144"/>
    <w:rsid w:val="005E7672"/>
    <w:rsid w:val="005F0003"/>
    <w:rsid w:val="005F0F06"/>
    <w:rsid w:val="005F11CD"/>
    <w:rsid w:val="005F591E"/>
    <w:rsid w:val="006005C7"/>
    <w:rsid w:val="0060182D"/>
    <w:rsid w:val="00601B09"/>
    <w:rsid w:val="00605EB4"/>
    <w:rsid w:val="00606426"/>
    <w:rsid w:val="00606B90"/>
    <w:rsid w:val="00610F5E"/>
    <w:rsid w:val="006124EA"/>
    <w:rsid w:val="00615320"/>
    <w:rsid w:val="00615D40"/>
    <w:rsid w:val="006166A9"/>
    <w:rsid w:val="00617C14"/>
    <w:rsid w:val="006240CF"/>
    <w:rsid w:val="00624592"/>
    <w:rsid w:val="006264E6"/>
    <w:rsid w:val="0063012F"/>
    <w:rsid w:val="006328EE"/>
    <w:rsid w:val="00632F98"/>
    <w:rsid w:val="00635317"/>
    <w:rsid w:val="00635E15"/>
    <w:rsid w:val="006366C6"/>
    <w:rsid w:val="006428D1"/>
    <w:rsid w:val="00643BBB"/>
    <w:rsid w:val="006445D0"/>
    <w:rsid w:val="00646313"/>
    <w:rsid w:val="00646B92"/>
    <w:rsid w:val="00647BD8"/>
    <w:rsid w:val="00652153"/>
    <w:rsid w:val="0065467A"/>
    <w:rsid w:val="00654EFF"/>
    <w:rsid w:val="00654F5C"/>
    <w:rsid w:val="0065542B"/>
    <w:rsid w:val="00657884"/>
    <w:rsid w:val="00662267"/>
    <w:rsid w:val="0066274A"/>
    <w:rsid w:val="00663032"/>
    <w:rsid w:val="00663607"/>
    <w:rsid w:val="006641F5"/>
    <w:rsid w:val="006647F0"/>
    <w:rsid w:val="0066507D"/>
    <w:rsid w:val="006665D0"/>
    <w:rsid w:val="00670E4E"/>
    <w:rsid w:val="00674F36"/>
    <w:rsid w:val="006750AC"/>
    <w:rsid w:val="00675D9C"/>
    <w:rsid w:val="00681A28"/>
    <w:rsid w:val="00681F98"/>
    <w:rsid w:val="00682133"/>
    <w:rsid w:val="00687CF9"/>
    <w:rsid w:val="006917DC"/>
    <w:rsid w:val="00692C0D"/>
    <w:rsid w:val="00694009"/>
    <w:rsid w:val="00696163"/>
    <w:rsid w:val="006A0755"/>
    <w:rsid w:val="006A4520"/>
    <w:rsid w:val="006B088D"/>
    <w:rsid w:val="006B0A20"/>
    <w:rsid w:val="006B1E1D"/>
    <w:rsid w:val="006B5998"/>
    <w:rsid w:val="006B67B6"/>
    <w:rsid w:val="006B736D"/>
    <w:rsid w:val="006C09FD"/>
    <w:rsid w:val="006C0CBB"/>
    <w:rsid w:val="006C0CE9"/>
    <w:rsid w:val="006C2426"/>
    <w:rsid w:val="006C6423"/>
    <w:rsid w:val="006C7DD9"/>
    <w:rsid w:val="006D090A"/>
    <w:rsid w:val="006D2826"/>
    <w:rsid w:val="006D3B34"/>
    <w:rsid w:val="006D5AC3"/>
    <w:rsid w:val="006D632B"/>
    <w:rsid w:val="006D6855"/>
    <w:rsid w:val="006D7032"/>
    <w:rsid w:val="006E018C"/>
    <w:rsid w:val="006E1F7A"/>
    <w:rsid w:val="006E2EF5"/>
    <w:rsid w:val="006E3123"/>
    <w:rsid w:val="006E59A2"/>
    <w:rsid w:val="006E5EEB"/>
    <w:rsid w:val="006E6B1C"/>
    <w:rsid w:val="006E73B9"/>
    <w:rsid w:val="006F05DE"/>
    <w:rsid w:val="006F2BE5"/>
    <w:rsid w:val="006F35B8"/>
    <w:rsid w:val="006F5AF4"/>
    <w:rsid w:val="00700BD7"/>
    <w:rsid w:val="00702FA0"/>
    <w:rsid w:val="007032B5"/>
    <w:rsid w:val="00703484"/>
    <w:rsid w:val="00703602"/>
    <w:rsid w:val="00703742"/>
    <w:rsid w:val="00706FD8"/>
    <w:rsid w:val="007107BF"/>
    <w:rsid w:val="0071159D"/>
    <w:rsid w:val="00712ADB"/>
    <w:rsid w:val="00713351"/>
    <w:rsid w:val="007143CB"/>
    <w:rsid w:val="00716728"/>
    <w:rsid w:val="007174C3"/>
    <w:rsid w:val="00717667"/>
    <w:rsid w:val="0072041E"/>
    <w:rsid w:val="00722472"/>
    <w:rsid w:val="007301BC"/>
    <w:rsid w:val="007309D4"/>
    <w:rsid w:val="00732ECC"/>
    <w:rsid w:val="007346C2"/>
    <w:rsid w:val="00734708"/>
    <w:rsid w:val="00737D93"/>
    <w:rsid w:val="00743AFA"/>
    <w:rsid w:val="00747714"/>
    <w:rsid w:val="00751B15"/>
    <w:rsid w:val="00752196"/>
    <w:rsid w:val="0075230C"/>
    <w:rsid w:val="00757162"/>
    <w:rsid w:val="00757DD2"/>
    <w:rsid w:val="00761493"/>
    <w:rsid w:val="00766455"/>
    <w:rsid w:val="00767CD6"/>
    <w:rsid w:val="0077293C"/>
    <w:rsid w:val="00775DE0"/>
    <w:rsid w:val="00777DC8"/>
    <w:rsid w:val="00783505"/>
    <w:rsid w:val="00791022"/>
    <w:rsid w:val="00794327"/>
    <w:rsid w:val="00794B93"/>
    <w:rsid w:val="00796EA4"/>
    <w:rsid w:val="007A3608"/>
    <w:rsid w:val="007A47D1"/>
    <w:rsid w:val="007A5B2B"/>
    <w:rsid w:val="007A7CA5"/>
    <w:rsid w:val="007B1129"/>
    <w:rsid w:val="007B1198"/>
    <w:rsid w:val="007B11F3"/>
    <w:rsid w:val="007B20A4"/>
    <w:rsid w:val="007B2453"/>
    <w:rsid w:val="007B4FA6"/>
    <w:rsid w:val="007B5A42"/>
    <w:rsid w:val="007C1D0C"/>
    <w:rsid w:val="007C38C2"/>
    <w:rsid w:val="007C4778"/>
    <w:rsid w:val="007C4C21"/>
    <w:rsid w:val="007D2676"/>
    <w:rsid w:val="007D3DD5"/>
    <w:rsid w:val="007D41DA"/>
    <w:rsid w:val="007D719D"/>
    <w:rsid w:val="007D777F"/>
    <w:rsid w:val="007E1CA1"/>
    <w:rsid w:val="007E5BE9"/>
    <w:rsid w:val="007E684B"/>
    <w:rsid w:val="007F0FE5"/>
    <w:rsid w:val="007F185C"/>
    <w:rsid w:val="007F2064"/>
    <w:rsid w:val="007F26E5"/>
    <w:rsid w:val="007F2A94"/>
    <w:rsid w:val="007F5FE6"/>
    <w:rsid w:val="007F66EA"/>
    <w:rsid w:val="007F6903"/>
    <w:rsid w:val="007F6A3D"/>
    <w:rsid w:val="00812BE5"/>
    <w:rsid w:val="00814B9F"/>
    <w:rsid w:val="008174BF"/>
    <w:rsid w:val="0082243E"/>
    <w:rsid w:val="008249AB"/>
    <w:rsid w:val="00824CF0"/>
    <w:rsid w:val="00833E07"/>
    <w:rsid w:val="00834D3A"/>
    <w:rsid w:val="00837E6C"/>
    <w:rsid w:val="00840234"/>
    <w:rsid w:val="00841F25"/>
    <w:rsid w:val="008424F4"/>
    <w:rsid w:val="00844C30"/>
    <w:rsid w:val="00845D19"/>
    <w:rsid w:val="00846AAB"/>
    <w:rsid w:val="008479C1"/>
    <w:rsid w:val="00851A9C"/>
    <w:rsid w:val="00852A55"/>
    <w:rsid w:val="0085376A"/>
    <w:rsid w:val="00857338"/>
    <w:rsid w:val="008578B3"/>
    <w:rsid w:val="00860C94"/>
    <w:rsid w:val="00863A56"/>
    <w:rsid w:val="00865DC7"/>
    <w:rsid w:val="0086690C"/>
    <w:rsid w:val="0086699B"/>
    <w:rsid w:val="0086772D"/>
    <w:rsid w:val="0087144D"/>
    <w:rsid w:val="008718ED"/>
    <w:rsid w:val="00873BAD"/>
    <w:rsid w:val="00874932"/>
    <w:rsid w:val="00875355"/>
    <w:rsid w:val="008754C4"/>
    <w:rsid w:val="008769A2"/>
    <w:rsid w:val="00880E35"/>
    <w:rsid w:val="00882270"/>
    <w:rsid w:val="0088295C"/>
    <w:rsid w:val="0088471D"/>
    <w:rsid w:val="00884B9A"/>
    <w:rsid w:val="00884E66"/>
    <w:rsid w:val="00885A7C"/>
    <w:rsid w:val="00885B58"/>
    <w:rsid w:val="00886B72"/>
    <w:rsid w:val="00886FA6"/>
    <w:rsid w:val="00890A16"/>
    <w:rsid w:val="008923F9"/>
    <w:rsid w:val="00892D4A"/>
    <w:rsid w:val="00893C95"/>
    <w:rsid w:val="00893E3D"/>
    <w:rsid w:val="00895194"/>
    <w:rsid w:val="008A0664"/>
    <w:rsid w:val="008A0F25"/>
    <w:rsid w:val="008A3A2A"/>
    <w:rsid w:val="008A5AD1"/>
    <w:rsid w:val="008A7F5A"/>
    <w:rsid w:val="008B2218"/>
    <w:rsid w:val="008B227C"/>
    <w:rsid w:val="008B276D"/>
    <w:rsid w:val="008B2DA0"/>
    <w:rsid w:val="008B423E"/>
    <w:rsid w:val="008B524E"/>
    <w:rsid w:val="008B7DD1"/>
    <w:rsid w:val="008C0204"/>
    <w:rsid w:val="008C03BE"/>
    <w:rsid w:val="008C0509"/>
    <w:rsid w:val="008C08AB"/>
    <w:rsid w:val="008C1D71"/>
    <w:rsid w:val="008C42D1"/>
    <w:rsid w:val="008C4FEF"/>
    <w:rsid w:val="008C6107"/>
    <w:rsid w:val="008D07AF"/>
    <w:rsid w:val="008D20DA"/>
    <w:rsid w:val="008D485F"/>
    <w:rsid w:val="008E213D"/>
    <w:rsid w:val="008E2DF6"/>
    <w:rsid w:val="008E4A04"/>
    <w:rsid w:val="008E6342"/>
    <w:rsid w:val="008E79E8"/>
    <w:rsid w:val="008F0280"/>
    <w:rsid w:val="008F4780"/>
    <w:rsid w:val="008F68A7"/>
    <w:rsid w:val="008F7C2D"/>
    <w:rsid w:val="00904BC0"/>
    <w:rsid w:val="009060E9"/>
    <w:rsid w:val="0091080C"/>
    <w:rsid w:val="00911675"/>
    <w:rsid w:val="00913DEF"/>
    <w:rsid w:val="00914585"/>
    <w:rsid w:val="0091670D"/>
    <w:rsid w:val="00917461"/>
    <w:rsid w:val="00917863"/>
    <w:rsid w:val="00923FD7"/>
    <w:rsid w:val="00924CAF"/>
    <w:rsid w:val="00924EF6"/>
    <w:rsid w:val="0092539F"/>
    <w:rsid w:val="00925C00"/>
    <w:rsid w:val="00926B9A"/>
    <w:rsid w:val="00927D93"/>
    <w:rsid w:val="0093281B"/>
    <w:rsid w:val="00933303"/>
    <w:rsid w:val="00934836"/>
    <w:rsid w:val="00940D7C"/>
    <w:rsid w:val="009436E1"/>
    <w:rsid w:val="00943CC5"/>
    <w:rsid w:val="00946797"/>
    <w:rsid w:val="009509FB"/>
    <w:rsid w:val="00951EB2"/>
    <w:rsid w:val="0095309F"/>
    <w:rsid w:val="009532AC"/>
    <w:rsid w:val="0095341B"/>
    <w:rsid w:val="009538A4"/>
    <w:rsid w:val="00955902"/>
    <w:rsid w:val="00957C89"/>
    <w:rsid w:val="009602CC"/>
    <w:rsid w:val="00964EBD"/>
    <w:rsid w:val="00966AC0"/>
    <w:rsid w:val="00972207"/>
    <w:rsid w:val="009738F3"/>
    <w:rsid w:val="0097544F"/>
    <w:rsid w:val="00975903"/>
    <w:rsid w:val="009760C2"/>
    <w:rsid w:val="00982AE9"/>
    <w:rsid w:val="00983DC2"/>
    <w:rsid w:val="00987C73"/>
    <w:rsid w:val="00990FB4"/>
    <w:rsid w:val="009910D4"/>
    <w:rsid w:val="009911F2"/>
    <w:rsid w:val="0099174E"/>
    <w:rsid w:val="0099466B"/>
    <w:rsid w:val="009965D8"/>
    <w:rsid w:val="009A31D3"/>
    <w:rsid w:val="009A4999"/>
    <w:rsid w:val="009A5972"/>
    <w:rsid w:val="009B0C0E"/>
    <w:rsid w:val="009B39F9"/>
    <w:rsid w:val="009B40FA"/>
    <w:rsid w:val="009B4615"/>
    <w:rsid w:val="009B4959"/>
    <w:rsid w:val="009B61FE"/>
    <w:rsid w:val="009B7AAE"/>
    <w:rsid w:val="009C3160"/>
    <w:rsid w:val="009C3A5A"/>
    <w:rsid w:val="009C46FD"/>
    <w:rsid w:val="009C4D73"/>
    <w:rsid w:val="009C5341"/>
    <w:rsid w:val="009C790C"/>
    <w:rsid w:val="009D0179"/>
    <w:rsid w:val="009D2945"/>
    <w:rsid w:val="009D4832"/>
    <w:rsid w:val="009D7147"/>
    <w:rsid w:val="009D7CF4"/>
    <w:rsid w:val="009E26D9"/>
    <w:rsid w:val="009E42A4"/>
    <w:rsid w:val="009E559C"/>
    <w:rsid w:val="009E636B"/>
    <w:rsid w:val="009F5758"/>
    <w:rsid w:val="009F6E00"/>
    <w:rsid w:val="009F73A3"/>
    <w:rsid w:val="009F7DE9"/>
    <w:rsid w:val="00A01F78"/>
    <w:rsid w:val="00A0261C"/>
    <w:rsid w:val="00A02FA3"/>
    <w:rsid w:val="00A0371F"/>
    <w:rsid w:val="00A04F15"/>
    <w:rsid w:val="00A05D91"/>
    <w:rsid w:val="00A07551"/>
    <w:rsid w:val="00A1055B"/>
    <w:rsid w:val="00A106B2"/>
    <w:rsid w:val="00A117FC"/>
    <w:rsid w:val="00A12AC4"/>
    <w:rsid w:val="00A14CB2"/>
    <w:rsid w:val="00A16E16"/>
    <w:rsid w:val="00A20359"/>
    <w:rsid w:val="00A21DF7"/>
    <w:rsid w:val="00A2215F"/>
    <w:rsid w:val="00A23B2A"/>
    <w:rsid w:val="00A2407D"/>
    <w:rsid w:val="00A25A24"/>
    <w:rsid w:val="00A2682A"/>
    <w:rsid w:val="00A30A43"/>
    <w:rsid w:val="00A35308"/>
    <w:rsid w:val="00A36EDF"/>
    <w:rsid w:val="00A36FF8"/>
    <w:rsid w:val="00A375CE"/>
    <w:rsid w:val="00A37937"/>
    <w:rsid w:val="00A37C5A"/>
    <w:rsid w:val="00A37F2A"/>
    <w:rsid w:val="00A402D3"/>
    <w:rsid w:val="00A40ECD"/>
    <w:rsid w:val="00A43076"/>
    <w:rsid w:val="00A43C47"/>
    <w:rsid w:val="00A440C7"/>
    <w:rsid w:val="00A448EB"/>
    <w:rsid w:val="00A469B0"/>
    <w:rsid w:val="00A46C96"/>
    <w:rsid w:val="00A4726D"/>
    <w:rsid w:val="00A47E8C"/>
    <w:rsid w:val="00A513D0"/>
    <w:rsid w:val="00A5143A"/>
    <w:rsid w:val="00A53478"/>
    <w:rsid w:val="00A53DCF"/>
    <w:rsid w:val="00A55159"/>
    <w:rsid w:val="00A56436"/>
    <w:rsid w:val="00A57E51"/>
    <w:rsid w:val="00A63EF2"/>
    <w:rsid w:val="00A6423B"/>
    <w:rsid w:val="00A658AF"/>
    <w:rsid w:val="00A66665"/>
    <w:rsid w:val="00A67145"/>
    <w:rsid w:val="00A71B13"/>
    <w:rsid w:val="00A736BF"/>
    <w:rsid w:val="00A74246"/>
    <w:rsid w:val="00A74271"/>
    <w:rsid w:val="00A76B7A"/>
    <w:rsid w:val="00A806DA"/>
    <w:rsid w:val="00A80758"/>
    <w:rsid w:val="00A82612"/>
    <w:rsid w:val="00A833E0"/>
    <w:rsid w:val="00A83503"/>
    <w:rsid w:val="00A84100"/>
    <w:rsid w:val="00A84264"/>
    <w:rsid w:val="00A857F2"/>
    <w:rsid w:val="00A8759B"/>
    <w:rsid w:val="00A8762E"/>
    <w:rsid w:val="00A90CA9"/>
    <w:rsid w:val="00A92F68"/>
    <w:rsid w:val="00A934F0"/>
    <w:rsid w:val="00A93C67"/>
    <w:rsid w:val="00A9410B"/>
    <w:rsid w:val="00A94DB8"/>
    <w:rsid w:val="00A95D36"/>
    <w:rsid w:val="00A9706F"/>
    <w:rsid w:val="00AA0741"/>
    <w:rsid w:val="00AA1E6A"/>
    <w:rsid w:val="00AA3171"/>
    <w:rsid w:val="00AA3672"/>
    <w:rsid w:val="00AA50CF"/>
    <w:rsid w:val="00AA6157"/>
    <w:rsid w:val="00AA653E"/>
    <w:rsid w:val="00AB06D8"/>
    <w:rsid w:val="00AB2AF3"/>
    <w:rsid w:val="00AB302D"/>
    <w:rsid w:val="00AB4401"/>
    <w:rsid w:val="00AB4BA5"/>
    <w:rsid w:val="00AB5003"/>
    <w:rsid w:val="00AC0B8C"/>
    <w:rsid w:val="00AC2648"/>
    <w:rsid w:val="00AC61DD"/>
    <w:rsid w:val="00AC64B0"/>
    <w:rsid w:val="00AD3D2F"/>
    <w:rsid w:val="00AD57C1"/>
    <w:rsid w:val="00AE2D99"/>
    <w:rsid w:val="00AF1F7D"/>
    <w:rsid w:val="00AF3ABB"/>
    <w:rsid w:val="00AF3F21"/>
    <w:rsid w:val="00AF4179"/>
    <w:rsid w:val="00AF55FE"/>
    <w:rsid w:val="00AF64E3"/>
    <w:rsid w:val="00AF7024"/>
    <w:rsid w:val="00AF7DC5"/>
    <w:rsid w:val="00B00C27"/>
    <w:rsid w:val="00B0293B"/>
    <w:rsid w:val="00B060D6"/>
    <w:rsid w:val="00B0701E"/>
    <w:rsid w:val="00B0763D"/>
    <w:rsid w:val="00B1236F"/>
    <w:rsid w:val="00B13FA7"/>
    <w:rsid w:val="00B145BA"/>
    <w:rsid w:val="00B14883"/>
    <w:rsid w:val="00B16974"/>
    <w:rsid w:val="00B20457"/>
    <w:rsid w:val="00B22FB2"/>
    <w:rsid w:val="00B23246"/>
    <w:rsid w:val="00B23E22"/>
    <w:rsid w:val="00B24004"/>
    <w:rsid w:val="00B24544"/>
    <w:rsid w:val="00B320B6"/>
    <w:rsid w:val="00B32518"/>
    <w:rsid w:val="00B32C11"/>
    <w:rsid w:val="00B3346D"/>
    <w:rsid w:val="00B358BB"/>
    <w:rsid w:val="00B450F8"/>
    <w:rsid w:val="00B474C9"/>
    <w:rsid w:val="00B479AC"/>
    <w:rsid w:val="00B52107"/>
    <w:rsid w:val="00B543D4"/>
    <w:rsid w:val="00B617FB"/>
    <w:rsid w:val="00B6203B"/>
    <w:rsid w:val="00B64383"/>
    <w:rsid w:val="00B64D28"/>
    <w:rsid w:val="00B66425"/>
    <w:rsid w:val="00B67023"/>
    <w:rsid w:val="00B70638"/>
    <w:rsid w:val="00B74EA5"/>
    <w:rsid w:val="00B74F0D"/>
    <w:rsid w:val="00B80E00"/>
    <w:rsid w:val="00B818A5"/>
    <w:rsid w:val="00B85961"/>
    <w:rsid w:val="00B87C7E"/>
    <w:rsid w:val="00B90603"/>
    <w:rsid w:val="00B9273D"/>
    <w:rsid w:val="00B92BBF"/>
    <w:rsid w:val="00B94FA6"/>
    <w:rsid w:val="00B964CE"/>
    <w:rsid w:val="00B968D3"/>
    <w:rsid w:val="00B968FC"/>
    <w:rsid w:val="00B9749A"/>
    <w:rsid w:val="00BA15DE"/>
    <w:rsid w:val="00BA2A9C"/>
    <w:rsid w:val="00BA3638"/>
    <w:rsid w:val="00BA36BE"/>
    <w:rsid w:val="00BA3F93"/>
    <w:rsid w:val="00BA609B"/>
    <w:rsid w:val="00BA6968"/>
    <w:rsid w:val="00BA75A5"/>
    <w:rsid w:val="00BA7DC5"/>
    <w:rsid w:val="00BA7FC5"/>
    <w:rsid w:val="00BB2803"/>
    <w:rsid w:val="00BB3BBD"/>
    <w:rsid w:val="00BB6553"/>
    <w:rsid w:val="00BB685F"/>
    <w:rsid w:val="00BB761B"/>
    <w:rsid w:val="00BB7795"/>
    <w:rsid w:val="00BC68CE"/>
    <w:rsid w:val="00BC7DC9"/>
    <w:rsid w:val="00BD5195"/>
    <w:rsid w:val="00BD5AC7"/>
    <w:rsid w:val="00BE0E49"/>
    <w:rsid w:val="00BE13FB"/>
    <w:rsid w:val="00BE1603"/>
    <w:rsid w:val="00BE1D95"/>
    <w:rsid w:val="00BE37B9"/>
    <w:rsid w:val="00BE786D"/>
    <w:rsid w:val="00BF3A37"/>
    <w:rsid w:val="00BF3B4C"/>
    <w:rsid w:val="00BF440F"/>
    <w:rsid w:val="00BF50CB"/>
    <w:rsid w:val="00BF52A5"/>
    <w:rsid w:val="00BF5A81"/>
    <w:rsid w:val="00BF5D48"/>
    <w:rsid w:val="00BF5E77"/>
    <w:rsid w:val="00C00B61"/>
    <w:rsid w:val="00C03C09"/>
    <w:rsid w:val="00C05A5F"/>
    <w:rsid w:val="00C06CEC"/>
    <w:rsid w:val="00C0739C"/>
    <w:rsid w:val="00C0766C"/>
    <w:rsid w:val="00C14410"/>
    <w:rsid w:val="00C15B23"/>
    <w:rsid w:val="00C21C14"/>
    <w:rsid w:val="00C228B0"/>
    <w:rsid w:val="00C24249"/>
    <w:rsid w:val="00C25EF2"/>
    <w:rsid w:val="00C27183"/>
    <w:rsid w:val="00C30117"/>
    <w:rsid w:val="00C32B16"/>
    <w:rsid w:val="00C348F9"/>
    <w:rsid w:val="00C34B82"/>
    <w:rsid w:val="00C34E09"/>
    <w:rsid w:val="00C350CC"/>
    <w:rsid w:val="00C36CAC"/>
    <w:rsid w:val="00C36ECC"/>
    <w:rsid w:val="00C37A82"/>
    <w:rsid w:val="00C402A2"/>
    <w:rsid w:val="00C4110F"/>
    <w:rsid w:val="00C41825"/>
    <w:rsid w:val="00C41B7F"/>
    <w:rsid w:val="00C42E2E"/>
    <w:rsid w:val="00C435C8"/>
    <w:rsid w:val="00C46105"/>
    <w:rsid w:val="00C52C7A"/>
    <w:rsid w:val="00C53636"/>
    <w:rsid w:val="00C53D25"/>
    <w:rsid w:val="00C54EB6"/>
    <w:rsid w:val="00C566B6"/>
    <w:rsid w:val="00C56F88"/>
    <w:rsid w:val="00C57086"/>
    <w:rsid w:val="00C61815"/>
    <w:rsid w:val="00C62AD9"/>
    <w:rsid w:val="00C66861"/>
    <w:rsid w:val="00C7091A"/>
    <w:rsid w:val="00C73B85"/>
    <w:rsid w:val="00C73D18"/>
    <w:rsid w:val="00C74630"/>
    <w:rsid w:val="00C760C2"/>
    <w:rsid w:val="00C778D9"/>
    <w:rsid w:val="00C81D4D"/>
    <w:rsid w:val="00C82293"/>
    <w:rsid w:val="00C85084"/>
    <w:rsid w:val="00C87C6C"/>
    <w:rsid w:val="00C87CF3"/>
    <w:rsid w:val="00C87D58"/>
    <w:rsid w:val="00C928D1"/>
    <w:rsid w:val="00C97236"/>
    <w:rsid w:val="00CA4D55"/>
    <w:rsid w:val="00CB0EF1"/>
    <w:rsid w:val="00CB1BA4"/>
    <w:rsid w:val="00CB3B78"/>
    <w:rsid w:val="00CC00F9"/>
    <w:rsid w:val="00CC1601"/>
    <w:rsid w:val="00CC27A2"/>
    <w:rsid w:val="00CC3D61"/>
    <w:rsid w:val="00CC3EB3"/>
    <w:rsid w:val="00CD6692"/>
    <w:rsid w:val="00CE2D73"/>
    <w:rsid w:val="00CE3510"/>
    <w:rsid w:val="00CE3998"/>
    <w:rsid w:val="00CE48E7"/>
    <w:rsid w:val="00CF127A"/>
    <w:rsid w:val="00CF1B1A"/>
    <w:rsid w:val="00CF38E4"/>
    <w:rsid w:val="00CF5CF2"/>
    <w:rsid w:val="00CF6A5C"/>
    <w:rsid w:val="00CF7606"/>
    <w:rsid w:val="00D02C32"/>
    <w:rsid w:val="00D0625D"/>
    <w:rsid w:val="00D06BAF"/>
    <w:rsid w:val="00D06E6C"/>
    <w:rsid w:val="00D1180C"/>
    <w:rsid w:val="00D11BFE"/>
    <w:rsid w:val="00D16306"/>
    <w:rsid w:val="00D21EF8"/>
    <w:rsid w:val="00D21FAF"/>
    <w:rsid w:val="00D2493A"/>
    <w:rsid w:val="00D32DC7"/>
    <w:rsid w:val="00D33AE3"/>
    <w:rsid w:val="00D35810"/>
    <w:rsid w:val="00D36E85"/>
    <w:rsid w:val="00D41E0E"/>
    <w:rsid w:val="00D42D26"/>
    <w:rsid w:val="00D472F3"/>
    <w:rsid w:val="00D47855"/>
    <w:rsid w:val="00D52041"/>
    <w:rsid w:val="00D537C3"/>
    <w:rsid w:val="00D5717A"/>
    <w:rsid w:val="00D576C1"/>
    <w:rsid w:val="00D57E6C"/>
    <w:rsid w:val="00D604FE"/>
    <w:rsid w:val="00D609E7"/>
    <w:rsid w:val="00D6142D"/>
    <w:rsid w:val="00D61DD8"/>
    <w:rsid w:val="00D6372D"/>
    <w:rsid w:val="00D6417D"/>
    <w:rsid w:val="00D64A78"/>
    <w:rsid w:val="00D65D87"/>
    <w:rsid w:val="00D6750D"/>
    <w:rsid w:val="00D67E6C"/>
    <w:rsid w:val="00D710D5"/>
    <w:rsid w:val="00D7473B"/>
    <w:rsid w:val="00D7513D"/>
    <w:rsid w:val="00D752F6"/>
    <w:rsid w:val="00D805D3"/>
    <w:rsid w:val="00D82344"/>
    <w:rsid w:val="00D82566"/>
    <w:rsid w:val="00D84AC3"/>
    <w:rsid w:val="00D8612E"/>
    <w:rsid w:val="00D86FEA"/>
    <w:rsid w:val="00D91351"/>
    <w:rsid w:val="00D91EEE"/>
    <w:rsid w:val="00D928AA"/>
    <w:rsid w:val="00D9295F"/>
    <w:rsid w:val="00D934D6"/>
    <w:rsid w:val="00D96358"/>
    <w:rsid w:val="00DA0D9B"/>
    <w:rsid w:val="00DA242F"/>
    <w:rsid w:val="00DA5479"/>
    <w:rsid w:val="00DA5690"/>
    <w:rsid w:val="00DA74DB"/>
    <w:rsid w:val="00DB1E22"/>
    <w:rsid w:val="00DB35FC"/>
    <w:rsid w:val="00DB39D0"/>
    <w:rsid w:val="00DB4181"/>
    <w:rsid w:val="00DB4904"/>
    <w:rsid w:val="00DB61D6"/>
    <w:rsid w:val="00DB621B"/>
    <w:rsid w:val="00DB794B"/>
    <w:rsid w:val="00DB7B49"/>
    <w:rsid w:val="00DC1974"/>
    <w:rsid w:val="00DC1B27"/>
    <w:rsid w:val="00DC2138"/>
    <w:rsid w:val="00DC2FF0"/>
    <w:rsid w:val="00DC6508"/>
    <w:rsid w:val="00DC73DE"/>
    <w:rsid w:val="00DC73FC"/>
    <w:rsid w:val="00DD1846"/>
    <w:rsid w:val="00DD1DC0"/>
    <w:rsid w:val="00DD3E20"/>
    <w:rsid w:val="00DD48C7"/>
    <w:rsid w:val="00DD5EF2"/>
    <w:rsid w:val="00DE0A2E"/>
    <w:rsid w:val="00DE3274"/>
    <w:rsid w:val="00DE4F89"/>
    <w:rsid w:val="00DF0068"/>
    <w:rsid w:val="00DF1268"/>
    <w:rsid w:val="00DF19F7"/>
    <w:rsid w:val="00DF282B"/>
    <w:rsid w:val="00DF62B4"/>
    <w:rsid w:val="00E0454A"/>
    <w:rsid w:val="00E1207F"/>
    <w:rsid w:val="00E14548"/>
    <w:rsid w:val="00E166E1"/>
    <w:rsid w:val="00E2289F"/>
    <w:rsid w:val="00E2579F"/>
    <w:rsid w:val="00E25F39"/>
    <w:rsid w:val="00E30B5D"/>
    <w:rsid w:val="00E33A26"/>
    <w:rsid w:val="00E33C88"/>
    <w:rsid w:val="00E34170"/>
    <w:rsid w:val="00E359B6"/>
    <w:rsid w:val="00E36179"/>
    <w:rsid w:val="00E36669"/>
    <w:rsid w:val="00E401AF"/>
    <w:rsid w:val="00E421BB"/>
    <w:rsid w:val="00E46A3D"/>
    <w:rsid w:val="00E47F19"/>
    <w:rsid w:val="00E57012"/>
    <w:rsid w:val="00E578DA"/>
    <w:rsid w:val="00E61113"/>
    <w:rsid w:val="00E62183"/>
    <w:rsid w:val="00E6232D"/>
    <w:rsid w:val="00E64898"/>
    <w:rsid w:val="00E653E6"/>
    <w:rsid w:val="00E6626B"/>
    <w:rsid w:val="00E67BA7"/>
    <w:rsid w:val="00E70382"/>
    <w:rsid w:val="00E737C5"/>
    <w:rsid w:val="00E75FEE"/>
    <w:rsid w:val="00E76947"/>
    <w:rsid w:val="00E775AA"/>
    <w:rsid w:val="00E81A02"/>
    <w:rsid w:val="00E825AE"/>
    <w:rsid w:val="00E9163F"/>
    <w:rsid w:val="00E92A0A"/>
    <w:rsid w:val="00E933DF"/>
    <w:rsid w:val="00E94A34"/>
    <w:rsid w:val="00E95113"/>
    <w:rsid w:val="00E9618F"/>
    <w:rsid w:val="00E96A09"/>
    <w:rsid w:val="00EA0532"/>
    <w:rsid w:val="00EA066B"/>
    <w:rsid w:val="00EA0B61"/>
    <w:rsid w:val="00EA104E"/>
    <w:rsid w:val="00EA2F8C"/>
    <w:rsid w:val="00EA5FAC"/>
    <w:rsid w:val="00EA73FE"/>
    <w:rsid w:val="00EB14F7"/>
    <w:rsid w:val="00EB318D"/>
    <w:rsid w:val="00EB39AE"/>
    <w:rsid w:val="00EB3E86"/>
    <w:rsid w:val="00EB6AE7"/>
    <w:rsid w:val="00EB6C34"/>
    <w:rsid w:val="00EC0102"/>
    <w:rsid w:val="00EC2453"/>
    <w:rsid w:val="00EC5EF6"/>
    <w:rsid w:val="00EC7128"/>
    <w:rsid w:val="00EC76E3"/>
    <w:rsid w:val="00ED020E"/>
    <w:rsid w:val="00ED032D"/>
    <w:rsid w:val="00ED2423"/>
    <w:rsid w:val="00ED4CA4"/>
    <w:rsid w:val="00ED53E3"/>
    <w:rsid w:val="00ED5521"/>
    <w:rsid w:val="00ED65E2"/>
    <w:rsid w:val="00ED6738"/>
    <w:rsid w:val="00ED7CDD"/>
    <w:rsid w:val="00EE0200"/>
    <w:rsid w:val="00EE1228"/>
    <w:rsid w:val="00EE1CCA"/>
    <w:rsid w:val="00EE2029"/>
    <w:rsid w:val="00EE272A"/>
    <w:rsid w:val="00EE43D3"/>
    <w:rsid w:val="00EE5D09"/>
    <w:rsid w:val="00EE65A2"/>
    <w:rsid w:val="00EE7D48"/>
    <w:rsid w:val="00EF0361"/>
    <w:rsid w:val="00EF2D5C"/>
    <w:rsid w:val="00EF6F6D"/>
    <w:rsid w:val="00F01D04"/>
    <w:rsid w:val="00F043A9"/>
    <w:rsid w:val="00F05106"/>
    <w:rsid w:val="00F05B72"/>
    <w:rsid w:val="00F06CFB"/>
    <w:rsid w:val="00F1407F"/>
    <w:rsid w:val="00F1456A"/>
    <w:rsid w:val="00F16307"/>
    <w:rsid w:val="00F163CC"/>
    <w:rsid w:val="00F1698F"/>
    <w:rsid w:val="00F22937"/>
    <w:rsid w:val="00F23E72"/>
    <w:rsid w:val="00F251DF"/>
    <w:rsid w:val="00F30413"/>
    <w:rsid w:val="00F30CC2"/>
    <w:rsid w:val="00F316E2"/>
    <w:rsid w:val="00F32E40"/>
    <w:rsid w:val="00F34309"/>
    <w:rsid w:val="00F34C5B"/>
    <w:rsid w:val="00F350F2"/>
    <w:rsid w:val="00F35961"/>
    <w:rsid w:val="00F35D6A"/>
    <w:rsid w:val="00F3617E"/>
    <w:rsid w:val="00F368C0"/>
    <w:rsid w:val="00F36FD5"/>
    <w:rsid w:val="00F370D2"/>
    <w:rsid w:val="00F40001"/>
    <w:rsid w:val="00F42E1F"/>
    <w:rsid w:val="00F458DC"/>
    <w:rsid w:val="00F46713"/>
    <w:rsid w:val="00F47C7F"/>
    <w:rsid w:val="00F5111C"/>
    <w:rsid w:val="00F51337"/>
    <w:rsid w:val="00F52A86"/>
    <w:rsid w:val="00F60130"/>
    <w:rsid w:val="00F6016A"/>
    <w:rsid w:val="00F6050E"/>
    <w:rsid w:val="00F60FF8"/>
    <w:rsid w:val="00F62630"/>
    <w:rsid w:val="00F63E46"/>
    <w:rsid w:val="00F64227"/>
    <w:rsid w:val="00F64626"/>
    <w:rsid w:val="00F71DFC"/>
    <w:rsid w:val="00F72048"/>
    <w:rsid w:val="00F72732"/>
    <w:rsid w:val="00F7303A"/>
    <w:rsid w:val="00F73420"/>
    <w:rsid w:val="00F74224"/>
    <w:rsid w:val="00F77A2A"/>
    <w:rsid w:val="00F80145"/>
    <w:rsid w:val="00F8047E"/>
    <w:rsid w:val="00F819E1"/>
    <w:rsid w:val="00F84C8E"/>
    <w:rsid w:val="00F85B19"/>
    <w:rsid w:val="00F87D7E"/>
    <w:rsid w:val="00F914B5"/>
    <w:rsid w:val="00F91A9B"/>
    <w:rsid w:val="00F92955"/>
    <w:rsid w:val="00F92A0F"/>
    <w:rsid w:val="00F96939"/>
    <w:rsid w:val="00F97917"/>
    <w:rsid w:val="00FA0048"/>
    <w:rsid w:val="00FA36B9"/>
    <w:rsid w:val="00FA56F3"/>
    <w:rsid w:val="00FA7032"/>
    <w:rsid w:val="00FB0D86"/>
    <w:rsid w:val="00FB18CD"/>
    <w:rsid w:val="00FB2861"/>
    <w:rsid w:val="00FB3EC1"/>
    <w:rsid w:val="00FC2FC2"/>
    <w:rsid w:val="00FC3023"/>
    <w:rsid w:val="00FC4ECD"/>
    <w:rsid w:val="00FC611C"/>
    <w:rsid w:val="00FD2B01"/>
    <w:rsid w:val="00FD4790"/>
    <w:rsid w:val="00FD6730"/>
    <w:rsid w:val="00FD6B52"/>
    <w:rsid w:val="00FD7CFA"/>
    <w:rsid w:val="00FE0BAA"/>
    <w:rsid w:val="00FE3290"/>
    <w:rsid w:val="00FE6420"/>
    <w:rsid w:val="00FE7E83"/>
    <w:rsid w:val="00FF08B4"/>
    <w:rsid w:val="00FF3859"/>
    <w:rsid w:val="00FF3BD7"/>
    <w:rsid w:val="00FF3C2E"/>
    <w:rsid w:val="00FF54F1"/>
    <w:rsid w:val="00FF5D3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F265D"/>
  <w15:chartTrackingRefBased/>
  <w15:docId w15:val="{062CBBB5-2649-4238-8A40-E8A32A00A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8B4"/>
    <w:pPr>
      <w:ind w:firstLine="284"/>
      <w:jc w:val="both"/>
    </w:pPr>
    <w:rPr>
      <w:rFonts w:ascii="Arial Narrow" w:hAnsi="Arial Narrow"/>
    </w:rPr>
  </w:style>
  <w:style w:type="paragraph" w:styleId="Ttulo1">
    <w:name w:val="heading 1"/>
    <w:basedOn w:val="Normal"/>
    <w:next w:val="Normal"/>
    <w:link w:val="Ttulo1Car"/>
    <w:uiPriority w:val="9"/>
    <w:qFormat/>
    <w:rsid w:val="00405E7D"/>
    <w:pPr>
      <w:keepNext/>
      <w:keepLines/>
      <w:spacing w:before="360" w:after="80"/>
      <w:ind w:firstLine="0"/>
      <w:outlineLvl w:val="0"/>
    </w:pPr>
    <w:rPr>
      <w:rFonts w:eastAsiaTheme="majorEastAsia" w:cstheme="majorBidi"/>
      <w:b/>
      <w:szCs w:val="40"/>
    </w:rPr>
  </w:style>
  <w:style w:type="paragraph" w:styleId="Ttulo2">
    <w:name w:val="heading 2"/>
    <w:basedOn w:val="Normal"/>
    <w:next w:val="Normal"/>
    <w:link w:val="Ttulo2Car"/>
    <w:uiPriority w:val="9"/>
    <w:semiHidden/>
    <w:unhideWhenUsed/>
    <w:qFormat/>
    <w:rsid w:val="00EA05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A05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A05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A05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A05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A05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A05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A05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5E7D"/>
    <w:rPr>
      <w:rFonts w:ascii="Arial Narrow" w:eastAsiaTheme="majorEastAsia" w:hAnsi="Arial Narrow" w:cstheme="majorBidi"/>
      <w:b/>
      <w:szCs w:val="40"/>
    </w:rPr>
  </w:style>
  <w:style w:type="character" w:customStyle="1" w:styleId="Ttulo2Car">
    <w:name w:val="Título 2 Car"/>
    <w:basedOn w:val="Fuentedeprrafopredeter"/>
    <w:link w:val="Ttulo2"/>
    <w:uiPriority w:val="9"/>
    <w:semiHidden/>
    <w:rsid w:val="00EA053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A053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A053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A053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A05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A05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A05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A0532"/>
    <w:rPr>
      <w:rFonts w:eastAsiaTheme="majorEastAsia" w:cstheme="majorBidi"/>
      <w:color w:val="272727" w:themeColor="text1" w:themeTint="D8"/>
    </w:rPr>
  </w:style>
  <w:style w:type="paragraph" w:styleId="Ttulo">
    <w:name w:val="Title"/>
    <w:basedOn w:val="Normal"/>
    <w:next w:val="Normal"/>
    <w:link w:val="TtuloCar"/>
    <w:uiPriority w:val="10"/>
    <w:qFormat/>
    <w:rsid w:val="00EA05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A05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A0532"/>
    <w:pPr>
      <w:numPr>
        <w:ilvl w:val="1"/>
      </w:numPr>
      <w:ind w:firstLine="284"/>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A05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A0532"/>
    <w:pPr>
      <w:spacing w:before="160"/>
      <w:jc w:val="center"/>
    </w:pPr>
    <w:rPr>
      <w:i/>
      <w:iCs/>
      <w:color w:val="404040" w:themeColor="text1" w:themeTint="BF"/>
    </w:rPr>
  </w:style>
  <w:style w:type="character" w:customStyle="1" w:styleId="CitaCar">
    <w:name w:val="Cita Car"/>
    <w:basedOn w:val="Fuentedeprrafopredeter"/>
    <w:link w:val="Cita"/>
    <w:uiPriority w:val="29"/>
    <w:rsid w:val="00EA0532"/>
    <w:rPr>
      <w:i/>
      <w:iCs/>
      <w:color w:val="404040" w:themeColor="text1" w:themeTint="BF"/>
    </w:rPr>
  </w:style>
  <w:style w:type="paragraph" w:styleId="Prrafodelista">
    <w:name w:val="List Paragraph"/>
    <w:basedOn w:val="Normal"/>
    <w:uiPriority w:val="34"/>
    <w:qFormat/>
    <w:rsid w:val="00EA0532"/>
    <w:pPr>
      <w:ind w:left="720"/>
      <w:contextualSpacing/>
    </w:pPr>
  </w:style>
  <w:style w:type="character" w:styleId="nfasisintenso">
    <w:name w:val="Intense Emphasis"/>
    <w:basedOn w:val="Fuentedeprrafopredeter"/>
    <w:uiPriority w:val="21"/>
    <w:qFormat/>
    <w:rsid w:val="00EA0532"/>
    <w:rPr>
      <w:i/>
      <w:iCs/>
      <w:color w:val="2F5496" w:themeColor="accent1" w:themeShade="BF"/>
    </w:rPr>
  </w:style>
  <w:style w:type="paragraph" w:styleId="Citadestacada">
    <w:name w:val="Intense Quote"/>
    <w:basedOn w:val="Normal"/>
    <w:next w:val="Normal"/>
    <w:link w:val="CitadestacadaCar"/>
    <w:uiPriority w:val="30"/>
    <w:qFormat/>
    <w:rsid w:val="00EA05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A0532"/>
    <w:rPr>
      <w:i/>
      <w:iCs/>
      <w:color w:val="2F5496" w:themeColor="accent1" w:themeShade="BF"/>
    </w:rPr>
  </w:style>
  <w:style w:type="character" w:styleId="Referenciaintensa">
    <w:name w:val="Intense Reference"/>
    <w:basedOn w:val="Fuentedeprrafopredeter"/>
    <w:uiPriority w:val="32"/>
    <w:qFormat/>
    <w:rsid w:val="00EA0532"/>
    <w:rPr>
      <w:b/>
      <w:bCs/>
      <w:smallCaps/>
      <w:color w:val="2F5496" w:themeColor="accent1" w:themeShade="BF"/>
      <w:spacing w:val="5"/>
    </w:rPr>
  </w:style>
  <w:style w:type="character" w:styleId="Refdecomentario">
    <w:name w:val="annotation reference"/>
    <w:basedOn w:val="Fuentedeprrafopredeter"/>
    <w:uiPriority w:val="99"/>
    <w:semiHidden/>
    <w:unhideWhenUsed/>
    <w:rsid w:val="00EA0532"/>
    <w:rPr>
      <w:sz w:val="16"/>
      <w:szCs w:val="16"/>
    </w:rPr>
  </w:style>
  <w:style w:type="paragraph" w:styleId="Textocomentario">
    <w:name w:val="annotation text"/>
    <w:basedOn w:val="Normal"/>
    <w:link w:val="TextocomentarioCar"/>
    <w:uiPriority w:val="99"/>
    <w:unhideWhenUsed/>
    <w:rsid w:val="00EA0532"/>
    <w:pPr>
      <w:spacing w:line="240" w:lineRule="auto"/>
    </w:pPr>
    <w:rPr>
      <w:sz w:val="20"/>
      <w:szCs w:val="20"/>
    </w:rPr>
  </w:style>
  <w:style w:type="character" w:customStyle="1" w:styleId="TextocomentarioCar">
    <w:name w:val="Texto comentario Car"/>
    <w:basedOn w:val="Fuentedeprrafopredeter"/>
    <w:link w:val="Textocomentario"/>
    <w:uiPriority w:val="99"/>
    <w:rsid w:val="00EA0532"/>
    <w:rPr>
      <w:sz w:val="20"/>
      <w:szCs w:val="20"/>
    </w:rPr>
  </w:style>
  <w:style w:type="paragraph" w:styleId="Asuntodelcomentario">
    <w:name w:val="annotation subject"/>
    <w:basedOn w:val="Textocomentario"/>
    <w:next w:val="Textocomentario"/>
    <w:link w:val="AsuntodelcomentarioCar"/>
    <w:uiPriority w:val="99"/>
    <w:semiHidden/>
    <w:unhideWhenUsed/>
    <w:rsid w:val="00EA0532"/>
    <w:rPr>
      <w:b/>
      <w:bCs/>
    </w:rPr>
  </w:style>
  <w:style w:type="character" w:customStyle="1" w:styleId="AsuntodelcomentarioCar">
    <w:name w:val="Asunto del comentario Car"/>
    <w:basedOn w:val="TextocomentarioCar"/>
    <w:link w:val="Asuntodelcomentario"/>
    <w:uiPriority w:val="99"/>
    <w:semiHidden/>
    <w:rsid w:val="00EA0532"/>
    <w:rPr>
      <w:b/>
      <w:bCs/>
      <w:sz w:val="20"/>
      <w:szCs w:val="20"/>
    </w:rPr>
  </w:style>
  <w:style w:type="paragraph" w:styleId="Encabezado">
    <w:name w:val="header"/>
    <w:basedOn w:val="Normal"/>
    <w:link w:val="EncabezadoCar"/>
    <w:uiPriority w:val="99"/>
    <w:unhideWhenUsed/>
    <w:rsid w:val="009A31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A31D3"/>
  </w:style>
  <w:style w:type="paragraph" w:styleId="Piedepgina">
    <w:name w:val="footer"/>
    <w:basedOn w:val="Normal"/>
    <w:link w:val="PiedepginaCar"/>
    <w:uiPriority w:val="99"/>
    <w:unhideWhenUsed/>
    <w:rsid w:val="009A31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A31D3"/>
  </w:style>
  <w:style w:type="character" w:styleId="Hipervnculo">
    <w:name w:val="Hyperlink"/>
    <w:basedOn w:val="Fuentedeprrafopredeter"/>
    <w:uiPriority w:val="99"/>
    <w:unhideWhenUsed/>
    <w:rsid w:val="00A12AC4"/>
    <w:rPr>
      <w:color w:val="0563C1" w:themeColor="hyperlink"/>
      <w:u w:val="single"/>
    </w:rPr>
  </w:style>
  <w:style w:type="character" w:styleId="Mencinsinresolver">
    <w:name w:val="Unresolved Mention"/>
    <w:basedOn w:val="Fuentedeprrafopredeter"/>
    <w:uiPriority w:val="99"/>
    <w:semiHidden/>
    <w:unhideWhenUsed/>
    <w:rsid w:val="00A12AC4"/>
    <w:rPr>
      <w:color w:val="605E5C"/>
      <w:shd w:val="clear" w:color="auto" w:fill="E1DFDD"/>
    </w:rPr>
  </w:style>
  <w:style w:type="paragraph" w:styleId="Descripcin">
    <w:name w:val="caption"/>
    <w:basedOn w:val="Normal"/>
    <w:next w:val="Normal"/>
    <w:uiPriority w:val="35"/>
    <w:unhideWhenUsed/>
    <w:qFormat/>
    <w:rsid w:val="00E9618F"/>
    <w:pPr>
      <w:spacing w:after="200" w:line="240" w:lineRule="auto"/>
    </w:pPr>
    <w:rPr>
      <w:i/>
      <w:iCs/>
      <w:color w:val="44546A" w:themeColor="text2"/>
      <w:sz w:val="18"/>
      <w:szCs w:val="18"/>
    </w:rPr>
  </w:style>
  <w:style w:type="character" w:styleId="Hipervnculovisitado">
    <w:name w:val="FollowedHyperlink"/>
    <w:basedOn w:val="Fuentedeprrafopredeter"/>
    <w:uiPriority w:val="99"/>
    <w:semiHidden/>
    <w:unhideWhenUsed/>
    <w:rsid w:val="00851A9C"/>
    <w:rPr>
      <w:color w:val="954F72" w:themeColor="followedHyperlink"/>
      <w:u w:val="single"/>
    </w:rPr>
  </w:style>
  <w:style w:type="paragraph" w:styleId="Textonotapie">
    <w:name w:val="footnote text"/>
    <w:basedOn w:val="Normal"/>
    <w:link w:val="TextonotapieCar"/>
    <w:uiPriority w:val="99"/>
    <w:semiHidden/>
    <w:unhideWhenUsed/>
    <w:rsid w:val="00552C7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52C77"/>
    <w:rPr>
      <w:rFonts w:ascii="Arial Narrow" w:hAnsi="Arial Narrow"/>
      <w:sz w:val="20"/>
      <w:szCs w:val="20"/>
    </w:rPr>
  </w:style>
  <w:style w:type="character" w:styleId="Refdenotaalpie">
    <w:name w:val="footnote reference"/>
    <w:basedOn w:val="Fuentedeprrafopredeter"/>
    <w:uiPriority w:val="99"/>
    <w:semiHidden/>
    <w:unhideWhenUsed/>
    <w:rsid w:val="00552C77"/>
    <w:rPr>
      <w:vertAlign w:val="superscript"/>
    </w:rPr>
  </w:style>
  <w:style w:type="table" w:styleId="Tablaconcuadrcula">
    <w:name w:val="Table Grid"/>
    <w:basedOn w:val="Tablanormal"/>
    <w:uiPriority w:val="39"/>
    <w:rsid w:val="00384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ambiente.gov.co/wp-content/uploads/2025/06/Programa-Nacional-de-Monitoreo-del-Recurso-Hidrico.pdf"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xqM83_og1Fc"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4D2D3-CCC6-41D3-8373-300336A56E6F}">
  <ds:schemaRefs>
    <ds:schemaRef ds:uri="http://schemas.openxmlformats.org/officeDocument/2006/bibliography"/>
  </ds:schemaRefs>
</ds:datastoreItem>
</file>

<file path=docMetadata/LabelInfo.xml><?xml version="1.0" encoding="utf-8"?>
<clbl:labelList xmlns:clbl="http://schemas.microsoft.com/office/2020/mipLabelMetadata">
  <clbl:label id="{d400387a-212f-43ea-ac7f-77aa12d7977e}" enabled="0" method="" siteId="{d400387a-212f-43ea-ac7f-77aa12d7977e}" removed="1"/>
</clbl:labelList>
</file>

<file path=docProps/app.xml><?xml version="1.0" encoding="utf-8"?>
<Properties xmlns="http://schemas.openxmlformats.org/officeDocument/2006/extended-properties" xmlns:vt="http://schemas.openxmlformats.org/officeDocument/2006/docPropsVTypes">
  <Template>Normal</Template>
  <TotalTime>277</TotalTime>
  <Pages>10</Pages>
  <Words>27606</Words>
  <Characters>151833</Characters>
  <Application>Microsoft Office Word</Application>
  <DocSecurity>0</DocSecurity>
  <Lines>1265</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Duque Gardeazabal, Nicolás (GIUB)</dc:creator>
  <cp:keywords/>
  <dc:description/>
  <cp:lastModifiedBy>Duque Gardeazabal, Nicolás (GIUB)</cp:lastModifiedBy>
  <cp:revision>197</cp:revision>
  <dcterms:created xsi:type="dcterms:W3CDTF">2026-02-11T19:44:00Z</dcterms:created>
  <dcterms:modified xsi:type="dcterms:W3CDTF">2026-03-19T21:45:00Z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4be3afc8-64f3-418d-8251-ce6b2b3843a9</vt:lpwstr>
  </property>
  <property fmtid="{D5CDD505-2E9C-101B-9397-08002B2CF9AE}" pid="3" name="Mendeley Document_1">
    <vt:lpwstr>True</vt:lpwstr>
  </property>
  <property fmtid="{D5CDD505-2E9C-101B-9397-08002B2CF9AE}" pid="4" name="Mendeley Unique User Id_1">
    <vt:lpwstr>2dafb6af-db36-3441-ae2d-e9085b75c3ab</vt:lpwstr>
  </property>
  <property fmtid="{D5CDD505-2E9C-101B-9397-08002B2CF9AE}" pid="5" name="Mendeley Citation Style_1">
    <vt:lpwstr>http://www.zotero.org/styles/apa</vt:lpwstr>
  </property>
  <property fmtid="{D5CDD505-2E9C-101B-9397-08002B2CF9AE}" pid="6" name="Mendeley Recent Style Id 0_1">
    <vt:lpwstr>http://www.zotero.org/styles/apa-6th-edition</vt:lpwstr>
  </property>
  <property fmtid="{D5CDD505-2E9C-101B-9397-08002B2CF9AE}" pid="7" name="Mendeley Recent Style Name 0_1">
    <vt:lpwstr>American Psychological Association 6th edition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 6th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10th edition - Harvard</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http://www.zotero.org/styles/journal-of-hydrology</vt:lpwstr>
  </property>
  <property fmtid="{D5CDD505-2E9C-101B-9397-08002B2CF9AE}" pid="19" name="Mendeley Recent Style Name 6_1">
    <vt:lpwstr>Journal of Hydrology</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