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45319" w14:textId="77777777" w:rsidR="008F5A7A" w:rsidRPr="00AC0030" w:rsidRDefault="008F5A7A" w:rsidP="008F5A7A">
      <w:pPr>
        <w:jc w:val="center"/>
        <w:rPr>
          <w:rFonts w:ascii="Times New Roman" w:hAnsi="Times New Roman" w:cs="Times New Roman"/>
        </w:rPr>
      </w:pPr>
      <w:r w:rsidRPr="00AC0030">
        <w:rPr>
          <w:rFonts w:ascii="Times New Roman" w:hAnsi="Times New Roman" w:cs="Times New Roman"/>
          <w:b/>
          <w:bCs/>
        </w:rPr>
        <w:t>Análisis no lineal de estructuras para edificaciones: fundamentos, aplicaciones y su relevancia en el diseño con materiales no convencionales</w:t>
      </w:r>
    </w:p>
    <w:p w14:paraId="77D4CDEE"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b/>
          <w:bCs/>
        </w:rPr>
        <w:t>Introducción</w:t>
      </w:r>
    </w:p>
    <w:p w14:paraId="39ED1A39"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rPr>
        <w:t>El análisis estructural representa un pilar esencial en el diseño, evaluación y rehabilitación de edificaciones. En la práctica profesional colombiana, regida principalmente por el Reglamento Colombiano de Construcción Sismo Resistente (NSR-10), los métodos de análisis lineal-elástico siguen siendo predominantes por su simplicidad, eficiencia computacional y aceptación normativa para el diseño convencional. Sin embargo, ante acciones severas —como sismos intensos, cargas accidentales, fatiga o degradación progresiva—, la respuesta real de las estructuras se aleja significativamente de los supuestos de linealidad y elasticidad.</w:t>
      </w:r>
    </w:p>
    <w:p w14:paraId="5813D2CC" w14:textId="4EB6DB45" w:rsidR="008F5A7A" w:rsidRPr="00AC0030" w:rsidRDefault="008F5A7A" w:rsidP="008F5A7A">
      <w:pPr>
        <w:jc w:val="both"/>
        <w:rPr>
          <w:rFonts w:ascii="Times New Roman" w:hAnsi="Times New Roman" w:cs="Times New Roman"/>
        </w:rPr>
      </w:pPr>
      <w:r w:rsidRPr="00AC0030">
        <w:rPr>
          <w:rFonts w:ascii="Times New Roman" w:hAnsi="Times New Roman" w:cs="Times New Roman"/>
        </w:rPr>
        <w:t xml:space="preserve">En este contexto, el análisis no lineal emerge como herramienta indispensable para capturar el comportamiento estructural auténtico. Fenómenos como la fisuración y plastificación del concreto, el pandeo local o global, la degradación cíclica de rigidez y los efectos geométricos de grandes desplazamientos (P-Δ) evidencian las limitaciones de los enfoques lineales equivalentes. Esta necesidad se intensifica cuando se incorporan materiales no convencionales —como madera </w:t>
      </w:r>
      <w:proofErr w:type="spellStart"/>
      <w:r w:rsidRPr="00AC0030">
        <w:rPr>
          <w:rFonts w:ascii="Times New Roman" w:hAnsi="Times New Roman" w:cs="Times New Roman"/>
        </w:rPr>
        <w:t>contralaminada</w:t>
      </w:r>
      <w:proofErr w:type="spellEnd"/>
      <w:r w:rsidRPr="00AC0030">
        <w:rPr>
          <w:rFonts w:ascii="Times New Roman" w:hAnsi="Times New Roman" w:cs="Times New Roman"/>
        </w:rPr>
        <w:t xml:space="preserve"> (</w:t>
      </w:r>
      <w:proofErr w:type="spellStart"/>
      <w:r w:rsidRPr="00AC0030">
        <w:rPr>
          <w:rFonts w:ascii="Times New Roman" w:hAnsi="Times New Roman" w:cs="Times New Roman"/>
        </w:rPr>
        <w:t>CLT</w:t>
      </w:r>
      <w:proofErr w:type="spellEnd"/>
      <w:r w:rsidRPr="00AC0030">
        <w:rPr>
          <w:rFonts w:ascii="Times New Roman" w:hAnsi="Times New Roman" w:cs="Times New Roman"/>
        </w:rPr>
        <w:t>), polímeros reforzados con fibras (</w:t>
      </w:r>
      <w:proofErr w:type="spellStart"/>
      <w:r w:rsidRPr="00AC0030">
        <w:rPr>
          <w:rFonts w:ascii="Times New Roman" w:hAnsi="Times New Roman" w:cs="Times New Roman"/>
        </w:rPr>
        <w:t>FRP</w:t>
      </w:r>
      <w:proofErr w:type="spellEnd"/>
      <w:r w:rsidRPr="00AC0030">
        <w:rPr>
          <w:rFonts w:ascii="Times New Roman" w:hAnsi="Times New Roman" w:cs="Times New Roman"/>
        </w:rPr>
        <w:t>), concreto de ultra alto desempeño (</w:t>
      </w:r>
      <w:proofErr w:type="spellStart"/>
      <w:r w:rsidRPr="00AC0030">
        <w:rPr>
          <w:rFonts w:ascii="Times New Roman" w:hAnsi="Times New Roman" w:cs="Times New Roman"/>
        </w:rPr>
        <w:t>UHPC</w:t>
      </w:r>
      <w:proofErr w:type="spellEnd"/>
      <w:r w:rsidRPr="00AC0030">
        <w:rPr>
          <w:rFonts w:ascii="Times New Roman" w:hAnsi="Times New Roman" w:cs="Times New Roman"/>
        </w:rPr>
        <w:t xml:space="preserve">) o composites avanzados—, cuyos comportamientos constitutivos anisotrópicos, </w:t>
      </w:r>
      <w:proofErr w:type="spellStart"/>
      <w:r w:rsidRPr="00AC0030">
        <w:rPr>
          <w:rFonts w:ascii="Times New Roman" w:hAnsi="Times New Roman" w:cs="Times New Roman"/>
        </w:rPr>
        <w:t>pseudo-dúctiles</w:t>
      </w:r>
      <w:proofErr w:type="spellEnd"/>
      <w:r w:rsidRPr="00AC0030">
        <w:rPr>
          <w:rFonts w:ascii="Times New Roman" w:hAnsi="Times New Roman" w:cs="Times New Roman"/>
        </w:rPr>
        <w:t xml:space="preserve"> o con degradación marcada demandan modelaciones no lineales avanzadas.</w:t>
      </w:r>
    </w:p>
    <w:p w14:paraId="0B8AD100"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rPr>
        <w:t>El presente ensayo examina el rol del análisis no lineal en el ámbito de las edificaciones, sus fundamentos teóricos, tipos principales, métodos de aplicación y desafíos, destacando su creciente relevancia tanto en materiales tradicionales como en alternativas emergentes para una ingeniería estructural más resiliente y sostenible.</w:t>
      </w:r>
    </w:p>
    <w:p w14:paraId="6780AE43"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b/>
          <w:bCs/>
        </w:rPr>
        <w:t>Fundamentos del análisis no lineal en estructuras</w:t>
      </w:r>
    </w:p>
    <w:p w14:paraId="4EAA2232"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rPr>
        <w:t>El análisis no lineal se distingue por la falta de proporcionalidad directa entre cargas aplicadas y respuesta estructural, reconociendo que la rigidez, resistencia y propiedades constitutivas evolucionan durante el proceso de carga. A diferencia del análisis lineal, que resuelve un único estado de equilibrio bajo la hipótesis de superposición, el no lineal avanza de forma incremental, actualizando la matriz de rigidez en cada paso y considerando la historia de carga, redistribución de esfuerzos y formación progresiva de mecanismos de daño.</w:t>
      </w:r>
    </w:p>
    <w:p w14:paraId="6FEEBA8B" w14:textId="418BA455" w:rsidR="008F5A7A" w:rsidRPr="00AC0030" w:rsidRDefault="008F5A7A" w:rsidP="008F5A7A">
      <w:pPr>
        <w:jc w:val="both"/>
        <w:rPr>
          <w:rFonts w:ascii="Times New Roman" w:hAnsi="Times New Roman" w:cs="Times New Roman"/>
        </w:rPr>
      </w:pPr>
      <w:r w:rsidRPr="00AC0030">
        <w:rPr>
          <w:rFonts w:ascii="Times New Roman" w:hAnsi="Times New Roman" w:cs="Times New Roman"/>
        </w:rPr>
        <w:t>En edificaciones sometidas a solicitaciones sísmicas, este enfoque resulta primordial, ya que el diseño sismo resistente moderno (inspirado en conceptos de capacidad y disipación) acepta la incursión controlada en el rango inelástico como mecanismo principal de absorción de energía, tal como lo permiten normativas avanzadas y evaluaciones complementarias a la NSR-10.</w:t>
      </w:r>
    </w:p>
    <w:p w14:paraId="3477534B"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b/>
          <w:bCs/>
        </w:rPr>
        <w:lastRenderedPageBreak/>
        <w:t>Tipos de no linealidad en edificaciones</w:t>
      </w:r>
    </w:p>
    <w:p w14:paraId="60C33431"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rPr>
        <w:t>Las no linealidades en estructuras de edificación se clasifican principalmente en tres categorías:</w:t>
      </w:r>
    </w:p>
    <w:p w14:paraId="3BB634BC" w14:textId="77777777" w:rsidR="008F5A7A" w:rsidRPr="00AC0030" w:rsidRDefault="008F5A7A" w:rsidP="008F5A7A">
      <w:pPr>
        <w:numPr>
          <w:ilvl w:val="0"/>
          <w:numId w:val="1"/>
        </w:numPr>
        <w:jc w:val="both"/>
        <w:rPr>
          <w:rFonts w:ascii="Times New Roman" w:hAnsi="Times New Roman" w:cs="Times New Roman"/>
        </w:rPr>
      </w:pPr>
      <w:r w:rsidRPr="00AC0030">
        <w:rPr>
          <w:rFonts w:ascii="Times New Roman" w:hAnsi="Times New Roman" w:cs="Times New Roman"/>
          <w:b/>
          <w:bCs/>
        </w:rPr>
        <w:t>No linealidad material</w:t>
      </w:r>
      <w:r w:rsidRPr="00AC0030">
        <w:rPr>
          <w:rFonts w:ascii="Times New Roman" w:hAnsi="Times New Roman" w:cs="Times New Roman"/>
        </w:rPr>
        <w:t xml:space="preserve">: asociada a procesos irreversibles como plastificación del acero, fisuración y aplastamiento del concreto, degradación por daño acumulado o comportamiento viscoelástico. En materiales no convencionales, esta categoría se complejiza: los </w:t>
      </w:r>
      <w:proofErr w:type="spellStart"/>
      <w:r w:rsidRPr="00AC0030">
        <w:rPr>
          <w:rFonts w:ascii="Times New Roman" w:hAnsi="Times New Roman" w:cs="Times New Roman"/>
        </w:rPr>
        <w:t>FRP</w:t>
      </w:r>
      <w:proofErr w:type="spellEnd"/>
      <w:r w:rsidRPr="00AC0030">
        <w:rPr>
          <w:rFonts w:ascii="Times New Roman" w:hAnsi="Times New Roman" w:cs="Times New Roman"/>
        </w:rPr>
        <w:t xml:space="preserve"> exhiben ruptura frágil en dirección transversal y ductilidad limitada en fibras; el </w:t>
      </w:r>
      <w:proofErr w:type="spellStart"/>
      <w:r w:rsidRPr="00AC0030">
        <w:rPr>
          <w:rFonts w:ascii="Times New Roman" w:hAnsi="Times New Roman" w:cs="Times New Roman"/>
        </w:rPr>
        <w:t>CLT</w:t>
      </w:r>
      <w:proofErr w:type="spellEnd"/>
      <w:r w:rsidRPr="00AC0030">
        <w:rPr>
          <w:rFonts w:ascii="Times New Roman" w:hAnsi="Times New Roman" w:cs="Times New Roman"/>
        </w:rPr>
        <w:t xml:space="preserve"> presenta anisotropía </w:t>
      </w:r>
      <w:proofErr w:type="spellStart"/>
      <w:r w:rsidRPr="00AC0030">
        <w:rPr>
          <w:rFonts w:ascii="Times New Roman" w:hAnsi="Times New Roman" w:cs="Times New Roman"/>
        </w:rPr>
        <w:t>ortotrópica</w:t>
      </w:r>
      <w:proofErr w:type="spellEnd"/>
      <w:r w:rsidRPr="00AC0030">
        <w:rPr>
          <w:rFonts w:ascii="Times New Roman" w:hAnsi="Times New Roman" w:cs="Times New Roman"/>
        </w:rPr>
        <w:t xml:space="preserve">, aplastamiento perpendicular a las láminas y efectos de </w:t>
      </w:r>
      <w:proofErr w:type="spellStart"/>
      <w:r w:rsidRPr="00AC0030">
        <w:rPr>
          <w:rFonts w:ascii="Times New Roman" w:hAnsi="Times New Roman" w:cs="Times New Roman"/>
        </w:rPr>
        <w:t>rolling</w:t>
      </w:r>
      <w:proofErr w:type="spellEnd"/>
      <w:r w:rsidRPr="00AC0030">
        <w:rPr>
          <w:rFonts w:ascii="Times New Roman" w:hAnsi="Times New Roman" w:cs="Times New Roman"/>
        </w:rPr>
        <w:t xml:space="preserve"> </w:t>
      </w:r>
      <w:proofErr w:type="spellStart"/>
      <w:r w:rsidRPr="00AC0030">
        <w:rPr>
          <w:rFonts w:ascii="Times New Roman" w:hAnsi="Times New Roman" w:cs="Times New Roman"/>
        </w:rPr>
        <w:t>shear</w:t>
      </w:r>
      <w:proofErr w:type="spellEnd"/>
      <w:r w:rsidRPr="00AC0030">
        <w:rPr>
          <w:rFonts w:ascii="Times New Roman" w:hAnsi="Times New Roman" w:cs="Times New Roman"/>
        </w:rPr>
        <w:t xml:space="preserve">; el </w:t>
      </w:r>
      <w:proofErr w:type="spellStart"/>
      <w:r w:rsidRPr="00AC0030">
        <w:rPr>
          <w:rFonts w:ascii="Times New Roman" w:hAnsi="Times New Roman" w:cs="Times New Roman"/>
        </w:rPr>
        <w:t>UHPC</w:t>
      </w:r>
      <w:proofErr w:type="spellEnd"/>
      <w:r w:rsidRPr="00AC0030">
        <w:rPr>
          <w:rFonts w:ascii="Times New Roman" w:hAnsi="Times New Roman" w:cs="Times New Roman"/>
        </w:rPr>
        <w:t xml:space="preserve"> muestra endurecimiento por deformación en tracción gracias a fibras, pero con fisuración fina y alta tenacidad.</w:t>
      </w:r>
    </w:p>
    <w:p w14:paraId="5811F094" w14:textId="77777777" w:rsidR="008F5A7A" w:rsidRPr="00AC0030" w:rsidRDefault="008F5A7A" w:rsidP="008F5A7A">
      <w:pPr>
        <w:numPr>
          <w:ilvl w:val="0"/>
          <w:numId w:val="1"/>
        </w:numPr>
        <w:jc w:val="both"/>
        <w:rPr>
          <w:rFonts w:ascii="Times New Roman" w:hAnsi="Times New Roman" w:cs="Times New Roman"/>
        </w:rPr>
      </w:pPr>
      <w:r w:rsidRPr="00AC0030">
        <w:rPr>
          <w:rFonts w:ascii="Times New Roman" w:hAnsi="Times New Roman" w:cs="Times New Roman"/>
          <w:b/>
          <w:bCs/>
        </w:rPr>
        <w:t>No linealidad geométrica</w:t>
      </w:r>
      <w:r w:rsidRPr="00AC0030">
        <w:rPr>
          <w:rFonts w:ascii="Times New Roman" w:hAnsi="Times New Roman" w:cs="Times New Roman"/>
        </w:rPr>
        <w:t>: relacionada con efectos de segundo orden derivados de desplazamientos y rotaciones grandes, siendo el más crítico el efecto P-Δ en edificios de mediana y gran altura, que puede desencadenar inestabilidad global.</w:t>
      </w:r>
    </w:p>
    <w:p w14:paraId="43474744" w14:textId="77777777" w:rsidR="008F5A7A" w:rsidRPr="00AC0030" w:rsidRDefault="008F5A7A" w:rsidP="008F5A7A">
      <w:pPr>
        <w:numPr>
          <w:ilvl w:val="0"/>
          <w:numId w:val="1"/>
        </w:numPr>
        <w:jc w:val="both"/>
        <w:rPr>
          <w:rFonts w:ascii="Times New Roman" w:hAnsi="Times New Roman" w:cs="Times New Roman"/>
        </w:rPr>
      </w:pPr>
      <w:r w:rsidRPr="00AC0030">
        <w:rPr>
          <w:rFonts w:ascii="Times New Roman" w:hAnsi="Times New Roman" w:cs="Times New Roman"/>
          <w:b/>
          <w:bCs/>
        </w:rPr>
        <w:t>No linealidad de contacto y restricciones</w:t>
      </w:r>
      <w:r w:rsidRPr="00AC0030">
        <w:rPr>
          <w:rFonts w:ascii="Times New Roman" w:hAnsi="Times New Roman" w:cs="Times New Roman"/>
        </w:rPr>
        <w:t>: relevante en juntas, apoyos deslizantes, amortiguadores, interacción suelo-estructura o delaminación en composites, donde las condiciones de contorno cambian durante el análisis.</w:t>
      </w:r>
    </w:p>
    <w:p w14:paraId="2085CBF4"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b/>
          <w:bCs/>
        </w:rPr>
        <w:t>Métodos de análisis no lineal aplicados a edificaciones</w:t>
      </w:r>
    </w:p>
    <w:p w14:paraId="47EE17B9"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rPr>
        <w:t>Los métodos más empleados incluyen:</w:t>
      </w:r>
    </w:p>
    <w:p w14:paraId="1410E402" w14:textId="77777777" w:rsidR="008F5A7A" w:rsidRPr="00AC0030" w:rsidRDefault="008F5A7A" w:rsidP="008F5A7A">
      <w:pPr>
        <w:numPr>
          <w:ilvl w:val="0"/>
          <w:numId w:val="2"/>
        </w:numPr>
        <w:jc w:val="both"/>
        <w:rPr>
          <w:rFonts w:ascii="Times New Roman" w:hAnsi="Times New Roman" w:cs="Times New Roman"/>
        </w:rPr>
      </w:pPr>
      <w:r w:rsidRPr="00AC0030">
        <w:rPr>
          <w:rFonts w:ascii="Times New Roman" w:hAnsi="Times New Roman" w:cs="Times New Roman"/>
          <w:b/>
          <w:bCs/>
        </w:rPr>
        <w:t>Análisis estático no lineal (</w:t>
      </w:r>
      <w:proofErr w:type="spellStart"/>
      <w:r w:rsidRPr="00AC0030">
        <w:rPr>
          <w:rFonts w:ascii="Times New Roman" w:hAnsi="Times New Roman" w:cs="Times New Roman"/>
          <w:b/>
          <w:bCs/>
        </w:rPr>
        <w:t>pushover</w:t>
      </w:r>
      <w:proofErr w:type="spellEnd"/>
      <w:r w:rsidRPr="00AC0030">
        <w:rPr>
          <w:rFonts w:ascii="Times New Roman" w:hAnsi="Times New Roman" w:cs="Times New Roman"/>
          <w:b/>
          <w:bCs/>
        </w:rPr>
        <w:t>)</w:t>
      </w:r>
      <w:r w:rsidRPr="00AC0030">
        <w:rPr>
          <w:rFonts w:ascii="Times New Roman" w:hAnsi="Times New Roman" w:cs="Times New Roman"/>
        </w:rPr>
        <w:t>: aplica cargas laterales incrementales (patrones invariantes o adaptativos) para estimar la capacidad global, curva capacidad-demanda, secuencia de formación de rótulas plásticas y mecanismos de colapso. Es ampliamente usado en evaluaciones de vulnerabilidad sísmica según ASCE 41 o enfoques complementarios a la NSR-10.</w:t>
      </w:r>
    </w:p>
    <w:p w14:paraId="6707E55C" w14:textId="77777777" w:rsidR="008F5A7A" w:rsidRPr="00AC0030" w:rsidRDefault="008F5A7A" w:rsidP="008F5A7A">
      <w:pPr>
        <w:numPr>
          <w:ilvl w:val="0"/>
          <w:numId w:val="2"/>
        </w:numPr>
        <w:jc w:val="both"/>
        <w:rPr>
          <w:rFonts w:ascii="Times New Roman" w:hAnsi="Times New Roman" w:cs="Times New Roman"/>
        </w:rPr>
      </w:pPr>
      <w:r w:rsidRPr="00AC0030">
        <w:rPr>
          <w:rFonts w:ascii="Times New Roman" w:hAnsi="Times New Roman" w:cs="Times New Roman"/>
          <w:b/>
          <w:bCs/>
        </w:rPr>
        <w:t>Análisis dinámico no lineal (time-</w:t>
      </w:r>
      <w:proofErr w:type="spellStart"/>
      <w:r w:rsidRPr="00AC0030">
        <w:rPr>
          <w:rFonts w:ascii="Times New Roman" w:hAnsi="Times New Roman" w:cs="Times New Roman"/>
          <w:b/>
          <w:bCs/>
        </w:rPr>
        <w:t>history</w:t>
      </w:r>
      <w:proofErr w:type="spellEnd"/>
      <w:r w:rsidRPr="00AC0030">
        <w:rPr>
          <w:rFonts w:ascii="Times New Roman" w:hAnsi="Times New Roman" w:cs="Times New Roman"/>
          <w:b/>
          <w:bCs/>
        </w:rPr>
        <w:t>)</w:t>
      </w:r>
      <w:r w:rsidRPr="00AC0030">
        <w:rPr>
          <w:rFonts w:ascii="Times New Roman" w:hAnsi="Times New Roman" w:cs="Times New Roman"/>
        </w:rPr>
        <w:t xml:space="preserve">: el más riguroso, simula la respuesta ante registros </w:t>
      </w:r>
      <w:proofErr w:type="spellStart"/>
      <w:r w:rsidRPr="00AC0030">
        <w:rPr>
          <w:rFonts w:ascii="Times New Roman" w:hAnsi="Times New Roman" w:cs="Times New Roman"/>
        </w:rPr>
        <w:t>acelerográficos</w:t>
      </w:r>
      <w:proofErr w:type="spellEnd"/>
      <w:r w:rsidRPr="00AC0030">
        <w:rPr>
          <w:rFonts w:ascii="Times New Roman" w:hAnsi="Times New Roman" w:cs="Times New Roman"/>
        </w:rPr>
        <w:t xml:space="preserve"> reales o sintéticos, capturando degradación cíclica, interacción modal y acumulación de daño. Requiere modelos constitutivos calibrados (por ejemplo, Concrete </w:t>
      </w:r>
      <w:proofErr w:type="spellStart"/>
      <w:r w:rsidRPr="00AC0030">
        <w:rPr>
          <w:rFonts w:ascii="Times New Roman" w:hAnsi="Times New Roman" w:cs="Times New Roman"/>
        </w:rPr>
        <w:t>Damaged</w:t>
      </w:r>
      <w:proofErr w:type="spellEnd"/>
      <w:r w:rsidRPr="00AC0030">
        <w:rPr>
          <w:rFonts w:ascii="Times New Roman" w:hAnsi="Times New Roman" w:cs="Times New Roman"/>
        </w:rPr>
        <w:t xml:space="preserve"> </w:t>
      </w:r>
      <w:proofErr w:type="spellStart"/>
      <w:r w:rsidRPr="00AC0030">
        <w:rPr>
          <w:rFonts w:ascii="Times New Roman" w:hAnsi="Times New Roman" w:cs="Times New Roman"/>
        </w:rPr>
        <w:t>Plasticity</w:t>
      </w:r>
      <w:proofErr w:type="spellEnd"/>
      <w:r w:rsidRPr="00AC0030">
        <w:rPr>
          <w:rFonts w:ascii="Times New Roman" w:hAnsi="Times New Roman" w:cs="Times New Roman"/>
        </w:rPr>
        <w:t xml:space="preserve"> en </w:t>
      </w:r>
      <w:proofErr w:type="spellStart"/>
      <w:r w:rsidRPr="00AC0030">
        <w:rPr>
          <w:rFonts w:ascii="Times New Roman" w:hAnsi="Times New Roman" w:cs="Times New Roman"/>
        </w:rPr>
        <w:t>ABAQUS</w:t>
      </w:r>
      <w:proofErr w:type="spellEnd"/>
      <w:r w:rsidRPr="00AC0030">
        <w:rPr>
          <w:rFonts w:ascii="Times New Roman" w:hAnsi="Times New Roman" w:cs="Times New Roman"/>
        </w:rPr>
        <w:t xml:space="preserve">, Fiber </w:t>
      </w:r>
      <w:proofErr w:type="spellStart"/>
      <w:r w:rsidRPr="00AC0030">
        <w:rPr>
          <w:rFonts w:ascii="Times New Roman" w:hAnsi="Times New Roman" w:cs="Times New Roman"/>
        </w:rPr>
        <w:t>sections</w:t>
      </w:r>
      <w:proofErr w:type="spellEnd"/>
      <w:r w:rsidRPr="00AC0030">
        <w:rPr>
          <w:rFonts w:ascii="Times New Roman" w:hAnsi="Times New Roman" w:cs="Times New Roman"/>
        </w:rPr>
        <w:t xml:space="preserve"> en </w:t>
      </w:r>
      <w:proofErr w:type="spellStart"/>
      <w:r w:rsidRPr="00AC0030">
        <w:rPr>
          <w:rFonts w:ascii="Times New Roman" w:hAnsi="Times New Roman" w:cs="Times New Roman"/>
        </w:rPr>
        <w:t>OpenSees</w:t>
      </w:r>
      <w:proofErr w:type="spellEnd"/>
      <w:r w:rsidRPr="00AC0030">
        <w:rPr>
          <w:rFonts w:ascii="Times New Roman" w:hAnsi="Times New Roman" w:cs="Times New Roman"/>
        </w:rPr>
        <w:t xml:space="preserve"> o multilaminar en </w:t>
      </w:r>
      <w:proofErr w:type="spellStart"/>
      <w:r w:rsidRPr="00AC0030">
        <w:rPr>
          <w:rFonts w:ascii="Times New Roman" w:hAnsi="Times New Roman" w:cs="Times New Roman"/>
        </w:rPr>
        <w:t>CLT</w:t>
      </w:r>
      <w:proofErr w:type="spellEnd"/>
      <w:r w:rsidRPr="00AC0030">
        <w:rPr>
          <w:rFonts w:ascii="Times New Roman" w:hAnsi="Times New Roman" w:cs="Times New Roman"/>
        </w:rPr>
        <w:t>).</w:t>
      </w:r>
    </w:p>
    <w:p w14:paraId="34F6E2F3"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rPr>
        <w:t xml:space="preserve">En materiales no convencionales, estos métodos se adaptan con modelos específicos: capas </w:t>
      </w:r>
      <w:proofErr w:type="spellStart"/>
      <w:r w:rsidRPr="00AC0030">
        <w:rPr>
          <w:rFonts w:ascii="Times New Roman" w:hAnsi="Times New Roman" w:cs="Times New Roman"/>
        </w:rPr>
        <w:t>ortotrópicas</w:t>
      </w:r>
      <w:proofErr w:type="spellEnd"/>
      <w:r w:rsidRPr="00AC0030">
        <w:rPr>
          <w:rFonts w:ascii="Times New Roman" w:hAnsi="Times New Roman" w:cs="Times New Roman"/>
        </w:rPr>
        <w:t xml:space="preserve"> para </w:t>
      </w:r>
      <w:proofErr w:type="spellStart"/>
      <w:r w:rsidRPr="00AC0030">
        <w:rPr>
          <w:rFonts w:ascii="Times New Roman" w:hAnsi="Times New Roman" w:cs="Times New Roman"/>
        </w:rPr>
        <w:t>CLT</w:t>
      </w:r>
      <w:proofErr w:type="spellEnd"/>
      <w:r w:rsidRPr="00AC0030">
        <w:rPr>
          <w:rFonts w:ascii="Times New Roman" w:hAnsi="Times New Roman" w:cs="Times New Roman"/>
        </w:rPr>
        <w:t xml:space="preserve">, </w:t>
      </w:r>
      <w:proofErr w:type="spellStart"/>
      <w:r w:rsidRPr="00AC0030">
        <w:rPr>
          <w:rFonts w:ascii="Times New Roman" w:hAnsi="Times New Roman" w:cs="Times New Roman"/>
        </w:rPr>
        <w:t>smeared</w:t>
      </w:r>
      <w:proofErr w:type="spellEnd"/>
      <w:r w:rsidRPr="00AC0030">
        <w:rPr>
          <w:rFonts w:ascii="Times New Roman" w:hAnsi="Times New Roman" w:cs="Times New Roman"/>
        </w:rPr>
        <w:t xml:space="preserve"> </w:t>
      </w:r>
      <w:proofErr w:type="gramStart"/>
      <w:r w:rsidRPr="00AC0030">
        <w:rPr>
          <w:rFonts w:ascii="Times New Roman" w:hAnsi="Times New Roman" w:cs="Times New Roman"/>
        </w:rPr>
        <w:t>crack</w:t>
      </w:r>
      <w:proofErr w:type="gramEnd"/>
      <w:r w:rsidRPr="00AC0030">
        <w:rPr>
          <w:rFonts w:ascii="Times New Roman" w:hAnsi="Times New Roman" w:cs="Times New Roman"/>
        </w:rPr>
        <w:t xml:space="preserve"> o </w:t>
      </w:r>
      <w:proofErr w:type="spellStart"/>
      <w:r w:rsidRPr="00AC0030">
        <w:rPr>
          <w:rFonts w:ascii="Times New Roman" w:hAnsi="Times New Roman" w:cs="Times New Roman"/>
        </w:rPr>
        <w:t>damage</w:t>
      </w:r>
      <w:proofErr w:type="spellEnd"/>
      <w:r w:rsidRPr="00AC0030">
        <w:rPr>
          <w:rFonts w:ascii="Times New Roman" w:hAnsi="Times New Roman" w:cs="Times New Roman"/>
        </w:rPr>
        <w:t xml:space="preserve"> </w:t>
      </w:r>
      <w:proofErr w:type="spellStart"/>
      <w:r w:rsidRPr="00AC0030">
        <w:rPr>
          <w:rFonts w:ascii="Times New Roman" w:hAnsi="Times New Roman" w:cs="Times New Roman"/>
        </w:rPr>
        <w:t>mechanics</w:t>
      </w:r>
      <w:proofErr w:type="spellEnd"/>
      <w:r w:rsidRPr="00AC0030">
        <w:rPr>
          <w:rFonts w:ascii="Times New Roman" w:hAnsi="Times New Roman" w:cs="Times New Roman"/>
        </w:rPr>
        <w:t xml:space="preserve"> para </w:t>
      </w:r>
      <w:proofErr w:type="spellStart"/>
      <w:r w:rsidRPr="00AC0030">
        <w:rPr>
          <w:rFonts w:ascii="Times New Roman" w:hAnsi="Times New Roman" w:cs="Times New Roman"/>
        </w:rPr>
        <w:t>FRP</w:t>
      </w:r>
      <w:proofErr w:type="spellEnd"/>
      <w:r w:rsidRPr="00AC0030">
        <w:rPr>
          <w:rFonts w:ascii="Times New Roman" w:hAnsi="Times New Roman" w:cs="Times New Roman"/>
        </w:rPr>
        <w:t xml:space="preserve">, o modelos con fibras discretas para </w:t>
      </w:r>
      <w:proofErr w:type="spellStart"/>
      <w:r w:rsidRPr="00AC0030">
        <w:rPr>
          <w:rFonts w:ascii="Times New Roman" w:hAnsi="Times New Roman" w:cs="Times New Roman"/>
        </w:rPr>
        <w:t>UHPC</w:t>
      </w:r>
      <w:proofErr w:type="spellEnd"/>
      <w:r w:rsidRPr="00AC0030">
        <w:rPr>
          <w:rFonts w:ascii="Times New Roman" w:hAnsi="Times New Roman" w:cs="Times New Roman"/>
        </w:rPr>
        <w:t xml:space="preserve">, permitiendo predecir fenómenos como delaminación, fractura direccional o comportamiento </w:t>
      </w:r>
      <w:proofErr w:type="spellStart"/>
      <w:r w:rsidRPr="00AC0030">
        <w:rPr>
          <w:rFonts w:ascii="Times New Roman" w:hAnsi="Times New Roman" w:cs="Times New Roman"/>
        </w:rPr>
        <w:t>post-pico</w:t>
      </w:r>
      <w:proofErr w:type="spellEnd"/>
      <w:r w:rsidRPr="00AC0030">
        <w:rPr>
          <w:rFonts w:ascii="Times New Roman" w:hAnsi="Times New Roman" w:cs="Times New Roman"/>
        </w:rPr>
        <w:t>.</w:t>
      </w:r>
    </w:p>
    <w:p w14:paraId="7E6D46A9"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b/>
          <w:bCs/>
        </w:rPr>
        <w:t>Implicaciones para el diseño estructural y el diseño basado en desempeño</w:t>
      </w:r>
    </w:p>
    <w:p w14:paraId="413CBF0D"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rPr>
        <w:lastRenderedPageBreak/>
        <w:t>La adopción del análisis no lineal trasciende el diseño elástico equivalente, habilitando la evaluación explícita de estados límite de desempeño (inmediato ocupacional, vida segura, colapso prevenido). Este paradigma, conocido como diseño basado en desempeño (Performance-</w:t>
      </w:r>
      <w:proofErr w:type="spellStart"/>
      <w:r w:rsidRPr="00AC0030">
        <w:rPr>
          <w:rFonts w:ascii="Times New Roman" w:hAnsi="Times New Roman" w:cs="Times New Roman"/>
        </w:rPr>
        <w:t>Based</w:t>
      </w:r>
      <w:proofErr w:type="spellEnd"/>
      <w:r w:rsidRPr="00AC0030">
        <w:rPr>
          <w:rFonts w:ascii="Times New Roman" w:hAnsi="Times New Roman" w:cs="Times New Roman"/>
        </w:rPr>
        <w:t xml:space="preserve"> </w:t>
      </w:r>
      <w:proofErr w:type="spellStart"/>
      <w:r w:rsidRPr="00AC0030">
        <w:rPr>
          <w:rFonts w:ascii="Times New Roman" w:hAnsi="Times New Roman" w:cs="Times New Roman"/>
        </w:rPr>
        <w:t>Design</w:t>
      </w:r>
      <w:proofErr w:type="spellEnd"/>
      <w:r w:rsidRPr="00AC0030">
        <w:rPr>
          <w:rFonts w:ascii="Times New Roman" w:hAnsi="Times New Roman" w:cs="Times New Roman"/>
        </w:rPr>
        <w:t>), alinea los objetivos de seguridad con la respuesta esperada real ante distintos niveles de intensidad sísmica.</w:t>
      </w:r>
    </w:p>
    <w:p w14:paraId="527A20BA"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rPr>
        <w:t xml:space="preserve">En Colombia, aunque la NSR-10 prioriza el diseño por fuerza con factores de modificación de respuesta (R), permite análisis no lineales en evaluaciones de vulnerabilidad, rehabilitación y estructuras especiales o no convencionales (Título A y comisiones asesoras). Para materiales emergentes como </w:t>
      </w:r>
      <w:proofErr w:type="spellStart"/>
      <w:r w:rsidRPr="00AC0030">
        <w:rPr>
          <w:rFonts w:ascii="Times New Roman" w:hAnsi="Times New Roman" w:cs="Times New Roman"/>
        </w:rPr>
        <w:t>CLT</w:t>
      </w:r>
      <w:proofErr w:type="spellEnd"/>
      <w:r w:rsidRPr="00AC0030">
        <w:rPr>
          <w:rFonts w:ascii="Times New Roman" w:hAnsi="Times New Roman" w:cs="Times New Roman"/>
        </w:rPr>
        <w:t xml:space="preserve"> o </w:t>
      </w:r>
      <w:proofErr w:type="spellStart"/>
      <w:r w:rsidRPr="00AC0030">
        <w:rPr>
          <w:rFonts w:ascii="Times New Roman" w:hAnsi="Times New Roman" w:cs="Times New Roman"/>
        </w:rPr>
        <w:t>UHPC</w:t>
      </w:r>
      <w:proofErr w:type="spellEnd"/>
      <w:r w:rsidRPr="00AC0030">
        <w:rPr>
          <w:rFonts w:ascii="Times New Roman" w:hAnsi="Times New Roman" w:cs="Times New Roman"/>
        </w:rPr>
        <w:t xml:space="preserve"> —cada vez más explorados en proyectos híbridos o sostenibles—, el análisis no lineal es prácticamente obligatorio para justificar su uso seguro, optimizar secciones esbeltas y validar la disipación de energía.</w:t>
      </w:r>
    </w:p>
    <w:p w14:paraId="32465298"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b/>
          <w:bCs/>
        </w:rPr>
        <w:t>Desafíos y perspectivas</w:t>
      </w:r>
    </w:p>
    <w:p w14:paraId="4EDB4E96"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rPr>
        <w:t>Entre los principales desafíos destacan: la alta dependencia de los resultados respecto a los modelos constitutivos y parámetros de entrada, la necesidad de validación experimental robusta, el costo computacional (especialmente en análisis dinámicos 3D) y la brecha entre investigación académica y práctica profesional.</w:t>
      </w:r>
    </w:p>
    <w:p w14:paraId="4E62A144"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rPr>
        <w:t>Sin embargo, los avances en software (</w:t>
      </w:r>
      <w:proofErr w:type="spellStart"/>
      <w:r w:rsidRPr="00AC0030">
        <w:rPr>
          <w:rFonts w:ascii="Times New Roman" w:hAnsi="Times New Roman" w:cs="Times New Roman"/>
        </w:rPr>
        <w:t>ETABS</w:t>
      </w:r>
      <w:proofErr w:type="spellEnd"/>
      <w:r w:rsidRPr="00AC0030">
        <w:rPr>
          <w:rFonts w:ascii="Times New Roman" w:hAnsi="Times New Roman" w:cs="Times New Roman"/>
        </w:rPr>
        <w:t xml:space="preserve"> no lineal, </w:t>
      </w:r>
      <w:proofErr w:type="spellStart"/>
      <w:r w:rsidRPr="00AC0030">
        <w:rPr>
          <w:rFonts w:ascii="Times New Roman" w:hAnsi="Times New Roman" w:cs="Times New Roman"/>
        </w:rPr>
        <w:t>SeismoStruct</w:t>
      </w:r>
      <w:proofErr w:type="spellEnd"/>
      <w:r w:rsidRPr="00AC0030">
        <w:rPr>
          <w:rFonts w:ascii="Times New Roman" w:hAnsi="Times New Roman" w:cs="Times New Roman"/>
        </w:rPr>
        <w:t xml:space="preserve">, </w:t>
      </w:r>
      <w:proofErr w:type="spellStart"/>
      <w:r w:rsidRPr="00AC0030">
        <w:rPr>
          <w:rFonts w:ascii="Times New Roman" w:hAnsi="Times New Roman" w:cs="Times New Roman"/>
        </w:rPr>
        <w:t>OpenSees</w:t>
      </w:r>
      <w:proofErr w:type="spellEnd"/>
      <w:r w:rsidRPr="00AC0030">
        <w:rPr>
          <w:rFonts w:ascii="Times New Roman" w:hAnsi="Times New Roman" w:cs="Times New Roman"/>
        </w:rPr>
        <w:t>, SAP2000 avanzado), capacidad de cómputo y ensayos (cíclicos en laboratorios universitarios colombianos) están facilitando su integración. Además, el impulso hacia la construcción sostenible favorece materiales no convencionales, cuyo diseño seguro depende intrínsecamente del análisis no lineal.</w:t>
      </w:r>
    </w:p>
    <w:p w14:paraId="38D18033"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b/>
          <w:bCs/>
        </w:rPr>
        <w:t>Conclusiones</w:t>
      </w:r>
    </w:p>
    <w:p w14:paraId="582FFDD7" w14:textId="77777777" w:rsidR="008F5A7A" w:rsidRPr="00AC0030" w:rsidRDefault="008F5A7A" w:rsidP="008F5A7A">
      <w:pPr>
        <w:jc w:val="both"/>
        <w:rPr>
          <w:rFonts w:ascii="Times New Roman" w:hAnsi="Times New Roman" w:cs="Times New Roman"/>
        </w:rPr>
      </w:pPr>
      <w:r w:rsidRPr="00AC0030">
        <w:rPr>
          <w:rFonts w:ascii="Times New Roman" w:hAnsi="Times New Roman" w:cs="Times New Roman"/>
        </w:rPr>
        <w:t>El análisis no lineal de estructuras para edificaciones constituye una herramienta fundamental para comprender y predecir el comportamiento real ante solicitaciones extremas, superando las limitaciones de los enfoques lineales y habilitando diseños basados en desempeño más coherentes con la física de los sistemas estructurales.</w:t>
      </w:r>
    </w:p>
    <w:p w14:paraId="480F274F" w14:textId="77777777" w:rsidR="008F5A7A" w:rsidRPr="00AC0030" w:rsidRDefault="008F5A7A" w:rsidP="008F5A7A">
      <w:pPr>
        <w:jc w:val="both"/>
        <w:rPr>
          <w:rFonts w:ascii="Times New Roman" w:hAnsi="Times New Roman" w:cs="Times New Roman"/>
        </w:rPr>
      </w:pPr>
    </w:p>
    <w:sectPr w:rsidR="008F5A7A" w:rsidRPr="00AC003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855A14"/>
    <w:multiLevelType w:val="multilevel"/>
    <w:tmpl w:val="F364D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4D3983"/>
    <w:multiLevelType w:val="multilevel"/>
    <w:tmpl w:val="28800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0934566">
    <w:abstractNumId w:val="1"/>
  </w:num>
  <w:num w:numId="2" w16cid:durableId="1494488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A7A"/>
    <w:rsid w:val="008F5A7A"/>
    <w:rsid w:val="00AC0030"/>
    <w:rsid w:val="00FB5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BB40F"/>
  <w15:chartTrackingRefBased/>
  <w15:docId w15:val="{91307763-EA0C-45D4-82A4-BE99C99F8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F5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F5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F5A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F5A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F5A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F5A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F5A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F5A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F5A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F5A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F5A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F5A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F5A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F5A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F5A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F5A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F5A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F5A7A"/>
    <w:rPr>
      <w:rFonts w:eastAsiaTheme="majorEastAsia" w:cstheme="majorBidi"/>
      <w:color w:val="272727" w:themeColor="text1" w:themeTint="D8"/>
    </w:rPr>
  </w:style>
  <w:style w:type="paragraph" w:styleId="Ttulo">
    <w:name w:val="Title"/>
    <w:basedOn w:val="Normal"/>
    <w:next w:val="Normal"/>
    <w:link w:val="TtuloCar"/>
    <w:uiPriority w:val="10"/>
    <w:qFormat/>
    <w:rsid w:val="008F5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F5A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F5A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F5A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F5A7A"/>
    <w:pPr>
      <w:spacing w:before="160"/>
      <w:jc w:val="center"/>
    </w:pPr>
    <w:rPr>
      <w:i/>
      <w:iCs/>
      <w:color w:val="404040" w:themeColor="text1" w:themeTint="BF"/>
    </w:rPr>
  </w:style>
  <w:style w:type="character" w:customStyle="1" w:styleId="CitaCar">
    <w:name w:val="Cita Car"/>
    <w:basedOn w:val="Fuentedeprrafopredeter"/>
    <w:link w:val="Cita"/>
    <w:uiPriority w:val="29"/>
    <w:rsid w:val="008F5A7A"/>
    <w:rPr>
      <w:i/>
      <w:iCs/>
      <w:color w:val="404040" w:themeColor="text1" w:themeTint="BF"/>
    </w:rPr>
  </w:style>
  <w:style w:type="paragraph" w:styleId="Prrafodelista">
    <w:name w:val="List Paragraph"/>
    <w:basedOn w:val="Normal"/>
    <w:uiPriority w:val="34"/>
    <w:qFormat/>
    <w:rsid w:val="008F5A7A"/>
    <w:pPr>
      <w:ind w:left="720"/>
      <w:contextualSpacing/>
    </w:pPr>
  </w:style>
  <w:style w:type="character" w:styleId="nfasisintenso">
    <w:name w:val="Intense Emphasis"/>
    <w:basedOn w:val="Fuentedeprrafopredeter"/>
    <w:uiPriority w:val="21"/>
    <w:qFormat/>
    <w:rsid w:val="008F5A7A"/>
    <w:rPr>
      <w:i/>
      <w:iCs/>
      <w:color w:val="0F4761" w:themeColor="accent1" w:themeShade="BF"/>
    </w:rPr>
  </w:style>
  <w:style w:type="paragraph" w:styleId="Citadestacada">
    <w:name w:val="Intense Quote"/>
    <w:basedOn w:val="Normal"/>
    <w:next w:val="Normal"/>
    <w:link w:val="CitadestacadaCar"/>
    <w:uiPriority w:val="30"/>
    <w:qFormat/>
    <w:rsid w:val="008F5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F5A7A"/>
    <w:rPr>
      <w:i/>
      <w:iCs/>
      <w:color w:val="0F4761" w:themeColor="accent1" w:themeShade="BF"/>
    </w:rPr>
  </w:style>
  <w:style w:type="character" w:styleId="Referenciaintensa">
    <w:name w:val="Intense Reference"/>
    <w:basedOn w:val="Fuentedeprrafopredeter"/>
    <w:uiPriority w:val="32"/>
    <w:qFormat/>
    <w:rsid w:val="008F5A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958</Words>
  <Characters>6195</Characters>
  <Application>Microsoft Office Word</Application>
  <DocSecurity>0</DocSecurity>
  <Lines>101</Lines>
  <Paragraphs>29</Paragraphs>
  <ScaleCrop>false</ScaleCrop>
  <Company>Conocimiento Adictivo</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Guerrero</dc:creator>
  <cp:keywords/>
  <dc:description/>
  <cp:lastModifiedBy>Nestor Guerrero</cp:lastModifiedBy>
  <cp:revision>2</cp:revision>
  <dcterms:created xsi:type="dcterms:W3CDTF">2026-01-30T23:09:00Z</dcterms:created>
  <dcterms:modified xsi:type="dcterms:W3CDTF">2026-01-30T23:12:00Z</dcterms:modified>
</cp:coreProperties>
</file>