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05AE5"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b/>
          <w:bCs/>
          <w:sz w:val="22"/>
          <w:szCs w:val="22"/>
          <w:lang w:val="es-CO"/>
        </w:rPr>
        <w:t>PARADIGMAS DEL ANÁLISIS NO LINEAL EN LA FORMACIÓN DEL INGENIERO CIVIL</w:t>
      </w:r>
    </w:p>
    <w:p w14:paraId="4A0BEA71"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b/>
          <w:bCs/>
          <w:sz w:val="22"/>
          <w:szCs w:val="22"/>
          <w:lang w:val="es-CO"/>
        </w:rPr>
        <w:t>Perfil:</w:t>
      </w:r>
      <w:r w:rsidRPr="00352536">
        <w:rPr>
          <w:rFonts w:ascii="Arial Narrow" w:hAnsi="Arial Narrow"/>
          <w:sz w:val="22"/>
          <w:szCs w:val="22"/>
          <w:lang w:val="es-CO"/>
        </w:rPr>
        <w:t xml:space="preserve"> TC5 – Departamento de Ingeniería Civil y Agrícola</w:t>
      </w:r>
    </w:p>
    <w:p w14:paraId="462DD66E"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b/>
          <w:bCs/>
          <w:sz w:val="22"/>
          <w:szCs w:val="22"/>
          <w:lang w:val="es-CO"/>
        </w:rPr>
        <w:t>Área de Desempeño:</w:t>
      </w:r>
      <w:r w:rsidRPr="00352536">
        <w:rPr>
          <w:rFonts w:ascii="Arial Narrow" w:hAnsi="Arial Narrow"/>
          <w:sz w:val="22"/>
          <w:szCs w:val="22"/>
          <w:lang w:val="es-CO"/>
        </w:rPr>
        <w:t xml:space="preserve"> Análisis no lineal de estructuras para edificaciones.</w:t>
      </w:r>
    </w:p>
    <w:p w14:paraId="67880A95" w14:textId="3CE37972" w:rsidR="000F5E8B" w:rsidRPr="00352536" w:rsidRDefault="00000000" w:rsidP="00AA6962">
      <w:pPr>
        <w:pStyle w:val="Ttulo2"/>
        <w:keepNext w:val="0"/>
        <w:keepLines w:val="0"/>
        <w:spacing w:before="360" w:after="180" w:line="276" w:lineRule="auto"/>
        <w:jc w:val="both"/>
        <w:rPr>
          <w:rFonts w:ascii="Arial Narrow" w:hAnsi="Arial Narrow"/>
          <w:sz w:val="22"/>
          <w:szCs w:val="22"/>
          <w:lang w:val="es-CO"/>
        </w:rPr>
      </w:pPr>
      <w:r w:rsidRPr="00352536">
        <w:rPr>
          <w:rFonts w:ascii="Arial Narrow" w:hAnsi="Arial Narrow"/>
          <w:color w:val="auto"/>
          <w:sz w:val="22"/>
          <w:szCs w:val="22"/>
          <w:lang w:val="es-CO"/>
        </w:rPr>
        <w:t>a. Justificación</w:t>
      </w:r>
    </w:p>
    <w:p w14:paraId="690AE10D" w14:textId="617FD846"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sz w:val="22"/>
          <w:szCs w:val="22"/>
          <w:lang w:val="es-CO"/>
        </w:rPr>
        <w:t>Colombia está ubicada en una región con alta amenaza sísmica debido a la interacción de las placas de Nazca, Caribe y Su</w:t>
      </w:r>
      <w:r w:rsidR="00352536">
        <w:rPr>
          <w:rFonts w:ascii="Arial Narrow" w:hAnsi="Arial Narrow"/>
          <w:sz w:val="22"/>
          <w:szCs w:val="22"/>
          <w:lang w:val="es-CO"/>
        </w:rPr>
        <w:t>d</w:t>
      </w:r>
      <w:r w:rsidRPr="00352536">
        <w:rPr>
          <w:rFonts w:ascii="Arial Narrow" w:hAnsi="Arial Narrow"/>
          <w:sz w:val="22"/>
          <w:szCs w:val="22"/>
          <w:lang w:val="es-CO"/>
        </w:rPr>
        <w:t>americana, además de una red de fallas geológicas activas que atraviesan áreas urbanas clave. Este contexto geodinámico exige que las edificaciones y la infraestructura se diseñen y evalúen con criterios matemáticos y físicos avanzados, garantizando la prevención del colapso bajo sismos y promoviendo la resiliencia y pronta recuperación tras eventos extremos.</w:t>
      </w:r>
    </w:p>
    <w:p w14:paraId="61689147" w14:textId="00789F18"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sz w:val="22"/>
          <w:szCs w:val="22"/>
          <w:lang w:val="es-CO"/>
        </w:rPr>
        <w:t xml:space="preserve">Tradicionalmente, la enseñanza en ingeniería civil se sustenta en modelos lineales elásticos, válidos para familiarizarse con la mecánica de </w:t>
      </w:r>
      <w:r w:rsidR="00352536" w:rsidRPr="00352536">
        <w:rPr>
          <w:rFonts w:ascii="Arial Narrow" w:hAnsi="Arial Narrow"/>
          <w:sz w:val="22"/>
          <w:szCs w:val="22"/>
          <w:lang w:val="es-CO"/>
        </w:rPr>
        <w:t>materiales,</w:t>
      </w:r>
      <w:r w:rsidRPr="00352536">
        <w:rPr>
          <w:rFonts w:ascii="Arial Narrow" w:hAnsi="Arial Narrow"/>
          <w:sz w:val="22"/>
          <w:szCs w:val="22"/>
          <w:lang w:val="es-CO"/>
        </w:rPr>
        <w:t xml:space="preserve"> pero insuficientes frente a la realidad estructural. La suposición de rigidez constante y recuperación total de las deformaciones, propia de la elasticidad, no refleja los procesos observados en estructuras afectadas por sismos, donde la respuesta real supera el límite de idealización y demanda análisis más rigurosos y actualizados.</w:t>
      </w:r>
    </w:p>
    <w:p w14:paraId="039A3DAB"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sz w:val="22"/>
          <w:szCs w:val="22"/>
          <w:lang w:val="es-CO"/>
        </w:rPr>
        <w:t>Frente a los efectos de un sismo severo, las estructuras revelan comportamientos mucho más complejos que los previstos por los modelos lineales. Al sobrepasar el rango elástico, los materiales experimentan daños acumulativos: el concreto se fisura, el acero entra en régimen plástico y las conexiones sufren deterioros que alteran la rigidez global. Estas transformaciones, sumadas a los efectos del segundo orden, exigen un análisis no lineal para comprender y predecir la verdadera respuesta estructural. Aplicar modelos lineales con simples factores de reducción puede llevar a errores significativos en la estimación del desempeño, sobre todo en edificaciones irregulares (Kazantzi, Vamvatsikos &amp; Lignos, 2020).</w:t>
      </w:r>
    </w:p>
    <w:p w14:paraId="4F3C79AD"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sz w:val="22"/>
          <w:szCs w:val="22"/>
          <w:lang w:val="es-CO"/>
        </w:rPr>
        <w:t>El análisis no lineal de estructuras irrumpe entonces como el paradigma necesario para representar con fidelidad este comportamiento inelástico. Permite modelar explícitamente fenómenos como la fluencia, la plastificación localizada, la degradación progresiva de rigidez cíclica, la formación de rótulas plásticas espaciales y la cinemática de los mecanismos progresivos de falla estructural. Este enfoque no es un lujo académico, sino el motor fundamental para la transición definitiva de la ingeniería hacia el Diseño Basado en Desempeño (Performance-Based Earthquake Engineering - PBEE).</w:t>
      </w:r>
    </w:p>
    <w:p w14:paraId="5E14B04C"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sz w:val="22"/>
          <w:szCs w:val="22"/>
          <w:lang w:val="es-CO"/>
        </w:rPr>
        <w:t>La Universidad Nacional de Colombia, institución con larga tradición en la formación de ingenieros civiles, tiene la responsabilidad de adaptar su plan de estudios a los retos actuales. Incluir el análisis no lineal en el currículo no solo amplía la visión de los futuros profesionales, sino que también fomenta el pensamiento crítico sobre las limitaciones normativas y los prepara para responder a desafíos emergentes en optimización estructural y resiliencia de las ciudades.</w:t>
      </w:r>
    </w:p>
    <w:p w14:paraId="5ABC3444" w14:textId="3FC9DB0D" w:rsidR="000F5E8B"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sz w:val="22"/>
          <w:szCs w:val="22"/>
          <w:lang w:val="es-CO"/>
        </w:rPr>
        <w:t>Por otra parte, buena parte de las edificaciones existentes en el país corresponde a construcciones realizadas bajo normativas ya superadas o mediante procesos informales, elevando su vulnerabilidad frente a terremotos (Villar-Vega, Silva &amp; Cardona, 2021). Ante este panorama, la labor universitaria debe trascender la teoría y enfocarse en proyectos de investigación aplicada, transferencia de conocimiento y formación comunitaria. Consolidar el área de análisis no lineal se convierte así en un puente entre la docencia, la investigación y la extensión, con un efecto tangible en la seguridad de la población.</w:t>
      </w:r>
    </w:p>
    <w:p w14:paraId="012DFAAF" w14:textId="77777777" w:rsidR="000F5E8B" w:rsidRPr="00352536" w:rsidRDefault="00000000" w:rsidP="00AA6962">
      <w:pPr>
        <w:pStyle w:val="Ttulo2"/>
        <w:keepNext w:val="0"/>
        <w:keepLines w:val="0"/>
        <w:spacing w:before="360" w:after="180" w:line="276" w:lineRule="auto"/>
        <w:jc w:val="both"/>
        <w:rPr>
          <w:rFonts w:ascii="Arial Narrow" w:hAnsi="Arial Narrow"/>
          <w:sz w:val="22"/>
          <w:szCs w:val="22"/>
          <w:lang w:val="es-CO"/>
        </w:rPr>
      </w:pPr>
      <w:r w:rsidRPr="00352536">
        <w:rPr>
          <w:rFonts w:ascii="Arial Narrow" w:hAnsi="Arial Narrow"/>
          <w:color w:val="auto"/>
          <w:sz w:val="22"/>
          <w:szCs w:val="22"/>
          <w:lang w:val="es-CO"/>
        </w:rPr>
        <w:lastRenderedPageBreak/>
        <w:t>b. Objetivos</w:t>
      </w:r>
    </w:p>
    <w:p w14:paraId="2545794D" w14:textId="07B725AB" w:rsidR="000F5E8B" w:rsidRPr="004F12B4" w:rsidRDefault="00000000" w:rsidP="00AA6962">
      <w:pPr>
        <w:pStyle w:val="Ttulo3"/>
        <w:keepNext w:val="0"/>
        <w:keepLines w:val="0"/>
        <w:spacing w:before="140" w:after="140" w:line="276" w:lineRule="auto"/>
        <w:jc w:val="both"/>
        <w:rPr>
          <w:rFonts w:ascii="Arial Narrow" w:hAnsi="Arial Narrow"/>
          <w:sz w:val="22"/>
          <w:szCs w:val="22"/>
          <w:lang w:val="es-CO"/>
        </w:rPr>
      </w:pPr>
      <w:r w:rsidRPr="00352536">
        <w:rPr>
          <w:rFonts w:ascii="Arial Narrow" w:hAnsi="Arial Narrow"/>
          <w:color w:val="auto"/>
          <w:sz w:val="22"/>
          <w:szCs w:val="22"/>
          <w:lang w:val="es-CO"/>
        </w:rPr>
        <w:t>Objetivo General</w:t>
      </w:r>
      <w:r w:rsidR="004F12B4">
        <w:rPr>
          <w:rFonts w:ascii="Arial Narrow" w:hAnsi="Arial Narrow"/>
          <w:sz w:val="22"/>
          <w:szCs w:val="22"/>
          <w:lang w:val="es-CO"/>
        </w:rPr>
        <w:t xml:space="preserve">: </w:t>
      </w:r>
      <w:r w:rsidRPr="00352536">
        <w:rPr>
          <w:rFonts w:ascii="Arial Narrow" w:hAnsi="Arial Narrow"/>
          <w:b w:val="0"/>
          <w:bCs w:val="0"/>
          <w:color w:val="auto"/>
          <w:sz w:val="22"/>
          <w:szCs w:val="22"/>
          <w:lang w:val="es-CO"/>
        </w:rPr>
        <w:t>Fortalecer la formación, investigación y proyección social en el área de análisis no lineal de estructuras para edificaciones, contribuyendo a la reducción del riesgo sísmico y al desarrollo de infraestructura segura, resiliente y sostenible en Colombia.</w:t>
      </w:r>
    </w:p>
    <w:p w14:paraId="754B48A0" w14:textId="77777777" w:rsidR="000F5E8B" w:rsidRPr="00352536" w:rsidRDefault="00000000" w:rsidP="00AA6962">
      <w:pPr>
        <w:pStyle w:val="Ttulo3"/>
        <w:keepNext w:val="0"/>
        <w:keepLines w:val="0"/>
        <w:spacing w:before="140" w:after="140" w:line="276" w:lineRule="auto"/>
        <w:jc w:val="both"/>
        <w:rPr>
          <w:rFonts w:ascii="Arial Narrow" w:hAnsi="Arial Narrow"/>
          <w:sz w:val="22"/>
          <w:szCs w:val="22"/>
          <w:lang w:val="es-CO"/>
        </w:rPr>
      </w:pPr>
      <w:r w:rsidRPr="00352536">
        <w:rPr>
          <w:rFonts w:ascii="Arial Narrow" w:hAnsi="Arial Narrow"/>
          <w:color w:val="auto"/>
          <w:sz w:val="22"/>
          <w:szCs w:val="22"/>
          <w:lang w:val="es-CO"/>
        </w:rPr>
        <w:t>Objetivos Específicos</w:t>
      </w:r>
    </w:p>
    <w:p w14:paraId="642E112B" w14:textId="77777777" w:rsidR="000F5E8B" w:rsidRPr="00352536" w:rsidRDefault="00000000" w:rsidP="00AA6962">
      <w:pPr>
        <w:numPr>
          <w:ilvl w:val="0"/>
          <w:numId w:val="1"/>
        </w:numPr>
        <w:spacing w:before="240" w:after="120" w:line="276" w:lineRule="auto"/>
        <w:ind w:hanging="242"/>
        <w:jc w:val="both"/>
        <w:rPr>
          <w:rFonts w:ascii="Arial Narrow" w:hAnsi="Arial Narrow"/>
          <w:sz w:val="22"/>
          <w:szCs w:val="22"/>
          <w:lang w:val="es-CO"/>
        </w:rPr>
      </w:pPr>
      <w:r w:rsidRPr="00352536">
        <w:rPr>
          <w:rFonts w:ascii="Arial Narrow" w:hAnsi="Arial Narrow"/>
          <w:sz w:val="22"/>
          <w:szCs w:val="22"/>
          <w:lang w:val="es-CO"/>
        </w:rPr>
        <w:t>Integrar de manera progresiva, fundamentada y didáctica los conceptos termodinámicos, físicos y matemáticos del análisis no lineal en la formación del ingeniero civil, eliminando la barrera artificial entre el análisis lineal de pregrado y el no lineal de posgrado.</w:t>
      </w:r>
    </w:p>
    <w:p w14:paraId="56557FF4" w14:textId="77777777" w:rsidR="000F5E8B" w:rsidRPr="00352536" w:rsidRDefault="00000000" w:rsidP="00AA6962">
      <w:pPr>
        <w:numPr>
          <w:ilvl w:val="0"/>
          <w:numId w:val="1"/>
        </w:numPr>
        <w:spacing w:before="120" w:after="120" w:line="276" w:lineRule="auto"/>
        <w:ind w:hanging="242"/>
        <w:jc w:val="both"/>
        <w:rPr>
          <w:rFonts w:ascii="Arial Narrow" w:hAnsi="Arial Narrow"/>
          <w:sz w:val="22"/>
          <w:szCs w:val="22"/>
          <w:lang w:val="es-CO"/>
        </w:rPr>
      </w:pPr>
      <w:r w:rsidRPr="00352536">
        <w:rPr>
          <w:rFonts w:ascii="Arial Narrow" w:hAnsi="Arial Narrow"/>
          <w:sz w:val="22"/>
          <w:szCs w:val="22"/>
          <w:lang w:val="es-CO"/>
        </w:rPr>
        <w:t>Promover el aprendizaje fenoménico y el razonamiento deductivo del comportamiento inelástico mediante la integración de laboratorios físicos a escala y plataformas de simulación computacional avanzada de código abierto.</w:t>
      </w:r>
    </w:p>
    <w:p w14:paraId="291A8B9C" w14:textId="77777777" w:rsidR="000F5E8B" w:rsidRPr="00352536" w:rsidRDefault="00000000" w:rsidP="00AA6962">
      <w:pPr>
        <w:numPr>
          <w:ilvl w:val="0"/>
          <w:numId w:val="1"/>
        </w:numPr>
        <w:spacing w:before="120" w:after="120" w:line="276" w:lineRule="auto"/>
        <w:ind w:hanging="242"/>
        <w:jc w:val="both"/>
        <w:rPr>
          <w:rFonts w:ascii="Arial Narrow" w:hAnsi="Arial Narrow"/>
          <w:sz w:val="22"/>
          <w:szCs w:val="22"/>
          <w:lang w:val="es-CO"/>
        </w:rPr>
      </w:pPr>
      <w:r w:rsidRPr="00352536">
        <w:rPr>
          <w:rFonts w:ascii="Arial Narrow" w:hAnsi="Arial Narrow"/>
          <w:sz w:val="22"/>
          <w:szCs w:val="22"/>
          <w:lang w:val="es-CO"/>
        </w:rPr>
        <w:t>Desarrollar proyectos de investigación aplicada y de alto impacto orientados a la evaluación estática y dinámica del desempeño sísmico, calibrando modelos numéricos específicos para las tipologías estructurales y materiales propios de la industria colombiana.</w:t>
      </w:r>
    </w:p>
    <w:p w14:paraId="7A6A9C96" w14:textId="77777777" w:rsidR="000F5E8B" w:rsidRPr="00352536" w:rsidRDefault="00000000" w:rsidP="00AA6962">
      <w:pPr>
        <w:numPr>
          <w:ilvl w:val="0"/>
          <w:numId w:val="1"/>
        </w:numPr>
        <w:spacing w:before="120" w:after="120" w:line="276" w:lineRule="auto"/>
        <w:ind w:hanging="242"/>
        <w:jc w:val="both"/>
        <w:rPr>
          <w:rFonts w:ascii="Arial Narrow" w:hAnsi="Arial Narrow"/>
          <w:sz w:val="22"/>
          <w:szCs w:val="22"/>
          <w:lang w:val="es-CO"/>
        </w:rPr>
      </w:pPr>
      <w:r w:rsidRPr="00352536">
        <w:rPr>
          <w:rFonts w:ascii="Arial Narrow" w:hAnsi="Arial Narrow"/>
          <w:sz w:val="22"/>
          <w:szCs w:val="22"/>
          <w:lang w:val="es-CO"/>
        </w:rPr>
        <w:t>Evaluar analíticamente la vulnerabilidad estructural del parque edificado nacional (formal e informal) mediante el uso de gemelos digitales y modelos inelásticos, proponiendo estrategias de reforzamiento técnico y económicamente viables.</w:t>
      </w:r>
    </w:p>
    <w:p w14:paraId="67061A2E" w14:textId="77777777" w:rsidR="000F5E8B" w:rsidRPr="00352536" w:rsidRDefault="00000000" w:rsidP="00AA6962">
      <w:pPr>
        <w:numPr>
          <w:ilvl w:val="0"/>
          <w:numId w:val="1"/>
        </w:numPr>
        <w:spacing w:before="120" w:after="120" w:line="276" w:lineRule="auto"/>
        <w:ind w:hanging="242"/>
        <w:jc w:val="both"/>
        <w:rPr>
          <w:rFonts w:ascii="Arial Narrow" w:hAnsi="Arial Narrow"/>
          <w:sz w:val="22"/>
          <w:szCs w:val="22"/>
          <w:lang w:val="es-CO"/>
        </w:rPr>
      </w:pPr>
      <w:r w:rsidRPr="00352536">
        <w:rPr>
          <w:rFonts w:ascii="Arial Narrow" w:hAnsi="Arial Narrow"/>
          <w:sz w:val="22"/>
          <w:szCs w:val="22"/>
          <w:lang w:val="es-CO"/>
        </w:rPr>
        <w:t>conocimiento técnico especializado al sector productivo (oficinas de diseño, curadurías, gremios constructores) y, simultáneamente, llevar soluciones simplificadas a comunidades vulnerables para mejorar de facto la seguridad estructural.</w:t>
      </w:r>
    </w:p>
    <w:p w14:paraId="702741EE" w14:textId="77777777" w:rsidR="000F5E8B" w:rsidRPr="00352536" w:rsidRDefault="00000000" w:rsidP="00AA6962">
      <w:pPr>
        <w:numPr>
          <w:ilvl w:val="0"/>
          <w:numId w:val="1"/>
        </w:numPr>
        <w:spacing w:before="120" w:after="240" w:line="276" w:lineRule="auto"/>
        <w:ind w:hanging="242"/>
        <w:jc w:val="both"/>
        <w:rPr>
          <w:rFonts w:ascii="Arial Narrow" w:hAnsi="Arial Narrow"/>
          <w:sz w:val="22"/>
          <w:szCs w:val="22"/>
          <w:lang w:val="es-CO"/>
        </w:rPr>
      </w:pPr>
      <w:r w:rsidRPr="00352536">
        <w:rPr>
          <w:rFonts w:ascii="Arial Narrow" w:hAnsi="Arial Narrow"/>
          <w:sz w:val="22"/>
          <w:szCs w:val="22"/>
          <w:lang w:val="es-CO"/>
        </w:rPr>
        <w:t>Fomentar la sostenibilidad en la construcción integrando metodologías de optimización estructural basadas en desempeño sísmico no lineal con el análisis de ciclo de vida (LCA), minimizando la huella de carbono incorporada de los proyectos.</w:t>
      </w:r>
    </w:p>
    <w:p w14:paraId="2D1944E4" w14:textId="77777777" w:rsidR="000F5E8B" w:rsidRPr="00352536" w:rsidRDefault="00000000" w:rsidP="00AA6962">
      <w:pPr>
        <w:pStyle w:val="Ttulo2"/>
        <w:keepNext w:val="0"/>
        <w:keepLines w:val="0"/>
        <w:spacing w:before="360" w:after="180" w:line="276" w:lineRule="auto"/>
        <w:jc w:val="both"/>
        <w:rPr>
          <w:rFonts w:ascii="Arial Narrow" w:hAnsi="Arial Narrow"/>
          <w:sz w:val="22"/>
          <w:szCs w:val="22"/>
          <w:lang w:val="es-CO"/>
        </w:rPr>
      </w:pPr>
      <w:r w:rsidRPr="00352536">
        <w:rPr>
          <w:rFonts w:ascii="Arial Narrow" w:hAnsi="Arial Narrow"/>
          <w:color w:val="auto"/>
          <w:sz w:val="22"/>
          <w:szCs w:val="22"/>
          <w:lang w:val="es-CO"/>
        </w:rPr>
        <w:t>c. Propuesta en el Componente de la Docencia</w:t>
      </w:r>
    </w:p>
    <w:p w14:paraId="3D74BB5D"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sz w:val="22"/>
          <w:szCs w:val="22"/>
          <w:lang w:val="es-CO"/>
        </w:rPr>
        <w:t>La formación en ingeniería estructural debe experimentar una metamorfosis radical, pasando de un modelo mecanicista, centrado en la aplicación algorítmica de fórmulas preestablecidas y el uso pasivo de software comercial en modalidad de "caja negra", hacia un proceso educativo inmersivo orientado a la comprensión profunda y fenomenológica del comportamiento físico de los sistemas. La enseñanza del análisis no lineal es el vehículo pedagógico perfecto para lograr esta evolución, ya que obliga al estudiante a cuestionar el porqué de la falla y cómo la estructura disipa energía antes del colapso.</w:t>
      </w:r>
    </w:p>
    <w:p w14:paraId="4244C523"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sz w:val="22"/>
          <w:szCs w:val="22"/>
          <w:lang w:val="es-CO"/>
        </w:rPr>
        <w:t>Mi enfoque didáctico se fundamenta en el constructivismo técnico, el aprendizaje significativo y el Aprendizaje Basado en Proyectos (ABP), asegurando que el estudiante construya su conocimiento mediante una tríada indisoluble: teoría analítica, experimentación empírica y modelación computacional avanzada (Asadian, Salari &amp; Vafaei, 2021). La no linealidad no debe ser un tema místico reservado para el final de una maestría; debe introducirse progresivamente.</w:t>
      </w:r>
    </w:p>
    <w:p w14:paraId="634BAE33"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b/>
          <w:bCs/>
          <w:sz w:val="22"/>
          <w:szCs w:val="22"/>
          <w:lang w:val="es-CO"/>
        </w:rPr>
        <w:t>Fase 1: Inserción Temprana en Resistencia de Materiales y Mecánica de Sólidos</w:t>
      </w:r>
    </w:p>
    <w:p w14:paraId="08BEAD7C" w14:textId="170EAB44" w:rsidR="00392EDD" w:rsidRDefault="00392EDD" w:rsidP="00AA6962">
      <w:pPr>
        <w:spacing w:before="120" w:after="120" w:line="276" w:lineRule="auto"/>
        <w:jc w:val="both"/>
        <w:rPr>
          <w:rFonts w:ascii="Arial Narrow" w:hAnsi="Arial Narrow"/>
          <w:sz w:val="22"/>
          <w:szCs w:val="22"/>
          <w:lang w:val="es-CO"/>
        </w:rPr>
      </w:pPr>
      <w:r w:rsidRPr="00392EDD">
        <w:rPr>
          <w:rFonts w:ascii="Arial Narrow" w:hAnsi="Arial Narrow"/>
          <w:sz w:val="22"/>
          <w:szCs w:val="22"/>
          <w:lang w:val="es-CO"/>
        </w:rPr>
        <w:lastRenderedPageBreak/>
        <w:t>El cambio de paradigma comienza en los cursos intermedios. Aquí se propone abordar de manera detallada el comportamiento elastoplástico de los materiales. Los estudiantes analizarán las curvas de esfuerzo-deformación reales, no solo en su tramo lineal, sino explorando el endurecimiento por deformación, la estricción y la rotura. Se introducirán los criterios de fluencia tridimensionales, como el criterio de Von Mises (Paulay &amp; Priestley, 1992) para materiales dúctiles y el de Mohr-Coulomb (Chopra, 2017) para materiales frágiles, así como los conceptos primigenios de ductilidad de sección transversal. El estudiante comprenderá que los materiales no fallan de forma instantánea y mágica, sino a través de complejos procesos termodinámicos de degradación.</w:t>
      </w:r>
    </w:p>
    <w:p w14:paraId="246A2897" w14:textId="525E5A65"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b/>
          <w:bCs/>
          <w:sz w:val="22"/>
          <w:szCs w:val="22"/>
          <w:lang w:val="es-CO"/>
        </w:rPr>
        <w:t>Fase 2: Transición en Análisis Estructural</w:t>
      </w:r>
    </w:p>
    <w:p w14:paraId="17A3E7F3"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sz w:val="22"/>
          <w:szCs w:val="22"/>
          <w:lang w:val="es-CO"/>
        </w:rPr>
        <w:t>En los cursos de análisis de pórticos y estructuras reticulares, se establecerá un contraste crítico entre el análisis lineal y el no lineal. Se enseñará el concepto de formación de rótulas plásticas, donde un nodo rígido alcanza su momento de fluencia y comienza a rotar inelásticamente, alterando los grados de libertad del sistema y redistribuyendo los esfuerzos hacia zonas adyacentes menos solicitadas. En esta etapa, se profundizará en la matriz de rigidez geométrica para comprender la inestabilidad bajo grandes desplazamientos, demostrando matemáticamente cómo las cargas axiales elevadas reducen la rigidez lateral de un pórtico, un fenómeno que los análisis lineales estándar simplemente ignoran.</w:t>
      </w:r>
    </w:p>
    <w:p w14:paraId="06060682"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b/>
          <w:bCs/>
          <w:sz w:val="22"/>
          <w:szCs w:val="22"/>
          <w:lang w:val="es-CO"/>
        </w:rPr>
        <w:t>Fase 3: La Revolución en el Laboratorio Experimental</w:t>
      </w:r>
    </w:p>
    <w:p w14:paraId="303469AB" w14:textId="650E420E"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sz w:val="22"/>
          <w:szCs w:val="22"/>
          <w:lang w:val="es-CO"/>
        </w:rPr>
        <w:t xml:space="preserve">El laboratorio de estructuras debe transformarse de un espacio de demostración pasiva a un núcleo de investigación formativa activa. Para comprender la plastificación, propongo una innovación clave: para las prácticas experimentales orientadas al estudio del daño no lineal, se trabajará con elementos a escala elaborados en mortero estructural en lugar de emplear exclusivamente concreto tradicional. El uso de mortero y </w:t>
      </w:r>
      <w:r w:rsidR="00352536" w:rsidRPr="00352536">
        <w:rPr>
          <w:rFonts w:ascii="Arial Narrow" w:hAnsi="Arial Narrow"/>
          <w:sz w:val="22"/>
          <w:szCs w:val="22"/>
          <w:lang w:val="es-CO"/>
        </w:rPr>
        <w:t>micro refuerzo</w:t>
      </w:r>
      <w:r w:rsidRPr="00352536">
        <w:rPr>
          <w:rFonts w:ascii="Arial Narrow" w:hAnsi="Arial Narrow"/>
          <w:sz w:val="22"/>
          <w:szCs w:val="22"/>
          <w:lang w:val="es-CO"/>
        </w:rPr>
        <w:t xml:space="preserve"> permite replicar con altísima precisión geométrica y mecánica la respuesta histerética, la fisuración por cortante y la formación de rótulas de forma mucho más controlada, segura y económica, permitiendo a los estudiantes de pregrado ensayar múltiples configuraciones hasta la falla destructiva total en un solo semestre.</w:t>
      </w:r>
    </w:p>
    <w:p w14:paraId="65C680B0"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b/>
          <w:bCs/>
          <w:sz w:val="22"/>
          <w:szCs w:val="22"/>
          <w:lang w:val="es-CO"/>
        </w:rPr>
        <w:t>Fase 4: Modelación Avanzada y Diseño Integrado</w:t>
      </w:r>
    </w:p>
    <w:p w14:paraId="0B43C94A"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sz w:val="22"/>
          <w:szCs w:val="22"/>
          <w:lang w:val="es-CO"/>
        </w:rPr>
        <w:t>En los cursos terminales y electivas de profundización, se abordará la aplicación de casos de estudio complejos. Por ejemplo, los estudiantes modelarán elementos de última generación, como una columna de concreto con material mejorado (ej. adición de fibras de acero o polímeros), calibrando las leyes constitutivas en el software para observar cómo el confinamiento altera la curva de capacidad del elemento frente a una columna estándar. El uso de herramientas computacionales de código abierto (como OpenSees) será mandatorio, alejando al estudiante de interfaces gráficas complacientes y exigiéndole programar y entender cada línea de comportamiento no lineal que asigna a las fibras de la sección transversal.</w:t>
      </w:r>
    </w:p>
    <w:p w14:paraId="428DDE32"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sz w:val="22"/>
          <w:szCs w:val="22"/>
          <w:lang w:val="es-CO"/>
        </w:rPr>
        <w:t>Adicionalmente, se introducirán simulaciones dinámicas de tipo tiempo-historia (NDTH). Los estudiantes aprenderán a seleccionar y escalar registros acelerográficos reales, y someterán sus modelos a estos sismos para rastrear la evolución del daño milisegundo a milisegundo. Esta aproximación se complementará con la integración de la metodología BIM (Building Information Modeling), permitiendo a los futuros ingenieros visualizar espacialmente la congestión del acero de refuerzo en los nudos, previniendo errores constructivos que en la vida real impedirían el desarrollo de la ductilidad asumida en los modelos analíticos.</w:t>
      </w:r>
    </w:p>
    <w:p w14:paraId="5791F47C" w14:textId="77777777" w:rsidR="000F5E8B" w:rsidRPr="00352536" w:rsidRDefault="00000000" w:rsidP="00AA6962">
      <w:pPr>
        <w:pStyle w:val="Ttulo2"/>
        <w:keepNext w:val="0"/>
        <w:keepLines w:val="0"/>
        <w:spacing w:before="360" w:after="180" w:line="276" w:lineRule="auto"/>
        <w:jc w:val="both"/>
        <w:rPr>
          <w:rFonts w:ascii="Arial Narrow" w:hAnsi="Arial Narrow"/>
          <w:sz w:val="22"/>
          <w:szCs w:val="22"/>
          <w:lang w:val="es-CO"/>
        </w:rPr>
      </w:pPr>
      <w:r w:rsidRPr="00352536">
        <w:rPr>
          <w:rFonts w:ascii="Arial Narrow" w:hAnsi="Arial Narrow"/>
          <w:color w:val="auto"/>
          <w:sz w:val="22"/>
          <w:szCs w:val="22"/>
          <w:lang w:val="es-CO"/>
        </w:rPr>
        <w:t>d. Propuesta en el Componente de Investigación</w:t>
      </w:r>
    </w:p>
    <w:p w14:paraId="155D2E76"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sz w:val="22"/>
          <w:szCs w:val="22"/>
          <w:lang w:val="es-CO"/>
        </w:rPr>
        <w:lastRenderedPageBreak/>
        <w:t>La investigación en ingeniería estructural en Colombia no puede limitarse a replicar metodologías foráneas; debe responder a la urgente necesidad nacional de comprender nuestras propias vulnerabilidades constructivas y geofísicas. El análisis no lineal constituye el vehículo científico indispensable para este propósito. Mi propuesta investigativa, concebida para generar artículos en revistas Q1 y atraer financiación internacional, se estructura en cinco líneas de investigación estratégicas y altamente interconectadas:</w:t>
      </w:r>
    </w:p>
    <w:p w14:paraId="32CC308C"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b/>
          <w:bCs/>
          <w:sz w:val="22"/>
          <w:szCs w:val="22"/>
          <w:lang w:val="es-CO"/>
        </w:rPr>
        <w:t>Línea 1: Modelación Constitutiva Basada en Inteligencia Artificial y Materiales Avanzados</w:t>
      </w:r>
    </w:p>
    <w:p w14:paraId="5E6F2FDE"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sz w:val="22"/>
          <w:szCs w:val="22"/>
          <w:lang w:val="es-CO"/>
        </w:rPr>
        <w:t xml:space="preserve">El comportamiento inelástico de elementos de concreto reforzado sometidos a cargas cíclicas implica procesos fenomenológicos altamente no lineales: degradación exponencial de rigidez, efecto de </w:t>
      </w:r>
      <w:r w:rsidRPr="00352536">
        <w:rPr>
          <w:rFonts w:ascii="Arial Narrow" w:hAnsi="Arial Narrow"/>
          <w:i/>
          <w:iCs/>
          <w:sz w:val="22"/>
          <w:szCs w:val="22"/>
          <w:lang w:val="es-CO"/>
        </w:rPr>
        <w:t>pinching</w:t>
      </w:r>
      <w:r w:rsidRPr="00352536">
        <w:rPr>
          <w:rFonts w:ascii="Arial Narrow" w:hAnsi="Arial Narrow"/>
          <w:sz w:val="22"/>
          <w:szCs w:val="22"/>
          <w:lang w:val="es-CO"/>
        </w:rPr>
        <w:t xml:space="preserve"> (estrangulamiento por corte), deslizamiento del acero respecto al recubrimiento y fatiga oligocíclica. Los modelos constitutivos matemáticos convencionales luchan por integrar todas estas variables sin incurrir en inestabilidades numéricas. Esta línea de investigación propone un salto cualitativo al integrar enfoques de </w:t>
      </w:r>
      <w:r w:rsidRPr="00352536">
        <w:rPr>
          <w:rFonts w:ascii="Arial Narrow" w:hAnsi="Arial Narrow"/>
          <w:i/>
          <w:iCs/>
          <w:sz w:val="22"/>
          <w:szCs w:val="22"/>
          <w:lang w:val="es-CO"/>
        </w:rPr>
        <w:t>Machine Learning</w:t>
      </w:r>
      <w:r w:rsidRPr="00352536">
        <w:rPr>
          <w:rFonts w:ascii="Arial Narrow" w:hAnsi="Arial Narrow"/>
          <w:sz w:val="22"/>
          <w:szCs w:val="22"/>
          <w:lang w:val="es-CO"/>
        </w:rPr>
        <w:t>. Se desarrollarán Redes Neuronales Informadas por la Física (PINNs) para calibrar modelos de daño y plasticidad utilizando inmensas bases de datos de ensayos experimentales nacionales e internacionales (Ouyang et al., 2022). Esto permitirá generar rutinas de materiales computacionales precisas, veloces y específicamente adaptadas a los agregados y aceros de la industria colombiana.</w:t>
      </w:r>
    </w:p>
    <w:p w14:paraId="6A8C3CA6"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b/>
          <w:bCs/>
          <w:sz w:val="22"/>
          <w:szCs w:val="22"/>
          <w:lang w:val="es-CO"/>
        </w:rPr>
        <w:t>Línea 2: Análisis Dinámico No Lineal, Secuencias Sísmicas e Interacción Suelo-Estructura</w:t>
      </w:r>
    </w:p>
    <w:p w14:paraId="20FFA6D1"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sz w:val="22"/>
          <w:szCs w:val="22"/>
          <w:lang w:val="es-CO"/>
        </w:rPr>
        <w:t>La normatividad actual asume que un evento sísmico ocurre de forma aislada. Sin embargo, la realidad geológica demuestra que los sismos principales (Mainshocks) vienen acompañados de réplicas de gran magnitud (Aftershocks). Esta línea investigará el efecto del daño residual acumulado por secuencias sísmicas en sistemas estructurales de pórticos y muros. Mediante el Análisis Dinámico Incremental (IDA), se someterán modelos no lineales a miles de acelerogramas, determinando con rigurosidad estadística el margen de colapso de las edificaciones colombianas. Además, se incluirán parámetros críticos de Interacción Suelo-Estructura (ISE), analizando cómo el comportamiento no lineal del suelo (especialmente en estratos blandos como los de Bogotá o Cali) modifica las demandas de ductilidad de la superestructura, un campo de estudio crucial y poco explorado a nivel local (Huang, Li &amp; Zhang, 2020). Es imperativo que estos análisis dialoguen de manera directa con las regulaciones geotécnicas pertinentes, garantizando, por ejemplo, que al evaluar cimentaciones profundas se contemple la normativa adecuada sobre procesos constructivos que afectan la fricción lateral.</w:t>
      </w:r>
    </w:p>
    <w:p w14:paraId="0AAF52BB"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b/>
          <w:bCs/>
          <w:sz w:val="22"/>
          <w:szCs w:val="22"/>
          <w:lang w:val="es-CO"/>
        </w:rPr>
        <w:t>Línea 3: Gemelos Digitales y Evaluación de Vulnerabilidad del Parque Edificado</w:t>
      </w:r>
    </w:p>
    <w:p w14:paraId="03058942"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sz w:val="22"/>
          <w:szCs w:val="22"/>
          <w:lang w:val="es-CO"/>
        </w:rPr>
        <w:t>Gran parte de nuestras ciudades fueron erigidas antes de la NSR-98 o, trágicamente, mediante sistemas de albañilería no confinada sin ningún diseño formal. En esta línea, se desarrollarán metodologías innovadoras para la evaluación de la vulnerabilidad estructural a escala urbana mediante la creación de Gemelos Digitales (</w:t>
      </w:r>
      <w:r w:rsidRPr="00352536">
        <w:rPr>
          <w:rFonts w:ascii="Arial Narrow" w:hAnsi="Arial Narrow"/>
          <w:i/>
          <w:iCs/>
          <w:sz w:val="22"/>
          <w:szCs w:val="22"/>
          <w:lang w:val="es-CO"/>
        </w:rPr>
        <w:t>Digital Twins</w:t>
      </w:r>
      <w:r w:rsidRPr="00352536">
        <w:rPr>
          <w:rFonts w:ascii="Arial Narrow" w:hAnsi="Arial Narrow"/>
          <w:sz w:val="22"/>
          <w:szCs w:val="22"/>
          <w:lang w:val="es-CO"/>
        </w:rPr>
        <w:t>). Utilizando tecnologías de escaneo LiDAR y fotogrametría con drones, combinadas con Ensayos No Destructivos (END) y algoritmos de optimización, se construirán modelos tridimensionales inelásticos de edificaciones existentes críticas (como hospitales de nivel III y colegios). A través de análisis estáticos no lineales (</w:t>
      </w:r>
      <w:r w:rsidRPr="00352536">
        <w:rPr>
          <w:rFonts w:ascii="Arial Narrow" w:hAnsi="Arial Narrow"/>
          <w:i/>
          <w:iCs/>
          <w:sz w:val="22"/>
          <w:szCs w:val="22"/>
          <w:lang w:val="es-CO"/>
        </w:rPr>
        <w:t>Pushover</w:t>
      </w:r>
      <w:r w:rsidRPr="00352536">
        <w:rPr>
          <w:rFonts w:ascii="Arial Narrow" w:hAnsi="Arial Narrow"/>
          <w:sz w:val="22"/>
          <w:szCs w:val="22"/>
          <w:lang w:val="es-CO"/>
        </w:rPr>
        <w:t>), se estimarán curvas de fragilidad analíticas específicas para estas tipologías, permitiendo a los tomadores de decisiones priorizar las intervenciones de mitigación del riesgo basadas en probabilidades de daño precisas y no en simple heurística (Villar-Vega, Silva &amp; Cardona, 2021).</w:t>
      </w:r>
    </w:p>
    <w:p w14:paraId="066F5ABC"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b/>
          <w:bCs/>
          <w:sz w:val="22"/>
          <w:szCs w:val="22"/>
          <w:lang w:val="es-CO"/>
        </w:rPr>
        <w:t>Línea 4: Retrofit Estructural y Sistemas Avanzados de Disipación de Energía</w:t>
      </w:r>
    </w:p>
    <w:p w14:paraId="78F882C9"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sz w:val="22"/>
          <w:szCs w:val="22"/>
          <w:lang w:val="es-CO"/>
        </w:rPr>
        <w:t>La demolición de estructuras vulnerables rara vez es la solución más viable económicamente. El análisis no lineal brilla en el diagnóstico y diseño de estrategias de rehabilitación (</w:t>
      </w:r>
      <w:r w:rsidRPr="00352536">
        <w:rPr>
          <w:rFonts w:ascii="Arial Narrow" w:hAnsi="Arial Narrow"/>
          <w:i/>
          <w:iCs/>
          <w:sz w:val="22"/>
          <w:szCs w:val="22"/>
          <w:lang w:val="es-CO"/>
        </w:rPr>
        <w:t>Retrofit</w:t>
      </w:r>
      <w:r w:rsidRPr="00352536">
        <w:rPr>
          <w:rFonts w:ascii="Arial Narrow" w:hAnsi="Arial Narrow"/>
          <w:sz w:val="22"/>
          <w:szCs w:val="22"/>
          <w:lang w:val="es-CO"/>
        </w:rPr>
        <w:t xml:space="preserve">). Se investigará el desempeño numérico y experimental de técnicas modernas, como el encamisado con Polímeros Reforzados con Fibras de </w:t>
      </w:r>
      <w:r w:rsidRPr="00352536">
        <w:rPr>
          <w:rFonts w:ascii="Arial Narrow" w:hAnsi="Arial Narrow"/>
          <w:sz w:val="22"/>
          <w:szCs w:val="22"/>
          <w:lang w:val="es-CO"/>
        </w:rPr>
        <w:lastRenderedPageBreak/>
        <w:t>Carbono (CFRP), la incorporación de Muros de Corte de Placa de Acero (SPSW) y la utilización de Riostras Restringidas al Pandeo (BRBs). Mediante el modelado inelástico, se cuantificará exactamente cuánta demanda de ductilidad logran restar estos sistemas a las columnas originales deficientes de un pórtico antiguo, proporcionando guías de diseño confiables para la industria nacional de la rehabilitación estructural (Galvis, Deierlein &amp; Miranda, 2023).</w:t>
      </w:r>
    </w:p>
    <w:p w14:paraId="70BE5B75"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b/>
          <w:bCs/>
          <w:sz w:val="22"/>
          <w:szCs w:val="22"/>
          <w:lang w:val="es-CO"/>
        </w:rPr>
        <w:t>Línea 5: Integración del Diseño Basado en Desempeño y Sostenibilidad Ecológica</w:t>
      </w:r>
    </w:p>
    <w:p w14:paraId="51C79190" w14:textId="77777777" w:rsidR="000F5E8B"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sz w:val="22"/>
          <w:szCs w:val="22"/>
          <w:lang w:val="es-CO"/>
        </w:rPr>
        <w:t>El sector de la construcción es responsable de casi el 40% de las emisiones globales de CO2, gran parte atribuibles a la producción de cemento y acero. El diseño lineal, por su naturaleza conservadora e ignorancia de las reservas inelásticas, tiende a sobredimensionar la infraestructura. Esta línea investigativa fusionará la respuesta sísmica no lineal con la metodología de Evaluación de Ciclo de Vida (LCA - Life Cycle Assessment). El objetivo es demostrar científicamente que el diseño por desempeño y la optimización no lineal no solo incrementan la seguridad estructural, sino que reducen drásticamente las cantidades de obra necesarias. Una estructura sismo resistente diseñada bajo este paradigma es intrínsecamente más ecológica, reduciendo la huella de carbono incorporada y alineando a la ingeniería civil colombiana con los Objetivos de Desarrollo Sostenible a nivel global (Marini, Passoni &amp; Belleri, 2022).</w:t>
      </w:r>
    </w:p>
    <w:p w14:paraId="4E9AA175" w14:textId="77777777" w:rsidR="004F12B4" w:rsidRPr="00352536" w:rsidRDefault="004F12B4" w:rsidP="00AA6962">
      <w:pPr>
        <w:spacing w:before="120" w:after="120" w:line="276" w:lineRule="auto"/>
        <w:jc w:val="both"/>
        <w:rPr>
          <w:rFonts w:ascii="Arial Narrow" w:hAnsi="Arial Narrow"/>
          <w:sz w:val="22"/>
          <w:szCs w:val="22"/>
          <w:lang w:val="es-CO"/>
        </w:rPr>
      </w:pPr>
    </w:p>
    <w:p w14:paraId="7028171A" w14:textId="77777777" w:rsidR="000F5E8B" w:rsidRPr="00352536" w:rsidRDefault="00000000" w:rsidP="00AA6962">
      <w:pPr>
        <w:pStyle w:val="Ttulo2"/>
        <w:keepNext w:val="0"/>
        <w:keepLines w:val="0"/>
        <w:spacing w:before="360" w:after="180" w:line="276" w:lineRule="auto"/>
        <w:jc w:val="both"/>
        <w:rPr>
          <w:rFonts w:ascii="Arial Narrow" w:hAnsi="Arial Narrow"/>
          <w:sz w:val="22"/>
          <w:szCs w:val="22"/>
          <w:lang w:val="es-CO"/>
        </w:rPr>
      </w:pPr>
      <w:r w:rsidRPr="00352536">
        <w:rPr>
          <w:rFonts w:ascii="Arial Narrow" w:hAnsi="Arial Narrow"/>
          <w:color w:val="auto"/>
          <w:sz w:val="22"/>
          <w:szCs w:val="22"/>
          <w:lang w:val="es-CO"/>
        </w:rPr>
        <w:t>e. Propuesta Ampliada en el Componente de Extensión</w:t>
      </w:r>
    </w:p>
    <w:p w14:paraId="4D0B3FD3"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sz w:val="22"/>
          <w:szCs w:val="22"/>
          <w:lang w:val="es-CO"/>
        </w:rPr>
        <w:t>El conocimiento de alto nivel generado y custodiado en la Universidad Nacional de Colombia es un patrimonio público que carece de valor si no se materializa en la mejora de las condiciones de vida de la sociedad y en el fortalecimiento del ecosistema productivo del país. La extensión universitaria debe ser el tejido conectivo que traduzca la complejidad del análisis no lineal en soluciones prácticas, normativas y comunitarias.</w:t>
      </w:r>
    </w:p>
    <w:p w14:paraId="439C5366"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b/>
          <w:bCs/>
          <w:sz w:val="22"/>
          <w:szCs w:val="22"/>
          <w:lang w:val="es-CO"/>
        </w:rPr>
        <w:t>Eje 1: Transferencia de Alta Tecnología e Impacto en el Sector Productivo Formal</w:t>
      </w:r>
    </w:p>
    <w:p w14:paraId="5F385069"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sz w:val="22"/>
          <w:szCs w:val="22"/>
          <w:lang w:val="es-CO"/>
        </w:rPr>
        <w:t>Existe una brecha generacional y tecnológica preocupante entre la academia de frontera y la práctica convencional de las firmas consultoras de ingeniería y curadurías urbanas. Para mitigar esta disparidad, se estructurarán y dirigirán diplomados y programas de educación continua de inmersión técnica en "Diseño Basado en Desempeño y Simulación No Lineal". Estos espacios estarán orientados a profesionales en ejercicio, revisores independientes y funcionarios estatales. El objetivo es desmitificar la modelación inelástica, enseñar los fundamentos de las metodologías norteamericanas y europeas de vanguardia y preparar al gremio nacional para los inminentes cambios que traerán las futuras actualizaciones del Reglamento Colombiano de Construcción Sismo Resistente. Asimismo, a través del Instituto de Extensión e Investigación de la Facultad, se conformará una unidad de asesoría especializada de alto nivel, capaz de realizar revisiones por pares y modelación no lineal para proyectos de infraestructura crítica (edificios de gran altura, hospitales, puentes de luces importantes), donde la norma prescriptiva actual resulta insuficiente.</w:t>
      </w:r>
    </w:p>
    <w:p w14:paraId="0E71BC9E"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b/>
          <w:bCs/>
          <w:sz w:val="22"/>
          <w:szCs w:val="22"/>
          <w:lang w:val="es-CO"/>
        </w:rPr>
        <w:t>Eje 2: Protocolos de Ingeniería Forense y Evaluación Rápida Post-Sismo</w:t>
      </w:r>
    </w:p>
    <w:p w14:paraId="3C5D9F2A"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sz w:val="22"/>
          <w:szCs w:val="22"/>
          <w:lang w:val="es-CO"/>
        </w:rPr>
        <w:t>Ante la certeza ineludible de que Colombia enfrentará eventos sísmicos severos en el futuro, el Estado necesita herramientas objetivas de toma de decisiones. Tras un terremoto de gran magnitud, la determinación de habitabilidad de una edificación a menudo recae en inspecciones visuales subjetivas que pueden errar en la evaluación del daño interno. El grupo de investigación en análisis no lineal trabajará activamente con la Unidad Nacional para la Gestión del Riesgo de Desastres (UNGRD) para desarrollar protocolos de ingeniería forense basados en confiabilidad estructural. Utilizando los registros del evento principal y los modelos inelásticos pre-</w:t>
      </w:r>
      <w:r w:rsidRPr="00352536">
        <w:rPr>
          <w:rFonts w:ascii="Arial Narrow" w:hAnsi="Arial Narrow"/>
          <w:sz w:val="22"/>
          <w:szCs w:val="22"/>
          <w:lang w:val="es-CO"/>
        </w:rPr>
        <w:lastRenderedPageBreak/>
        <w:t>evaluados de las tipologías constructivas, se podrán emitir dictámenes rápidos y científicamente soportados sobre la capacidad residual de los edificios afectados, evitando demoliciones innecesarias que paralizan la economía, o previniendo colapsos diferidos por réplicas posteriores.</w:t>
      </w:r>
    </w:p>
    <w:p w14:paraId="6EAFD6B6"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b/>
          <w:bCs/>
          <w:sz w:val="22"/>
          <w:szCs w:val="22"/>
          <w:lang w:val="es-CO"/>
        </w:rPr>
        <w:t>Eje 3: Democratización del Conocimiento y Acción Social en Asentamientos Informales</w:t>
      </w:r>
    </w:p>
    <w:p w14:paraId="6ACCF6C1"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sz w:val="22"/>
          <w:szCs w:val="22"/>
          <w:lang w:val="es-CO"/>
        </w:rPr>
        <w:t>El componente verdaderamente misional de la extensión es aquel que llega a donde las normativas no alcanzan. Es una realidad estadística que un altísimo porcentaje de las viviendas en los cinturones de pobreza de nuestras ciudades laderas y periferias son autoconstruidas sin acompañamiento profesional. La sofisticación del análisis no lineal, la formación de rótulas plásticas y la degradación histerética parecen conceptos alienígenas para estas comunidades, pero en esencia dictaminan si sus hogares permanecerán en pie o colapsarán aplastando a sus familias.</w:t>
      </w:r>
    </w:p>
    <w:p w14:paraId="54234705" w14:textId="77777777" w:rsidR="000F5E8B" w:rsidRPr="00352536"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sz w:val="22"/>
          <w:szCs w:val="22"/>
          <w:lang w:val="es-CO"/>
        </w:rPr>
        <w:t>Se propone la creación de "Escuelas de Autoconstrucción Segura" y brigadas técnicas de asesoría comunitaria. En estos espacios colaborativos, la profundidad matemática de las leyes constitutivas se abstraerá y se traducirá pedagógicamente en reglas de oro de constructibilidad para maestros de obra y dueños de vivienda. Se utilizarán recursos visuales, maquetas destructivas a escala y simulaciones simplificadas para enseñar el porqué de la ingeniería. Se explicará que la "ductilidad" y la "disipación de energía" analizadas en los supercomputadores de la universidad son, en la práctica de la obra de barrio, el doblado correcto de los ganchos sísmicos a 135 grados, el espaciamiento denso de los estribos en los nudos, y la continuidad vertical ininterrumpida del acero de refuerzo en las columnas. Mediante talleres inmersivos, manuales gráficos de rápida comprensión e intervención directa en sitio, se logrará que el conocimiento científico más depurado y avanzado se convierta en la herramienta más eficaz de justicia social, protegiendo la vida, el patrimonio y el futuro de la población más vulnerable de Colombia ante el inminente embate de las fuerzas de la naturaleza.</w:t>
      </w:r>
    </w:p>
    <w:p w14:paraId="68685CDC" w14:textId="77777777" w:rsidR="000F5E8B" w:rsidRDefault="00000000" w:rsidP="00AA6962">
      <w:pPr>
        <w:spacing w:before="120" w:after="120" w:line="276" w:lineRule="auto"/>
        <w:jc w:val="both"/>
        <w:rPr>
          <w:rFonts w:ascii="Arial Narrow" w:hAnsi="Arial Narrow"/>
          <w:sz w:val="22"/>
          <w:szCs w:val="22"/>
          <w:lang w:val="es-CO"/>
        </w:rPr>
      </w:pPr>
      <w:r w:rsidRPr="00352536">
        <w:rPr>
          <w:rFonts w:ascii="Arial Narrow" w:hAnsi="Arial Narrow"/>
          <w:sz w:val="22"/>
          <w:szCs w:val="22"/>
          <w:lang w:val="es-CO"/>
        </w:rPr>
        <w:t>En conclusión, esta propuesta integral, visionaria y fundamentada garantiza que, bajo el amparo de la Universidad Nacional de Colombia, la línea de análisis estructural trascienda la mera resolución académica de matrices matemáticas. Al articular orgánicamente una docencia transformadora basada en el fenómeno físico, una investigación de altísimo rigor orientada a nuestras realidades, y una extensión comprometida visceralmente con la reducción de la vulnerabilidad, se forjará una nueva generación de ingenieros civiles preparados para salvaguardar estructuralmente el mañana de nuestro país.</w:t>
      </w:r>
    </w:p>
    <w:p w14:paraId="4D94BF39" w14:textId="77777777" w:rsidR="000F5E8B" w:rsidRDefault="000F5E8B" w:rsidP="00AA6962">
      <w:pPr>
        <w:spacing w:before="120" w:after="120" w:line="276" w:lineRule="auto"/>
        <w:jc w:val="both"/>
        <w:rPr>
          <w:rFonts w:ascii="Arial Narrow" w:hAnsi="Arial Narrow"/>
          <w:sz w:val="22"/>
          <w:szCs w:val="22"/>
          <w:lang w:val="es-EC"/>
        </w:rPr>
      </w:pPr>
    </w:p>
    <w:p w14:paraId="455347A3" w14:textId="77777777" w:rsidR="00AA6962" w:rsidRDefault="00AA6962" w:rsidP="00AA6962">
      <w:pPr>
        <w:spacing w:before="120" w:after="120" w:line="276" w:lineRule="auto"/>
        <w:jc w:val="both"/>
        <w:rPr>
          <w:rFonts w:ascii="Arial Narrow" w:hAnsi="Arial Narrow"/>
          <w:sz w:val="22"/>
          <w:szCs w:val="22"/>
          <w:lang w:val="es-EC"/>
        </w:rPr>
      </w:pPr>
    </w:p>
    <w:p w14:paraId="61DD812C" w14:textId="77777777" w:rsidR="00AA6962" w:rsidRDefault="00AA6962" w:rsidP="00AA6962">
      <w:pPr>
        <w:spacing w:before="120" w:after="120" w:line="276" w:lineRule="auto"/>
        <w:jc w:val="both"/>
        <w:rPr>
          <w:rFonts w:ascii="Arial Narrow" w:hAnsi="Arial Narrow"/>
          <w:sz w:val="22"/>
          <w:szCs w:val="22"/>
          <w:lang w:val="es-EC"/>
        </w:rPr>
      </w:pPr>
    </w:p>
    <w:p w14:paraId="73E47268" w14:textId="77777777" w:rsidR="00AA6962" w:rsidRDefault="00AA6962" w:rsidP="00AA6962">
      <w:pPr>
        <w:spacing w:before="120" w:after="120" w:line="276" w:lineRule="auto"/>
        <w:jc w:val="both"/>
        <w:rPr>
          <w:rFonts w:ascii="Arial Narrow" w:hAnsi="Arial Narrow"/>
          <w:sz w:val="22"/>
          <w:szCs w:val="22"/>
          <w:lang w:val="es-EC"/>
        </w:rPr>
      </w:pPr>
    </w:p>
    <w:p w14:paraId="6409DD05" w14:textId="77777777" w:rsidR="00AA6962" w:rsidRDefault="00AA6962" w:rsidP="00AA6962">
      <w:pPr>
        <w:spacing w:before="120" w:after="120" w:line="276" w:lineRule="auto"/>
        <w:jc w:val="both"/>
        <w:rPr>
          <w:rFonts w:ascii="Arial Narrow" w:hAnsi="Arial Narrow"/>
          <w:sz w:val="22"/>
          <w:szCs w:val="22"/>
          <w:lang w:val="es-EC"/>
        </w:rPr>
      </w:pPr>
    </w:p>
    <w:p w14:paraId="2E998BD4" w14:textId="77777777" w:rsidR="00AA6962" w:rsidRDefault="00AA6962" w:rsidP="00AA6962">
      <w:pPr>
        <w:spacing w:before="120" w:after="120" w:line="276" w:lineRule="auto"/>
        <w:jc w:val="both"/>
        <w:rPr>
          <w:rFonts w:ascii="Arial Narrow" w:hAnsi="Arial Narrow"/>
          <w:sz w:val="22"/>
          <w:szCs w:val="22"/>
          <w:lang w:val="es-EC"/>
        </w:rPr>
      </w:pPr>
    </w:p>
    <w:p w14:paraId="3F5D9F3E" w14:textId="77777777" w:rsidR="00AA6962" w:rsidRDefault="00AA6962" w:rsidP="00AA6962">
      <w:pPr>
        <w:spacing w:before="120" w:after="120" w:line="276" w:lineRule="auto"/>
        <w:jc w:val="both"/>
        <w:rPr>
          <w:rFonts w:ascii="Arial Narrow" w:hAnsi="Arial Narrow"/>
          <w:sz w:val="22"/>
          <w:szCs w:val="22"/>
          <w:lang w:val="es-EC"/>
        </w:rPr>
      </w:pPr>
    </w:p>
    <w:p w14:paraId="3A1DDB12" w14:textId="77777777" w:rsidR="00AA6962" w:rsidRDefault="00AA6962" w:rsidP="00AA6962">
      <w:pPr>
        <w:spacing w:before="120" w:after="120" w:line="276" w:lineRule="auto"/>
        <w:jc w:val="both"/>
        <w:rPr>
          <w:rFonts w:ascii="Arial Narrow" w:hAnsi="Arial Narrow"/>
          <w:sz w:val="22"/>
          <w:szCs w:val="22"/>
          <w:lang w:val="es-EC"/>
        </w:rPr>
      </w:pPr>
    </w:p>
    <w:p w14:paraId="50640181" w14:textId="77777777" w:rsidR="00AA6962" w:rsidRDefault="00AA6962" w:rsidP="00AA6962">
      <w:pPr>
        <w:spacing w:before="120" w:after="120" w:line="276" w:lineRule="auto"/>
        <w:jc w:val="both"/>
        <w:rPr>
          <w:rFonts w:ascii="Arial Narrow" w:hAnsi="Arial Narrow"/>
          <w:sz w:val="22"/>
          <w:szCs w:val="22"/>
          <w:lang w:val="es-EC"/>
        </w:rPr>
      </w:pPr>
    </w:p>
    <w:p w14:paraId="6EF6E9AC" w14:textId="77777777" w:rsidR="00AA6962" w:rsidRDefault="00AA6962" w:rsidP="00AA6962">
      <w:pPr>
        <w:spacing w:before="120" w:after="120" w:line="276" w:lineRule="auto"/>
        <w:jc w:val="both"/>
        <w:rPr>
          <w:rFonts w:ascii="Arial Narrow" w:hAnsi="Arial Narrow"/>
          <w:sz w:val="22"/>
          <w:szCs w:val="22"/>
          <w:lang w:val="es-EC"/>
        </w:rPr>
      </w:pPr>
    </w:p>
    <w:p w14:paraId="789786B9" w14:textId="77777777" w:rsidR="00AA6962" w:rsidRDefault="00AA6962" w:rsidP="00AA6962">
      <w:pPr>
        <w:spacing w:before="120" w:after="120" w:line="276" w:lineRule="auto"/>
        <w:jc w:val="both"/>
        <w:rPr>
          <w:rFonts w:ascii="Arial Narrow" w:hAnsi="Arial Narrow"/>
          <w:sz w:val="22"/>
          <w:szCs w:val="22"/>
          <w:lang w:val="es-EC"/>
        </w:rPr>
      </w:pPr>
    </w:p>
    <w:p w14:paraId="7E3A3735" w14:textId="77777777" w:rsidR="00AA6962" w:rsidRDefault="00AA6962" w:rsidP="00AA6962">
      <w:pPr>
        <w:spacing w:before="120" w:after="120"/>
        <w:jc w:val="both"/>
        <w:rPr>
          <w:rFonts w:ascii="Arial Narrow" w:hAnsi="Arial Narrow"/>
          <w:b/>
          <w:bCs/>
          <w:sz w:val="22"/>
          <w:szCs w:val="22"/>
          <w:lang w:val="es-CO"/>
        </w:rPr>
      </w:pPr>
    </w:p>
    <w:p w14:paraId="2EFDBD2A" w14:textId="77777777" w:rsidR="00AA6962" w:rsidRDefault="00AA6962" w:rsidP="00AA6962">
      <w:pPr>
        <w:spacing w:before="120" w:after="120"/>
        <w:jc w:val="both"/>
        <w:rPr>
          <w:rFonts w:ascii="Arial Narrow" w:hAnsi="Arial Narrow"/>
          <w:b/>
          <w:bCs/>
          <w:sz w:val="22"/>
          <w:szCs w:val="22"/>
          <w:lang w:val="es-CO"/>
        </w:rPr>
      </w:pPr>
    </w:p>
    <w:p w14:paraId="016B731E" w14:textId="77777777" w:rsidR="00AA6962" w:rsidRDefault="00AA6962" w:rsidP="00AA6962">
      <w:pPr>
        <w:spacing w:before="120" w:after="120"/>
        <w:jc w:val="both"/>
        <w:rPr>
          <w:rFonts w:ascii="Arial Narrow" w:hAnsi="Arial Narrow"/>
          <w:b/>
          <w:bCs/>
          <w:sz w:val="22"/>
          <w:szCs w:val="22"/>
          <w:lang w:val="es-CO"/>
        </w:rPr>
      </w:pPr>
    </w:p>
    <w:p w14:paraId="61CCC2EF" w14:textId="574EB465" w:rsidR="00AA6962" w:rsidRPr="004F12B4" w:rsidRDefault="00AA6962" w:rsidP="00AA6962">
      <w:pPr>
        <w:spacing w:before="120" w:after="120"/>
        <w:jc w:val="both"/>
        <w:rPr>
          <w:rFonts w:ascii="Arial Narrow" w:hAnsi="Arial Narrow"/>
          <w:b/>
          <w:bCs/>
          <w:sz w:val="22"/>
          <w:szCs w:val="22"/>
          <w:lang w:val="es-CO"/>
        </w:rPr>
      </w:pPr>
      <w:r w:rsidRPr="004F12B4">
        <w:rPr>
          <w:rFonts w:ascii="Arial Narrow" w:hAnsi="Arial Narrow"/>
          <w:b/>
          <w:bCs/>
          <w:sz w:val="22"/>
          <w:szCs w:val="22"/>
          <w:lang w:val="es-CO"/>
        </w:rPr>
        <w:t>Bibliografía</w:t>
      </w:r>
    </w:p>
    <w:p w14:paraId="075F4184" w14:textId="77777777" w:rsidR="00AA6962" w:rsidRPr="00392EDD" w:rsidRDefault="00AA6962" w:rsidP="00AA6962">
      <w:pPr>
        <w:spacing w:before="120" w:after="120"/>
        <w:jc w:val="both"/>
        <w:rPr>
          <w:rFonts w:ascii="Arial Narrow" w:hAnsi="Arial Narrow"/>
          <w:sz w:val="22"/>
          <w:szCs w:val="22"/>
        </w:rPr>
      </w:pPr>
      <w:r w:rsidRPr="00352536">
        <w:rPr>
          <w:rFonts w:ascii="Arial Narrow" w:hAnsi="Arial Narrow"/>
          <w:sz w:val="22"/>
          <w:szCs w:val="22"/>
          <w:lang w:val="es-CO"/>
        </w:rPr>
        <w:t xml:space="preserve">Asadian, A., Salari, M., &amp; Vafaei, M. (2021). </w:t>
      </w:r>
      <w:r w:rsidRPr="00392EDD">
        <w:rPr>
          <w:rFonts w:ascii="Arial Narrow" w:hAnsi="Arial Narrow"/>
          <w:sz w:val="22"/>
          <w:szCs w:val="22"/>
        </w:rPr>
        <w:t xml:space="preserve">Project-based learning in structural engineering: nonlinear analysis of buildings. </w:t>
      </w:r>
      <w:r w:rsidRPr="00392EDD">
        <w:rPr>
          <w:rFonts w:ascii="Arial Narrow" w:hAnsi="Arial Narrow"/>
          <w:i/>
          <w:iCs/>
          <w:sz w:val="22"/>
          <w:szCs w:val="22"/>
        </w:rPr>
        <w:t>Journal of Civil Engineering Education</w:t>
      </w:r>
      <w:r w:rsidRPr="00392EDD">
        <w:rPr>
          <w:rFonts w:ascii="Arial Narrow" w:hAnsi="Arial Narrow"/>
          <w:sz w:val="22"/>
          <w:szCs w:val="22"/>
        </w:rPr>
        <w:t>, 147(2), 05021001.</w:t>
      </w:r>
    </w:p>
    <w:p w14:paraId="6C610DA3" w14:textId="77777777" w:rsidR="00AA6962" w:rsidRPr="00392EDD" w:rsidRDefault="00AA6962" w:rsidP="00AA6962">
      <w:pPr>
        <w:spacing w:before="120" w:after="120"/>
        <w:jc w:val="both"/>
        <w:rPr>
          <w:rFonts w:ascii="Arial Narrow" w:hAnsi="Arial Narrow"/>
          <w:sz w:val="22"/>
          <w:szCs w:val="22"/>
        </w:rPr>
      </w:pPr>
      <w:r w:rsidRPr="00392EDD">
        <w:rPr>
          <w:rFonts w:ascii="Arial Narrow" w:hAnsi="Arial Narrow"/>
          <w:sz w:val="22"/>
          <w:szCs w:val="22"/>
        </w:rPr>
        <w:t xml:space="preserve">Galvis, F. A., Deierlein, G. G., &amp; Miranda, E. (2023). Seismic performance of older reinforced concrete frames with flexible diaphragms. </w:t>
      </w:r>
      <w:r w:rsidRPr="00392EDD">
        <w:rPr>
          <w:rFonts w:ascii="Arial Narrow" w:hAnsi="Arial Narrow"/>
          <w:i/>
          <w:iCs/>
          <w:sz w:val="22"/>
          <w:szCs w:val="22"/>
        </w:rPr>
        <w:t>Earthquake Engineering &amp; Structural Dynamics</w:t>
      </w:r>
      <w:r w:rsidRPr="00392EDD">
        <w:rPr>
          <w:rFonts w:ascii="Arial Narrow" w:hAnsi="Arial Narrow"/>
          <w:sz w:val="22"/>
          <w:szCs w:val="22"/>
        </w:rPr>
        <w:t>, 52(1), 110-130.</w:t>
      </w:r>
    </w:p>
    <w:p w14:paraId="62551841" w14:textId="77777777" w:rsidR="00AA6962" w:rsidRPr="00211A67" w:rsidRDefault="00AA6962" w:rsidP="00AA6962">
      <w:pPr>
        <w:spacing w:before="120" w:after="120"/>
        <w:jc w:val="both"/>
        <w:rPr>
          <w:rFonts w:ascii="Arial Narrow" w:hAnsi="Arial Narrow"/>
          <w:sz w:val="22"/>
          <w:szCs w:val="22"/>
        </w:rPr>
      </w:pPr>
      <w:r w:rsidRPr="00392EDD">
        <w:rPr>
          <w:rFonts w:ascii="Arial Narrow" w:hAnsi="Arial Narrow"/>
          <w:sz w:val="22"/>
          <w:szCs w:val="22"/>
        </w:rPr>
        <w:t xml:space="preserve">Huang, Y., Li, M., &amp; Zhang, Y. (2020). A state-of-the-art review on the nonlinear simulation of reinforced concrete structures. </w:t>
      </w:r>
      <w:r w:rsidRPr="00211A67">
        <w:rPr>
          <w:rFonts w:ascii="Arial Narrow" w:hAnsi="Arial Narrow"/>
          <w:i/>
          <w:iCs/>
          <w:sz w:val="22"/>
          <w:szCs w:val="22"/>
        </w:rPr>
        <w:t>Journal of Building Engineering</w:t>
      </w:r>
      <w:r w:rsidRPr="00211A67">
        <w:rPr>
          <w:rFonts w:ascii="Arial Narrow" w:hAnsi="Arial Narrow"/>
          <w:sz w:val="22"/>
          <w:szCs w:val="22"/>
        </w:rPr>
        <w:t>, 32, 101485.</w:t>
      </w:r>
    </w:p>
    <w:p w14:paraId="75906122" w14:textId="77777777" w:rsidR="00AA6962" w:rsidRPr="00392EDD" w:rsidRDefault="00AA6962" w:rsidP="00AA6962">
      <w:pPr>
        <w:spacing w:before="120" w:after="120"/>
        <w:jc w:val="both"/>
        <w:rPr>
          <w:rFonts w:ascii="Arial Narrow" w:hAnsi="Arial Narrow"/>
          <w:sz w:val="22"/>
          <w:szCs w:val="22"/>
        </w:rPr>
      </w:pPr>
      <w:r w:rsidRPr="00211A67">
        <w:rPr>
          <w:rFonts w:ascii="Arial Narrow" w:hAnsi="Arial Narrow"/>
          <w:sz w:val="22"/>
          <w:szCs w:val="22"/>
        </w:rPr>
        <w:t xml:space="preserve">Kazantzi, A. K., Vamvatsikos, D., &amp; Lignos, D. G. (2020). </w:t>
      </w:r>
      <w:r w:rsidRPr="00392EDD">
        <w:rPr>
          <w:rFonts w:ascii="Arial Narrow" w:hAnsi="Arial Narrow"/>
          <w:sz w:val="22"/>
          <w:szCs w:val="22"/>
        </w:rPr>
        <w:t xml:space="preserve">Seismic performance of a steel moment-resisting frame building: from linear to nonlinear analysis. </w:t>
      </w:r>
      <w:r w:rsidRPr="00392EDD">
        <w:rPr>
          <w:rFonts w:ascii="Arial Narrow" w:hAnsi="Arial Narrow"/>
          <w:i/>
          <w:iCs/>
          <w:sz w:val="22"/>
          <w:szCs w:val="22"/>
        </w:rPr>
        <w:t>Engineering Structures</w:t>
      </w:r>
      <w:r w:rsidRPr="00392EDD">
        <w:rPr>
          <w:rFonts w:ascii="Arial Narrow" w:hAnsi="Arial Narrow"/>
          <w:sz w:val="22"/>
          <w:szCs w:val="22"/>
        </w:rPr>
        <w:t>, 218, 110834.</w:t>
      </w:r>
    </w:p>
    <w:p w14:paraId="3EEB484B" w14:textId="77777777" w:rsidR="00AA6962" w:rsidRPr="00392EDD" w:rsidRDefault="00AA6962" w:rsidP="00AA6962">
      <w:pPr>
        <w:spacing w:before="120" w:after="120"/>
        <w:jc w:val="both"/>
        <w:rPr>
          <w:rFonts w:ascii="Arial Narrow" w:hAnsi="Arial Narrow"/>
          <w:sz w:val="22"/>
          <w:szCs w:val="22"/>
        </w:rPr>
      </w:pPr>
      <w:r w:rsidRPr="00392EDD">
        <w:rPr>
          <w:rFonts w:ascii="Arial Narrow" w:hAnsi="Arial Narrow"/>
          <w:sz w:val="22"/>
          <w:szCs w:val="22"/>
        </w:rPr>
        <w:t xml:space="preserve">Marini, A., Passoni, C., &amp; Belleri, A. (2022). Combining seismic retrofit and environmental sustainability: A performance-based approach for the life-cycle assessment of buildings. </w:t>
      </w:r>
      <w:r w:rsidRPr="00392EDD">
        <w:rPr>
          <w:rFonts w:ascii="Arial Narrow" w:hAnsi="Arial Narrow"/>
          <w:i/>
          <w:iCs/>
          <w:sz w:val="22"/>
          <w:szCs w:val="22"/>
        </w:rPr>
        <w:t>Engineering Structures</w:t>
      </w:r>
      <w:r w:rsidRPr="00392EDD">
        <w:rPr>
          <w:rFonts w:ascii="Arial Narrow" w:hAnsi="Arial Narrow"/>
          <w:sz w:val="22"/>
          <w:szCs w:val="22"/>
        </w:rPr>
        <w:t>, 252, 113648.</w:t>
      </w:r>
    </w:p>
    <w:p w14:paraId="6341314C" w14:textId="77777777" w:rsidR="00AA6962" w:rsidRPr="00392EDD" w:rsidRDefault="00AA6962" w:rsidP="00AA6962">
      <w:pPr>
        <w:spacing w:before="120" w:after="120"/>
        <w:jc w:val="both"/>
        <w:rPr>
          <w:rFonts w:ascii="Arial Narrow" w:hAnsi="Arial Narrow"/>
          <w:sz w:val="22"/>
          <w:szCs w:val="22"/>
        </w:rPr>
      </w:pPr>
      <w:r w:rsidRPr="00392EDD">
        <w:rPr>
          <w:rFonts w:ascii="Arial Narrow" w:hAnsi="Arial Narrow"/>
          <w:sz w:val="22"/>
          <w:szCs w:val="22"/>
        </w:rPr>
        <w:t xml:space="preserve">Ouyang, Y., Zhao, J., &amp; Li, X. (2022). Advanced constitutive models for RC structures under cyclic loading. </w:t>
      </w:r>
      <w:r w:rsidRPr="00392EDD">
        <w:rPr>
          <w:rFonts w:ascii="Arial Narrow" w:hAnsi="Arial Narrow"/>
          <w:i/>
          <w:iCs/>
          <w:sz w:val="22"/>
          <w:szCs w:val="22"/>
        </w:rPr>
        <w:t>Journal of Building Engineering</w:t>
      </w:r>
      <w:r w:rsidRPr="00392EDD">
        <w:rPr>
          <w:rFonts w:ascii="Arial Narrow" w:hAnsi="Arial Narrow"/>
          <w:sz w:val="22"/>
          <w:szCs w:val="22"/>
        </w:rPr>
        <w:t>, 45, 103562.</w:t>
      </w:r>
    </w:p>
    <w:p w14:paraId="570D1875" w14:textId="77777777" w:rsidR="00AA6962" w:rsidRPr="00392EDD" w:rsidRDefault="00AA6962" w:rsidP="00AA6962">
      <w:pPr>
        <w:spacing w:before="120" w:after="120"/>
        <w:jc w:val="both"/>
        <w:rPr>
          <w:rFonts w:ascii="Arial Narrow" w:hAnsi="Arial Narrow"/>
          <w:sz w:val="22"/>
          <w:szCs w:val="22"/>
        </w:rPr>
      </w:pPr>
      <w:r w:rsidRPr="00392EDD">
        <w:rPr>
          <w:rFonts w:ascii="Arial Narrow" w:hAnsi="Arial Narrow"/>
          <w:sz w:val="22"/>
          <w:szCs w:val="22"/>
        </w:rPr>
        <w:t xml:space="preserve">Villar-Vega, M., Silva, V., &amp; Cardona, O. D. (2021). Seismic vulnerability of the residential building stock in Colombia: A state-of-the-art review and future challenges. </w:t>
      </w:r>
      <w:r w:rsidRPr="00392EDD">
        <w:rPr>
          <w:rFonts w:ascii="Arial Narrow" w:hAnsi="Arial Narrow"/>
          <w:i/>
          <w:iCs/>
          <w:sz w:val="22"/>
          <w:szCs w:val="22"/>
        </w:rPr>
        <w:t>International Journal of Disaster Risk Reduction</w:t>
      </w:r>
      <w:r w:rsidRPr="00392EDD">
        <w:rPr>
          <w:rFonts w:ascii="Arial Narrow" w:hAnsi="Arial Narrow"/>
          <w:sz w:val="22"/>
          <w:szCs w:val="22"/>
        </w:rPr>
        <w:t>, 54, 102022.</w:t>
      </w:r>
    </w:p>
    <w:p w14:paraId="2C703744" w14:textId="77777777" w:rsidR="00AA6962" w:rsidRPr="00392EDD" w:rsidRDefault="00AA6962" w:rsidP="00AA6962">
      <w:pPr>
        <w:spacing w:before="120" w:after="120"/>
        <w:jc w:val="both"/>
        <w:rPr>
          <w:rFonts w:ascii="Arial Narrow" w:hAnsi="Arial Narrow"/>
          <w:sz w:val="22"/>
          <w:szCs w:val="22"/>
        </w:rPr>
      </w:pPr>
      <w:r w:rsidRPr="00352536">
        <w:rPr>
          <w:rFonts w:ascii="Arial Narrow" w:hAnsi="Arial Narrow"/>
          <w:sz w:val="22"/>
          <w:szCs w:val="22"/>
        </w:rPr>
        <w:t xml:space="preserve"> American Concrete Institute (ACI) Committee 318. </w:t>
      </w:r>
      <w:r w:rsidRPr="00392EDD">
        <w:rPr>
          <w:rFonts w:ascii="Arial Narrow" w:hAnsi="Arial Narrow"/>
          <w:sz w:val="22"/>
          <w:szCs w:val="22"/>
        </w:rPr>
        <w:t>(2019). Building Code Requirements for Structural Concrete (ACI 318-19). American Concrete Institute.</w:t>
      </w:r>
    </w:p>
    <w:p w14:paraId="680501B8" w14:textId="77777777" w:rsidR="00AA6962" w:rsidRPr="00392EDD" w:rsidRDefault="00AA6962" w:rsidP="00AA6962">
      <w:pPr>
        <w:spacing w:before="120" w:after="120"/>
        <w:jc w:val="both"/>
        <w:rPr>
          <w:rFonts w:ascii="Arial Narrow" w:hAnsi="Arial Narrow"/>
          <w:sz w:val="22"/>
          <w:szCs w:val="22"/>
        </w:rPr>
      </w:pPr>
      <w:r w:rsidRPr="00392EDD">
        <w:rPr>
          <w:rFonts w:ascii="Arial Narrow" w:hAnsi="Arial Narrow"/>
          <w:sz w:val="22"/>
          <w:szCs w:val="22"/>
        </w:rPr>
        <w:t>Chopra, A. K. (2017). Dynamics of Structures: Theory and Applications to Earthquake Engineering (5th ed.). Pearson.</w:t>
      </w:r>
    </w:p>
    <w:p w14:paraId="231FDDC4" w14:textId="77777777" w:rsidR="00AA6962" w:rsidRPr="00392EDD" w:rsidRDefault="00AA6962" w:rsidP="00AA6962">
      <w:pPr>
        <w:spacing w:before="120" w:after="120"/>
        <w:jc w:val="both"/>
        <w:rPr>
          <w:rFonts w:ascii="Arial Narrow" w:hAnsi="Arial Narrow"/>
          <w:sz w:val="22"/>
          <w:szCs w:val="22"/>
        </w:rPr>
      </w:pPr>
      <w:r w:rsidRPr="00352536">
        <w:rPr>
          <w:rFonts w:ascii="Arial Narrow" w:hAnsi="Arial Narrow"/>
          <w:sz w:val="22"/>
          <w:szCs w:val="22"/>
        </w:rPr>
        <w:t xml:space="preserve">Federal Emergency Management Agency (FEMA). </w:t>
      </w:r>
      <w:r w:rsidRPr="00392EDD">
        <w:rPr>
          <w:rFonts w:ascii="Arial Narrow" w:hAnsi="Arial Narrow"/>
          <w:sz w:val="22"/>
          <w:szCs w:val="22"/>
        </w:rPr>
        <w:t>(2000). FEMA 356: Prestandard and Commentary for the Seismic Rehabilitation of Buildings. Washington, D.C.</w:t>
      </w:r>
    </w:p>
    <w:p w14:paraId="188B6D97" w14:textId="77777777" w:rsidR="00AA6962" w:rsidRPr="00392EDD" w:rsidRDefault="00AA6962" w:rsidP="00AA6962">
      <w:pPr>
        <w:spacing w:before="120" w:after="120"/>
        <w:jc w:val="both"/>
        <w:rPr>
          <w:rFonts w:ascii="Arial Narrow" w:hAnsi="Arial Narrow"/>
          <w:sz w:val="22"/>
          <w:szCs w:val="22"/>
        </w:rPr>
      </w:pPr>
      <w:r w:rsidRPr="00392EDD">
        <w:rPr>
          <w:rFonts w:ascii="Arial Narrow" w:hAnsi="Arial Narrow"/>
          <w:sz w:val="22"/>
          <w:szCs w:val="22"/>
        </w:rPr>
        <w:t>Paulay, T., &amp; Priestley, M. J. N. (1992). Seismic Design of Reinforced Concrete and Masonry Buildings. John Wiley &amp; Sons.</w:t>
      </w:r>
    </w:p>
    <w:p w14:paraId="37F7F4FA" w14:textId="77777777" w:rsidR="00AA6962" w:rsidRPr="00352536" w:rsidRDefault="00AA6962" w:rsidP="00AA6962">
      <w:pPr>
        <w:spacing w:before="120" w:after="120"/>
        <w:jc w:val="both"/>
        <w:rPr>
          <w:rFonts w:ascii="Arial Narrow" w:hAnsi="Arial Narrow"/>
          <w:sz w:val="22"/>
          <w:szCs w:val="22"/>
          <w:lang w:val="es-CO"/>
        </w:rPr>
      </w:pPr>
      <w:r w:rsidRPr="00392EDD">
        <w:rPr>
          <w:rFonts w:ascii="Arial Narrow" w:hAnsi="Arial Narrow"/>
          <w:sz w:val="22"/>
          <w:szCs w:val="22"/>
        </w:rPr>
        <w:t xml:space="preserve">Priestley, M. J. N., Calvi, G. M., &amp; Kowalsky, M. J. (2007). Displacement-Based Seismic Design of Structures. </w:t>
      </w:r>
      <w:r w:rsidRPr="00352536">
        <w:rPr>
          <w:rFonts w:ascii="Arial Narrow" w:hAnsi="Arial Narrow"/>
          <w:sz w:val="22"/>
          <w:szCs w:val="22"/>
          <w:lang w:val="es-CO"/>
        </w:rPr>
        <w:t>IUSS Press.</w:t>
      </w:r>
    </w:p>
    <w:p w14:paraId="3E7DDA5C" w14:textId="77777777" w:rsidR="00AA6962" w:rsidRPr="00392EDD" w:rsidRDefault="00AA6962" w:rsidP="00AA6962">
      <w:pPr>
        <w:spacing w:before="120" w:after="120"/>
        <w:jc w:val="both"/>
        <w:rPr>
          <w:rFonts w:ascii="Arial Narrow" w:hAnsi="Arial Narrow"/>
          <w:sz w:val="22"/>
          <w:szCs w:val="22"/>
        </w:rPr>
      </w:pPr>
      <w:r w:rsidRPr="00352536">
        <w:rPr>
          <w:rFonts w:ascii="Arial Narrow" w:hAnsi="Arial Narrow"/>
          <w:sz w:val="22"/>
          <w:szCs w:val="22"/>
          <w:lang w:val="es-CO"/>
        </w:rPr>
        <w:t xml:space="preserve">Ministerio de Vivienda, Ciudad y Territorio (Colombia). (2010). Reglamento Colombiano de Construcción Sismo Resistente NSR-10. </w:t>
      </w:r>
      <w:r w:rsidRPr="00392EDD">
        <w:rPr>
          <w:rFonts w:ascii="Arial Narrow" w:hAnsi="Arial Narrow"/>
          <w:sz w:val="22"/>
          <w:szCs w:val="22"/>
        </w:rPr>
        <w:t>Bogotá: ICONTEC.</w:t>
      </w:r>
    </w:p>
    <w:p w14:paraId="7D2ED675" w14:textId="77777777" w:rsidR="00AA6962" w:rsidRPr="00392EDD" w:rsidRDefault="00AA6962" w:rsidP="00AA6962">
      <w:pPr>
        <w:spacing w:before="120" w:after="120"/>
        <w:jc w:val="both"/>
        <w:rPr>
          <w:rFonts w:ascii="Arial Narrow" w:hAnsi="Arial Narrow"/>
          <w:sz w:val="22"/>
          <w:szCs w:val="22"/>
        </w:rPr>
      </w:pPr>
      <w:r w:rsidRPr="00392EDD">
        <w:rPr>
          <w:rFonts w:ascii="Arial Narrow" w:hAnsi="Arial Narrow"/>
          <w:sz w:val="22"/>
          <w:szCs w:val="22"/>
        </w:rPr>
        <w:t>OpenSees Developers Group. (2023). OpenSees: Open System for Earthquake Engineering Simulation. https://opensees.berkeley.edu/</w:t>
      </w:r>
    </w:p>
    <w:p w14:paraId="08E63AF2" w14:textId="77777777" w:rsidR="00AA6962" w:rsidRPr="00392EDD" w:rsidRDefault="00AA6962" w:rsidP="00AA6962">
      <w:pPr>
        <w:spacing w:before="120" w:after="120"/>
        <w:jc w:val="both"/>
        <w:rPr>
          <w:rFonts w:ascii="Arial Narrow" w:hAnsi="Arial Narrow"/>
          <w:sz w:val="22"/>
          <w:szCs w:val="22"/>
        </w:rPr>
      </w:pPr>
      <w:r w:rsidRPr="00392EDD">
        <w:rPr>
          <w:rFonts w:ascii="Arial Narrow" w:hAnsi="Arial Narrow"/>
          <w:sz w:val="22"/>
          <w:szCs w:val="22"/>
        </w:rPr>
        <w:t>PEER Center. (2022). PEER Ground Motion Database. Pacific Earthquake Engineering Research Center. https://ngawest2.berkeley.edu/</w:t>
      </w:r>
    </w:p>
    <w:p w14:paraId="07924385" w14:textId="77777777" w:rsidR="00AA6962" w:rsidRPr="00AA6962" w:rsidRDefault="00AA6962" w:rsidP="00AA6962">
      <w:pPr>
        <w:spacing w:before="120" w:after="120" w:line="276" w:lineRule="auto"/>
        <w:jc w:val="both"/>
        <w:rPr>
          <w:rFonts w:ascii="Arial Narrow" w:hAnsi="Arial Narrow"/>
          <w:sz w:val="22"/>
          <w:szCs w:val="22"/>
        </w:rPr>
      </w:pPr>
    </w:p>
    <w:sectPr w:rsidR="00AA6962" w:rsidRPr="00AA6962">
      <w:pgSz w:w="12240" w:h="15840"/>
      <w:pgMar w:top="1417" w:right="1701" w:bottom="1417"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230CE83E">
      <w:start w:val="1"/>
      <w:numFmt w:val="bullet"/>
      <w:lvlText w:val=""/>
      <w:lvlJc w:val="left"/>
      <w:pPr>
        <w:ind w:left="720" w:hanging="360"/>
      </w:pPr>
      <w:rPr>
        <w:rFonts w:ascii="Symbol" w:hAnsi="Symbol"/>
      </w:rPr>
    </w:lvl>
    <w:lvl w:ilvl="1" w:tplc="410E00CE">
      <w:start w:val="1"/>
      <w:numFmt w:val="bullet"/>
      <w:lvlText w:val="o"/>
      <w:lvlJc w:val="left"/>
      <w:pPr>
        <w:tabs>
          <w:tab w:val="num" w:pos="1440"/>
        </w:tabs>
        <w:ind w:left="1440" w:hanging="360"/>
      </w:pPr>
      <w:rPr>
        <w:rFonts w:ascii="Courier New" w:hAnsi="Courier New"/>
      </w:rPr>
    </w:lvl>
    <w:lvl w:ilvl="2" w:tplc="49385BAC">
      <w:start w:val="1"/>
      <w:numFmt w:val="bullet"/>
      <w:lvlText w:val=""/>
      <w:lvlJc w:val="left"/>
      <w:pPr>
        <w:tabs>
          <w:tab w:val="num" w:pos="2160"/>
        </w:tabs>
        <w:ind w:left="2160" w:hanging="360"/>
      </w:pPr>
      <w:rPr>
        <w:rFonts w:ascii="Wingdings" w:hAnsi="Wingdings"/>
      </w:rPr>
    </w:lvl>
    <w:lvl w:ilvl="3" w:tplc="46D6E6CE">
      <w:start w:val="1"/>
      <w:numFmt w:val="bullet"/>
      <w:lvlText w:val=""/>
      <w:lvlJc w:val="left"/>
      <w:pPr>
        <w:tabs>
          <w:tab w:val="num" w:pos="2880"/>
        </w:tabs>
        <w:ind w:left="2880" w:hanging="360"/>
      </w:pPr>
      <w:rPr>
        <w:rFonts w:ascii="Symbol" w:hAnsi="Symbol"/>
      </w:rPr>
    </w:lvl>
    <w:lvl w:ilvl="4" w:tplc="FE105502">
      <w:start w:val="1"/>
      <w:numFmt w:val="bullet"/>
      <w:lvlText w:val="o"/>
      <w:lvlJc w:val="left"/>
      <w:pPr>
        <w:tabs>
          <w:tab w:val="num" w:pos="3600"/>
        </w:tabs>
        <w:ind w:left="3600" w:hanging="360"/>
      </w:pPr>
      <w:rPr>
        <w:rFonts w:ascii="Courier New" w:hAnsi="Courier New"/>
      </w:rPr>
    </w:lvl>
    <w:lvl w:ilvl="5" w:tplc="81B2127C">
      <w:start w:val="1"/>
      <w:numFmt w:val="bullet"/>
      <w:lvlText w:val=""/>
      <w:lvlJc w:val="left"/>
      <w:pPr>
        <w:tabs>
          <w:tab w:val="num" w:pos="4320"/>
        </w:tabs>
        <w:ind w:left="4320" w:hanging="360"/>
      </w:pPr>
      <w:rPr>
        <w:rFonts w:ascii="Wingdings" w:hAnsi="Wingdings"/>
      </w:rPr>
    </w:lvl>
    <w:lvl w:ilvl="6" w:tplc="6A024C30">
      <w:start w:val="1"/>
      <w:numFmt w:val="bullet"/>
      <w:lvlText w:val=""/>
      <w:lvlJc w:val="left"/>
      <w:pPr>
        <w:tabs>
          <w:tab w:val="num" w:pos="5040"/>
        </w:tabs>
        <w:ind w:left="5040" w:hanging="360"/>
      </w:pPr>
      <w:rPr>
        <w:rFonts w:ascii="Symbol" w:hAnsi="Symbol"/>
      </w:rPr>
    </w:lvl>
    <w:lvl w:ilvl="7" w:tplc="1E667014">
      <w:start w:val="1"/>
      <w:numFmt w:val="bullet"/>
      <w:lvlText w:val="o"/>
      <w:lvlJc w:val="left"/>
      <w:pPr>
        <w:tabs>
          <w:tab w:val="num" w:pos="5760"/>
        </w:tabs>
        <w:ind w:left="5760" w:hanging="360"/>
      </w:pPr>
      <w:rPr>
        <w:rFonts w:ascii="Courier New" w:hAnsi="Courier New"/>
      </w:rPr>
    </w:lvl>
    <w:lvl w:ilvl="8" w:tplc="2A0C57BE">
      <w:start w:val="1"/>
      <w:numFmt w:val="bullet"/>
      <w:lvlText w:val=""/>
      <w:lvlJc w:val="left"/>
      <w:pPr>
        <w:tabs>
          <w:tab w:val="num" w:pos="6480"/>
        </w:tabs>
        <w:ind w:left="6480" w:hanging="360"/>
      </w:pPr>
      <w:rPr>
        <w:rFonts w:ascii="Wingdings" w:hAnsi="Wingdings"/>
      </w:rPr>
    </w:lvl>
  </w:abstractNum>
  <w:num w:numId="1" w16cid:durableId="2089768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E8B"/>
    <w:rsid w:val="000F5E8B"/>
    <w:rsid w:val="00237194"/>
    <w:rsid w:val="00302E88"/>
    <w:rsid w:val="00352536"/>
    <w:rsid w:val="00392EDD"/>
    <w:rsid w:val="004F12B4"/>
    <w:rsid w:val="00AA6962"/>
    <w:rsid w:val="00B20295"/>
    <w:rsid w:val="00C53155"/>
    <w:rsid w:val="00DE3046"/>
    <w:rsid w:val="00F003AD"/>
    <w:rsid w:val="00FF22D6"/>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1CCDE"/>
  <w15:docId w15:val="{96805154-596E-41D4-BDEB-EA9DCFAE4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Ttulo1">
    <w:name w:val="heading 1"/>
    <w:basedOn w:val="Normal"/>
    <w:next w:val="Normal"/>
    <w:link w:val="Ttulo1Car"/>
    <w:uiPriority w:val="9"/>
    <w:qFormat/>
    <w:rsid w:val="00506D7A"/>
    <w:pPr>
      <w:keepNext/>
      <w:keepLines/>
      <w:spacing w:before="240"/>
      <w:outlineLvl w:val="0"/>
    </w:pPr>
    <w:rPr>
      <w:b/>
      <w:bCs/>
      <w:color w:val="2F5496"/>
      <w:kern w:val="36"/>
      <w:sz w:val="48"/>
      <w:szCs w:val="48"/>
    </w:rPr>
  </w:style>
  <w:style w:type="paragraph" w:styleId="Ttulo2">
    <w:name w:val="heading 2"/>
    <w:basedOn w:val="Normal"/>
    <w:next w:val="Normal"/>
    <w:link w:val="Ttulo2Car"/>
    <w:uiPriority w:val="9"/>
    <w:qFormat/>
    <w:rsid w:val="00506D7A"/>
    <w:pPr>
      <w:keepNext/>
      <w:keepLines/>
      <w:spacing w:before="40"/>
      <w:outlineLvl w:val="1"/>
    </w:pPr>
    <w:rPr>
      <w:b/>
      <w:bCs/>
      <w:color w:val="2F5496"/>
      <w:sz w:val="36"/>
      <w:szCs w:val="36"/>
    </w:rPr>
  </w:style>
  <w:style w:type="paragraph" w:styleId="Ttulo3">
    <w:name w:val="heading 3"/>
    <w:basedOn w:val="Normal"/>
    <w:next w:val="Normal"/>
    <w:link w:val="Ttulo3Car"/>
    <w:uiPriority w:val="9"/>
    <w:qFormat/>
    <w:rsid w:val="00506D7A"/>
    <w:pPr>
      <w:keepNext/>
      <w:keepLines/>
      <w:spacing w:before="40"/>
      <w:outlineLvl w:val="2"/>
    </w:pPr>
    <w:rPr>
      <w:b/>
      <w:bCs/>
      <w:color w:val="1F3763"/>
      <w:sz w:val="28"/>
      <w:szCs w:val="28"/>
    </w:rPr>
  </w:style>
  <w:style w:type="paragraph" w:styleId="Ttulo4">
    <w:name w:val="heading 4"/>
    <w:basedOn w:val="Normal"/>
    <w:next w:val="Normal"/>
    <w:link w:val="Ttulo4Car"/>
    <w:uiPriority w:val="9"/>
    <w:qFormat/>
    <w:rsid w:val="00506D7A"/>
    <w:pPr>
      <w:keepNext/>
      <w:keepLines/>
      <w:spacing w:before="40"/>
      <w:outlineLvl w:val="3"/>
    </w:pPr>
    <w:rPr>
      <w:b/>
      <w:bCs/>
      <w:iCs/>
      <w:color w:val="2F5496"/>
    </w:rPr>
  </w:style>
  <w:style w:type="paragraph" w:styleId="Ttulo5">
    <w:name w:val="heading 5"/>
    <w:basedOn w:val="Normal"/>
    <w:next w:val="Normal"/>
    <w:link w:val="Ttulo5Car"/>
    <w:uiPriority w:val="9"/>
    <w:qFormat/>
    <w:rsid w:val="00506D7A"/>
    <w:pPr>
      <w:keepNext/>
      <w:keepLines/>
      <w:spacing w:before="40"/>
      <w:outlineLvl w:val="4"/>
    </w:pPr>
    <w:rPr>
      <w:b/>
      <w:bCs/>
      <w:color w:val="2F5496"/>
      <w:sz w:val="20"/>
      <w:szCs w:val="20"/>
    </w:rPr>
  </w:style>
  <w:style w:type="paragraph" w:styleId="Ttulo6">
    <w:name w:val="heading 6"/>
    <w:basedOn w:val="Normal"/>
    <w:next w:val="Normal"/>
    <w:link w:val="Ttulo6Car"/>
    <w:uiPriority w:val="9"/>
    <w:qFormat/>
    <w:rsid w:val="00506D7A"/>
    <w:pPr>
      <w:keepNext/>
      <w:keepLines/>
      <w:spacing w:before="40"/>
      <w:outlineLvl w:val="5"/>
    </w:pPr>
    <w:rPr>
      <w:b/>
      <w:bCs/>
      <w:color w:val="1F3763"/>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06D7A"/>
    <w:rPr>
      <w:rFonts w:ascii="Calibri Light" w:eastAsia="Times New Roman" w:hAnsi="Calibri Light" w:cs="Times New Roman"/>
      <w:color w:val="2F5496"/>
      <w:sz w:val="32"/>
      <w:szCs w:val="32"/>
    </w:rPr>
  </w:style>
  <w:style w:type="character" w:customStyle="1" w:styleId="Ttulo2Car">
    <w:name w:val="Título 2 Car"/>
    <w:basedOn w:val="Fuentedeprrafopredeter"/>
    <w:link w:val="Ttulo2"/>
    <w:uiPriority w:val="9"/>
    <w:rsid w:val="00506D7A"/>
    <w:rPr>
      <w:rFonts w:ascii="Calibri Light" w:eastAsia="Times New Roman" w:hAnsi="Calibri Light" w:cs="Times New Roman"/>
      <w:color w:val="2F5496"/>
      <w:sz w:val="26"/>
      <w:szCs w:val="26"/>
    </w:rPr>
  </w:style>
  <w:style w:type="character" w:customStyle="1" w:styleId="Ttulo3Car">
    <w:name w:val="Título 3 Car"/>
    <w:basedOn w:val="Fuentedeprrafopredeter"/>
    <w:link w:val="Ttulo3"/>
    <w:uiPriority w:val="9"/>
    <w:rsid w:val="00506D7A"/>
    <w:rPr>
      <w:rFonts w:ascii="Calibri Light" w:eastAsia="Times New Roman" w:hAnsi="Calibri Light" w:cs="Times New Roman"/>
      <w:color w:val="1F3763"/>
      <w:sz w:val="24"/>
      <w:szCs w:val="24"/>
    </w:rPr>
  </w:style>
  <w:style w:type="character" w:customStyle="1" w:styleId="Ttulo4Car">
    <w:name w:val="Título 4 Car"/>
    <w:basedOn w:val="Fuentedeprrafopredeter"/>
    <w:link w:val="Ttulo4"/>
    <w:uiPriority w:val="9"/>
    <w:rsid w:val="00506D7A"/>
    <w:rPr>
      <w:rFonts w:ascii="Calibri Light" w:eastAsia="Times New Roman" w:hAnsi="Calibri Light" w:cs="Times New Roman"/>
      <w:i/>
      <w:iCs/>
      <w:color w:val="2F5496"/>
    </w:rPr>
  </w:style>
  <w:style w:type="character" w:customStyle="1" w:styleId="Ttulo5Car">
    <w:name w:val="Título 5 Car"/>
    <w:basedOn w:val="Fuentedeprrafopredeter"/>
    <w:link w:val="Ttulo5"/>
    <w:uiPriority w:val="9"/>
    <w:rsid w:val="00506D7A"/>
    <w:rPr>
      <w:rFonts w:ascii="Calibri Light" w:eastAsia="Times New Roman" w:hAnsi="Calibri Light" w:cs="Times New Roman"/>
      <w:color w:val="2F5496"/>
    </w:rPr>
  </w:style>
  <w:style w:type="character" w:customStyle="1" w:styleId="Ttulo6Car">
    <w:name w:val="Título 6 Car"/>
    <w:basedOn w:val="Fuentedeprrafopredeter"/>
    <w:link w:val="Ttulo6"/>
    <w:uiPriority w:val="9"/>
    <w:rsid w:val="00506D7A"/>
    <w:rPr>
      <w:rFonts w:ascii="Calibri Light" w:eastAsia="Times New Roman" w:hAnsi="Calibri Light" w:cs="Times New Roman"/>
      <w:color w:val="1F376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7</Pages>
  <Words>3628</Words>
  <Characters>19959</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Análisis No Lineal en Ingeniería</vt:lpstr>
    </vt:vector>
  </TitlesOfParts>
  <Company/>
  <LinksUpToDate>false</LinksUpToDate>
  <CharactersWithSpaces>23540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Análisis No Lineal en Ingeniería</dc:title>
  <dc:creator>Pablo Jimenez</dc:creator>
  <cp:lastModifiedBy>PABLO JIMÉNEZ</cp:lastModifiedBy>
  <cp:revision>17</cp:revision>
  <dcterms:created xsi:type="dcterms:W3CDTF">2026-02-19T20:01:00Z</dcterms:created>
  <dcterms:modified xsi:type="dcterms:W3CDTF">2026-02-20T13:52:00Z</dcterms:modified>
</cp:coreProperties>
</file>