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B1937" w14:textId="5124AB93" w:rsidR="00641A94" w:rsidRPr="00766C87" w:rsidRDefault="00641A94" w:rsidP="00641A94">
      <w:pPr>
        <w:spacing w:line="276" w:lineRule="auto"/>
        <w:contextualSpacing w:val="0"/>
        <w:jc w:val="center"/>
        <w:rPr>
          <w:rFonts w:ascii="Arial Narrow" w:hAnsi="Arial Narrow"/>
          <w:b/>
          <w:bCs/>
          <w:color w:val="000000"/>
        </w:rPr>
      </w:pPr>
      <w:r>
        <w:rPr>
          <w:rFonts w:ascii="Arial Narrow" w:hAnsi="Arial Narrow"/>
          <w:b/>
          <w:bCs/>
          <w:color w:val="000000"/>
        </w:rPr>
        <w:t>C</w:t>
      </w:r>
      <w:r w:rsidRPr="00766C87">
        <w:rPr>
          <w:rFonts w:ascii="Arial Narrow" w:hAnsi="Arial Narrow"/>
          <w:b/>
          <w:bCs/>
          <w:color w:val="000000"/>
        </w:rPr>
        <w:t>aracterización geológica del subsuelo como eje académico para la infraestructura y la sostenibilidad territorial</w:t>
      </w:r>
    </w:p>
    <w:p w14:paraId="7F332433" w14:textId="77777777" w:rsidR="00641A94" w:rsidRPr="00766C87" w:rsidRDefault="00641A94" w:rsidP="00641A94">
      <w:pPr>
        <w:spacing w:after="100" w:afterAutospacing="1" w:line="276" w:lineRule="auto"/>
        <w:contextualSpacing w:val="0"/>
        <w:jc w:val="center"/>
        <w:rPr>
          <w:rFonts w:ascii="Arial Narrow" w:hAnsi="Arial Narrow"/>
          <w:b/>
          <w:bCs/>
          <w:color w:val="000000"/>
        </w:rPr>
      </w:pPr>
      <w:r w:rsidRPr="00766C87">
        <w:rPr>
          <w:rFonts w:ascii="Arial Narrow" w:hAnsi="Arial Narrow"/>
          <w:b/>
          <w:bCs/>
          <w:color w:val="000000"/>
        </w:rPr>
        <w:t>Paola Catalina Montaño Cortes, Geóloga MSc. Ciencias de la Tierra.</w:t>
      </w:r>
    </w:p>
    <w:p w14:paraId="6800B4D5" w14:textId="77777777" w:rsidR="00641A94" w:rsidRPr="00601CD1" w:rsidRDefault="00641A94" w:rsidP="00641A94">
      <w:pPr>
        <w:spacing w:before="100" w:beforeAutospacing="1" w:after="100" w:afterAutospacing="1" w:line="276" w:lineRule="auto"/>
        <w:contextualSpacing w:val="0"/>
        <w:outlineLvl w:val="1"/>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a) Justificación</w:t>
      </w:r>
    </w:p>
    <w:p w14:paraId="7E263667" w14:textId="77777777" w:rsidR="00641A94" w:rsidRPr="00601CD1" w:rsidRDefault="00641A94" w:rsidP="00641A94">
      <w:pPr>
        <w:pStyle w:val="NormalWeb"/>
        <w:spacing w:line="276" w:lineRule="auto"/>
        <w:jc w:val="both"/>
        <w:rPr>
          <w:rFonts w:ascii="Arial Narrow" w:hAnsi="Arial Narrow"/>
          <w:color w:val="000000"/>
          <w:sz w:val="22"/>
          <w:szCs w:val="22"/>
        </w:rPr>
      </w:pPr>
      <w:r w:rsidRPr="00601CD1">
        <w:rPr>
          <w:rFonts w:ascii="Arial Narrow" w:hAnsi="Arial Narrow"/>
          <w:color w:val="000000"/>
          <w:sz w:val="22"/>
          <w:szCs w:val="22"/>
        </w:rPr>
        <w:t>La geología constituye una disciplina base y estructural dentro de la formación de ingenieros civiles y agrícolas, ya que proporciona el marco científico necesario para comprender la naturaleza, origen y comportamiento del terreno sobre el cual se proyectan las obras de infraestructura, además de entender los materiales que podría ser de vital ayuda para las obras requeridas. El subsuelo no es un material homogéneo ni estático; es el resultado de procesos geológicos complejos, en un planeta igualmente dinámico,  que operan a distintas escalas temporales y espaciales. Su adecuada interpretación permite reducir incertidumbre en el diseño geotécnico, optimizar decisiones constructivas y anticipar escenarios de amenaza.</w:t>
      </w:r>
    </w:p>
    <w:p w14:paraId="1B020442" w14:textId="77777777" w:rsidR="00641A94" w:rsidRPr="00601CD1" w:rsidRDefault="00641A94" w:rsidP="00641A94">
      <w:pPr>
        <w:pStyle w:val="NormalWeb"/>
        <w:spacing w:line="276" w:lineRule="auto"/>
        <w:jc w:val="both"/>
        <w:rPr>
          <w:rFonts w:ascii="Arial Narrow" w:hAnsi="Arial Narrow"/>
          <w:color w:val="000000"/>
          <w:sz w:val="22"/>
          <w:szCs w:val="22"/>
        </w:rPr>
      </w:pPr>
      <w:r w:rsidRPr="00601CD1">
        <w:rPr>
          <w:rFonts w:ascii="Arial Narrow" w:hAnsi="Arial Narrow"/>
          <w:color w:val="000000"/>
          <w:sz w:val="22"/>
          <w:szCs w:val="22"/>
        </w:rPr>
        <w:t>La ingeniería geológica y geología ha demostrado que el desconocimiento del contexto geológico local incrementa significativamente el riesgo técnico y económico de los proyectos (González de Vallejo et al., 2002). Estudios en planificación territorial y análisis de amenazas han confirmado que la integración temprana de información geológica mejora los procesos de evaluación del riesgo y la toma de decisiones (Corominas et al., 2014).</w:t>
      </w:r>
    </w:p>
    <w:p w14:paraId="376A0E9A" w14:textId="77777777" w:rsidR="00641A94" w:rsidRPr="00601CD1" w:rsidRDefault="00641A94" w:rsidP="00641A94">
      <w:pPr>
        <w:pStyle w:val="NormalWeb"/>
        <w:spacing w:line="276" w:lineRule="auto"/>
        <w:jc w:val="both"/>
        <w:rPr>
          <w:rFonts w:ascii="Arial Narrow" w:hAnsi="Arial Narrow"/>
          <w:color w:val="000000"/>
          <w:sz w:val="22"/>
          <w:szCs w:val="22"/>
        </w:rPr>
      </w:pPr>
      <w:r w:rsidRPr="00AD27A2">
        <w:rPr>
          <w:rFonts w:ascii="Arial Narrow" w:hAnsi="Arial Narrow"/>
          <w:color w:val="000000"/>
          <w:sz w:val="22"/>
          <w:szCs w:val="22"/>
        </w:rPr>
        <w:t xml:space="preserve">En un país como Colombia, caracterizado por alta actividad tectónica, diversidad litológica y marcada variabilidad climática, el conocimiento geológico adquiere una relevancia particular. La ocurrencia recurrente de deslizamientos </w:t>
      </w:r>
      <w:r w:rsidRPr="00601CD1">
        <w:rPr>
          <w:rFonts w:ascii="Arial Narrow" w:hAnsi="Arial Narrow"/>
          <w:color w:val="000000"/>
          <w:sz w:val="22"/>
          <w:szCs w:val="22"/>
        </w:rPr>
        <w:t xml:space="preserve"> asociados a lluvias intensas, ampliamente documentada en la literatura científica (Froude &amp; </w:t>
      </w:r>
      <w:proofErr w:type="spellStart"/>
      <w:r w:rsidRPr="00601CD1">
        <w:rPr>
          <w:rFonts w:ascii="Arial Narrow" w:hAnsi="Arial Narrow"/>
          <w:color w:val="000000"/>
          <w:sz w:val="22"/>
          <w:szCs w:val="22"/>
        </w:rPr>
        <w:t>Petley</w:t>
      </w:r>
      <w:proofErr w:type="spellEnd"/>
      <w:r w:rsidRPr="00601CD1">
        <w:rPr>
          <w:rFonts w:ascii="Arial Narrow" w:hAnsi="Arial Narrow"/>
          <w:color w:val="000000"/>
          <w:sz w:val="22"/>
          <w:szCs w:val="22"/>
        </w:rPr>
        <w:t>, 2018)</w:t>
      </w:r>
      <w:r w:rsidRPr="00AD27A2">
        <w:rPr>
          <w:rFonts w:ascii="Arial Narrow" w:hAnsi="Arial Narrow"/>
          <w:color w:val="000000"/>
          <w:sz w:val="22"/>
          <w:szCs w:val="22"/>
        </w:rPr>
        <w:t xml:space="preserve">, </w:t>
      </w:r>
      <w:r>
        <w:rPr>
          <w:rFonts w:ascii="Arial Narrow" w:hAnsi="Arial Narrow"/>
          <w:color w:val="000000"/>
          <w:sz w:val="22"/>
          <w:szCs w:val="22"/>
        </w:rPr>
        <w:t xml:space="preserve">junto con </w:t>
      </w:r>
      <w:r w:rsidRPr="00AD27A2">
        <w:rPr>
          <w:rFonts w:ascii="Arial Narrow" w:hAnsi="Arial Narrow"/>
          <w:color w:val="000000"/>
          <w:sz w:val="22"/>
          <w:szCs w:val="22"/>
        </w:rPr>
        <w:t>problemas de inestabilidad</w:t>
      </w:r>
      <w:r>
        <w:rPr>
          <w:rFonts w:ascii="Arial Narrow" w:hAnsi="Arial Narrow"/>
          <w:color w:val="000000"/>
          <w:sz w:val="22"/>
          <w:szCs w:val="22"/>
        </w:rPr>
        <w:t xml:space="preserve">, </w:t>
      </w:r>
      <w:r w:rsidRPr="00AD27A2">
        <w:rPr>
          <w:rFonts w:ascii="Arial Narrow" w:hAnsi="Arial Narrow"/>
          <w:color w:val="000000"/>
          <w:sz w:val="22"/>
          <w:szCs w:val="22"/>
        </w:rPr>
        <w:t>variaciones en el nivel freático y procesos de degradación de suelos evidencian que la ingeniería no puede desligarse del contexto geológico. Ignorar esta base incrementa la incertidumbre técnica y el riesgo económico de los proyectos.</w:t>
      </w:r>
      <w:r w:rsidRPr="00601CD1">
        <w:rPr>
          <w:rFonts w:ascii="Arial Narrow" w:hAnsi="Arial Narrow"/>
          <w:color w:val="000000"/>
          <w:sz w:val="22"/>
          <w:szCs w:val="22"/>
        </w:rPr>
        <w:t xml:space="preserve"> </w:t>
      </w:r>
    </w:p>
    <w:p w14:paraId="7ABEED61" w14:textId="77777777" w:rsidR="00641A94" w:rsidRPr="00601CD1" w:rsidRDefault="00641A94" w:rsidP="00641A94">
      <w:pPr>
        <w:pStyle w:val="NormalWeb"/>
        <w:spacing w:line="276" w:lineRule="auto"/>
        <w:jc w:val="both"/>
        <w:rPr>
          <w:rFonts w:ascii="Arial Narrow" w:hAnsi="Arial Narrow"/>
          <w:color w:val="000000"/>
          <w:sz w:val="22"/>
          <w:szCs w:val="22"/>
        </w:rPr>
      </w:pPr>
      <w:r w:rsidRPr="00601CD1">
        <w:rPr>
          <w:rFonts w:ascii="Arial Narrow" w:hAnsi="Arial Narrow"/>
          <w:color w:val="000000"/>
          <w:sz w:val="22"/>
          <w:szCs w:val="22"/>
        </w:rPr>
        <w:t>Adicionalmente, el contexto global de cambio climático exige comprender la relación entre dinámica terrestre y sistemas hídricos. La literatura reciente destaca la vulnerabilidad de los acuíferos frente a cambios en patrones de precipitación y/o explotación intensiva (Taylor et al., 2013). La geología, en este sentido, no solo aporta al diseño estructural, sino también a la gestión sostenible del agua.</w:t>
      </w:r>
    </w:p>
    <w:p w14:paraId="09A58E5D" w14:textId="77777777" w:rsidR="00641A94" w:rsidRPr="00601CD1" w:rsidRDefault="00641A94" w:rsidP="00641A94">
      <w:pPr>
        <w:pStyle w:val="NormalWeb"/>
        <w:spacing w:line="276" w:lineRule="auto"/>
        <w:jc w:val="both"/>
        <w:rPr>
          <w:rFonts w:ascii="Arial Narrow" w:hAnsi="Arial Narrow"/>
          <w:color w:val="000000"/>
          <w:sz w:val="22"/>
          <w:szCs w:val="22"/>
        </w:rPr>
      </w:pPr>
      <w:r w:rsidRPr="00601CD1">
        <w:rPr>
          <w:rFonts w:ascii="Arial Narrow" w:hAnsi="Arial Narrow"/>
          <w:color w:val="000000"/>
          <w:sz w:val="22"/>
          <w:szCs w:val="22"/>
        </w:rPr>
        <w:t>Desde la perspectiva energética, el almacenamiento geológico de dióxido de carbono en formaciones profundas ha sido reconocido como alternativa viable de mitigación de emisiones (Bachu, 2008; Benson &amp; Cole, 2008). La evaluación rigurosa de reservorios, sellos y sistemas estructurales requiere conocimiento estratigráfico, sedimentológico e hidrogeológico avanzado.</w:t>
      </w:r>
    </w:p>
    <w:p w14:paraId="2F533D75" w14:textId="77777777" w:rsidR="00641A94" w:rsidRPr="00B7765A" w:rsidRDefault="00641A94" w:rsidP="00641A94">
      <w:pPr>
        <w:spacing w:before="100" w:beforeAutospacing="1" w:after="100" w:afterAutospacing="1" w:line="276" w:lineRule="auto"/>
        <w:contextualSpacing w:val="0"/>
        <w:outlineLvl w:val="1"/>
        <w:rPr>
          <w:rFonts w:ascii="Arial Narrow" w:hAnsi="Arial Narrow"/>
          <w:color w:val="000000"/>
        </w:rPr>
      </w:pPr>
      <w:r w:rsidRPr="00B7765A">
        <w:rPr>
          <w:rFonts w:ascii="Arial Narrow" w:hAnsi="Arial Narrow"/>
          <w:color w:val="000000"/>
        </w:rPr>
        <w:t>Mi trayectoria profesional se ha centrado en la integración de la cartografía geológica, el análisis estratigráfico, la hidrogeología y la evaluación de formaciones profundas, siempre desde un enfoque actualizado y respaldado por literatura científica. Esta experiencia me ha permitido construir una visión aplicada de la geología, entendida no solo como disciplina básica, sino como un componente esencial en la formación de ingenieros capaces de enfrentar los desafíos actuales del territorio.</w:t>
      </w:r>
    </w:p>
    <w:p w14:paraId="276989C5" w14:textId="77777777" w:rsidR="00641A94" w:rsidRDefault="00641A94" w:rsidP="00641A94">
      <w:pPr>
        <w:spacing w:before="100" w:beforeAutospacing="1" w:after="100" w:afterAutospacing="1" w:line="276" w:lineRule="auto"/>
        <w:contextualSpacing w:val="0"/>
        <w:outlineLvl w:val="1"/>
        <w:rPr>
          <w:rFonts w:ascii="Arial Narrow" w:hAnsi="Arial Narrow"/>
          <w:color w:val="000000"/>
        </w:rPr>
      </w:pPr>
      <w:r w:rsidRPr="00B7765A">
        <w:rPr>
          <w:rFonts w:ascii="Arial Narrow" w:hAnsi="Arial Narrow"/>
          <w:color w:val="000000"/>
        </w:rPr>
        <w:t xml:space="preserve">Desde mi experiencia profesional y docente, he observado que muchos problemas en infraestructura y gestión hídrica tienen su origen en una caracterización insuficiente del subsuelo. Por ello, considero necesario fortalecer la geología </w:t>
      </w:r>
      <w:r w:rsidRPr="00B7765A">
        <w:rPr>
          <w:rFonts w:ascii="Arial Narrow" w:hAnsi="Arial Narrow"/>
          <w:color w:val="000000"/>
        </w:rPr>
        <w:lastRenderedPageBreak/>
        <w:t>dentro del Departamento de Ingeniería Civil y Agrícola, no como una asignatura aislada, sino como un fundamento técnico que articule el diseño, la sostenibilidad y la gestión territorial.</w:t>
      </w:r>
      <w:r>
        <w:rPr>
          <w:rFonts w:ascii="Arial Narrow" w:hAnsi="Arial Narrow"/>
          <w:color w:val="000000"/>
        </w:rPr>
        <w:t xml:space="preserve"> </w:t>
      </w:r>
    </w:p>
    <w:p w14:paraId="16D7235C" w14:textId="77777777" w:rsidR="00641A94" w:rsidRPr="00A02E3F" w:rsidRDefault="00641A94" w:rsidP="00641A94">
      <w:pPr>
        <w:spacing w:before="100" w:beforeAutospacing="1" w:after="100" w:afterAutospacing="1" w:line="276" w:lineRule="auto"/>
        <w:contextualSpacing w:val="0"/>
        <w:outlineLvl w:val="1"/>
        <w:rPr>
          <w:rFonts w:ascii="Arial Narrow" w:hAnsi="Arial Narrow"/>
          <w:color w:val="000000"/>
        </w:rPr>
      </w:pPr>
      <w:r w:rsidRPr="00A02E3F">
        <w:rPr>
          <w:rFonts w:ascii="Arial Narrow" w:hAnsi="Arial Narrow"/>
          <w:color w:val="000000"/>
        </w:rPr>
        <w:t>En este sentido, la propuesta se enmarca en una concepción de la universidad como espacio de generación crítica de conocimiento y formación integral, donde la ciencia y la técnica dialogan con las necesidades del país. Fortalecer la geología aplicada dentro de la formación ingenieril contribuye a ese propósito, al promover una enseñanza rigurosa, una investigación pertinente y una relación responsable con el territorio.</w:t>
      </w:r>
    </w:p>
    <w:p w14:paraId="56743D43" w14:textId="77777777" w:rsidR="00641A94" w:rsidRPr="00601CD1" w:rsidRDefault="00641A94" w:rsidP="00641A94">
      <w:pPr>
        <w:spacing w:before="100" w:beforeAutospacing="1" w:after="100" w:afterAutospacing="1" w:line="276" w:lineRule="auto"/>
        <w:contextualSpacing w:val="0"/>
        <w:outlineLvl w:val="1"/>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b) Objetivos</w:t>
      </w:r>
    </w:p>
    <w:p w14:paraId="445F2010" w14:textId="77777777" w:rsidR="00641A94" w:rsidRPr="00601CD1"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 xml:space="preserve">El objetivo general es fortalecer la interacción entre geología e ingeniería civil y agrícola mediante una propuesta académica que combine formación fundamental sólida, investigación aplicada y transferencia de conocimiento al entorno territorial </w:t>
      </w:r>
      <w:r w:rsidRPr="00601CD1">
        <w:rPr>
          <w:rFonts w:ascii="Arial Narrow" w:hAnsi="Arial Narrow"/>
          <w:color w:val="000000"/>
        </w:rPr>
        <w:t>con criterio técnico y científico.</w:t>
      </w:r>
    </w:p>
    <w:p w14:paraId="105DCECC" w14:textId="77777777" w:rsidR="00641A94" w:rsidRPr="00601CD1"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De manera específica se propone:</w:t>
      </w:r>
    </w:p>
    <w:p w14:paraId="79D3186F" w14:textId="77777777" w:rsidR="00641A94" w:rsidRPr="00601CD1" w:rsidRDefault="00641A94" w:rsidP="00641A94">
      <w:pPr>
        <w:numPr>
          <w:ilvl w:val="0"/>
          <w:numId w:val="17"/>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Consolidar una enseñanza estructurada desde los fundamentos geológicos hasta su aplicación técnica en ingeniería.</w:t>
      </w:r>
    </w:p>
    <w:p w14:paraId="325D6099" w14:textId="77777777" w:rsidR="00641A94" w:rsidRPr="00601CD1" w:rsidRDefault="00641A94" w:rsidP="00641A94">
      <w:pPr>
        <w:numPr>
          <w:ilvl w:val="0"/>
          <w:numId w:val="17"/>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hAnsi="Arial Narrow"/>
          <w:color w:val="000000"/>
        </w:rPr>
        <w:t>Integrar herramientas modernas de análisis geológico (SIG, modelación conceptual).</w:t>
      </w:r>
    </w:p>
    <w:p w14:paraId="434F943D" w14:textId="77777777" w:rsidR="00641A94" w:rsidRPr="00601CD1" w:rsidRDefault="00641A94" w:rsidP="00641A94">
      <w:pPr>
        <w:numPr>
          <w:ilvl w:val="0"/>
          <w:numId w:val="17"/>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Desarrollar investigación interdisciplinaria basada en literatura científica actual y pertinente.</w:t>
      </w:r>
    </w:p>
    <w:p w14:paraId="5EF6CD03" w14:textId="77777777" w:rsidR="00641A94" w:rsidRPr="00601CD1" w:rsidRDefault="00641A94" w:rsidP="00641A94">
      <w:pPr>
        <w:numPr>
          <w:ilvl w:val="0"/>
          <w:numId w:val="17"/>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Vincular estudiantes de pregrado y posgrado en procesos investigativos aplicados al territorio colombiano.</w:t>
      </w:r>
    </w:p>
    <w:p w14:paraId="3D23D8A9" w14:textId="77777777" w:rsidR="00641A94" w:rsidRPr="00601CD1" w:rsidRDefault="00641A94" w:rsidP="00641A94">
      <w:pPr>
        <w:numPr>
          <w:ilvl w:val="0"/>
          <w:numId w:val="17"/>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Contribuir al análisis geológico en problemáticas de infraestructura, sostenibilidad y transición energética.</w:t>
      </w:r>
    </w:p>
    <w:p w14:paraId="233BACCE" w14:textId="77777777" w:rsidR="00641A94" w:rsidRPr="00601CD1" w:rsidRDefault="00641A94" w:rsidP="00641A94">
      <w:pPr>
        <w:spacing w:before="100" w:beforeAutospacing="1" w:after="100" w:afterAutospacing="1" w:line="276" w:lineRule="auto"/>
        <w:contextualSpacing w:val="0"/>
        <w:outlineLvl w:val="1"/>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c) Propuesta en el componente de docencia</w:t>
      </w:r>
    </w:p>
    <w:p w14:paraId="43611368" w14:textId="77777777" w:rsidR="00641A94" w:rsidRPr="00601CD1"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La formación en geología dentro del programa de Ingeniería Civil y Agrícola debe concebirse como un eje estructural del proceso formativo, en la medida en que el terreno constituye el soporte físico sobre el cual se desarrollan todas las intervenciones ingenieriles. La geología no es únicamente un conjunto de conocimientos descriptivos sobre rocas y minerales; es la disciplina que permite comprender el origen, evolución y comportamiento del medio natural que sustenta la infraestructura y los sistemas productivos agrícolas. Es entender todos los proceso que ocurren en la tierra y que afectan ampliamente el desarrollo sobre ella.</w:t>
      </w:r>
    </w:p>
    <w:p w14:paraId="7E325BF0" w14:textId="77777777" w:rsidR="00641A94" w:rsidRPr="00601CD1"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La propuesta docente se estructura de manera progresiva, articulando fundamentos conceptuales sólidos con aplicaciones técnicas concretas y análisis crítico de casos reales.</w:t>
      </w:r>
    </w:p>
    <w:p w14:paraId="6CFDFA40" w14:textId="77777777" w:rsidR="00641A94" w:rsidRPr="00601CD1" w:rsidRDefault="00641A94" w:rsidP="00641A94">
      <w:pPr>
        <w:spacing w:before="100" w:beforeAutospacing="1" w:after="100" w:afterAutospacing="1" w:line="276" w:lineRule="auto"/>
        <w:ind w:left="284"/>
        <w:contextualSpacing w:val="0"/>
        <w:outlineLvl w:val="2"/>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1. Fundamentos de la Tierra como sistema dinámico</w:t>
      </w:r>
    </w:p>
    <w:p w14:paraId="66765106"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El proceso formativo inicia con el estudio de la estructura interna del planeta, la tectónica de placas, el ciclo de las rocas y los principales procesos geodinámicos internos y externos. El reconocimiento de minerales y la clasificación de rocas ígneas, sedimentarias y metamórficas constituyen la base para comprender la composición de la corteza terrestre (</w:t>
      </w:r>
      <w:proofErr w:type="spellStart"/>
      <w:r w:rsidRPr="00601CD1">
        <w:rPr>
          <w:rFonts w:ascii="Arial Narrow" w:eastAsia="Times New Roman" w:hAnsi="Arial Narrow" w:cs="Times New Roman"/>
          <w:color w:val="000000"/>
          <w:lang w:val="es-CO" w:eastAsia="es-ES_tradnl"/>
        </w:rPr>
        <w:t>Tarbuck</w:t>
      </w:r>
      <w:proofErr w:type="spellEnd"/>
      <w:r w:rsidRPr="00601CD1">
        <w:rPr>
          <w:rFonts w:ascii="Arial Narrow" w:eastAsia="Times New Roman" w:hAnsi="Arial Narrow" w:cs="Times New Roman"/>
          <w:color w:val="000000"/>
          <w:lang w:val="es-CO" w:eastAsia="es-ES_tradnl"/>
        </w:rPr>
        <w:t xml:space="preserve"> &amp; </w:t>
      </w:r>
      <w:proofErr w:type="spellStart"/>
      <w:r w:rsidRPr="00601CD1">
        <w:rPr>
          <w:rFonts w:ascii="Arial Narrow" w:eastAsia="Times New Roman" w:hAnsi="Arial Narrow" w:cs="Times New Roman"/>
          <w:color w:val="000000"/>
          <w:lang w:val="es-CO" w:eastAsia="es-ES_tradnl"/>
        </w:rPr>
        <w:t>Lutgens</w:t>
      </w:r>
      <w:proofErr w:type="spellEnd"/>
      <w:r w:rsidRPr="00601CD1">
        <w:rPr>
          <w:rFonts w:ascii="Arial Narrow" w:eastAsia="Times New Roman" w:hAnsi="Arial Narrow" w:cs="Times New Roman"/>
          <w:color w:val="000000"/>
          <w:lang w:val="es-CO" w:eastAsia="es-ES_tradnl"/>
        </w:rPr>
        <w:t>, 2015). Sin embargo, este estudio no se aborda de manera memorística, sino interpretativa y descriptiva; busca que se interioricen los minerales, cada textura y tipo de roca se analizan como evidencia de un proceso geológico específico.</w:t>
      </w:r>
    </w:p>
    <w:p w14:paraId="640F430C"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lastRenderedPageBreak/>
        <w:t xml:space="preserve">La dinámica interna con sus procesos endógena: magmatismo, metamorfismo, deformación tectónica, generación de fallas y pliegues, explica la heterogeneidad estructural del subsuelo. Por su parte, la dinámica externa y </w:t>
      </w:r>
      <w:proofErr w:type="spellStart"/>
      <w:r w:rsidRPr="00601CD1">
        <w:rPr>
          <w:rFonts w:ascii="Arial Narrow" w:eastAsia="Times New Roman" w:hAnsi="Arial Narrow" w:cs="Times New Roman"/>
          <w:color w:val="000000"/>
          <w:lang w:val="es-CO" w:eastAsia="es-ES_tradnl"/>
        </w:rPr>
        <w:t>sos</w:t>
      </w:r>
      <w:proofErr w:type="spellEnd"/>
      <w:r w:rsidRPr="00601CD1">
        <w:rPr>
          <w:rFonts w:ascii="Arial Narrow" w:eastAsia="Times New Roman" w:hAnsi="Arial Narrow" w:cs="Times New Roman"/>
          <w:color w:val="000000"/>
          <w:lang w:val="es-CO" w:eastAsia="es-ES_tradnl"/>
        </w:rPr>
        <w:t xml:space="preserve"> procesos exógenos: meteorización, erosión, transporte y sedimentación, modela el relieve y genera depósitos con propiedades granulométricas y estructurales particulares (</w:t>
      </w:r>
      <w:proofErr w:type="spellStart"/>
      <w:r w:rsidRPr="00601CD1">
        <w:rPr>
          <w:rFonts w:ascii="Arial Narrow" w:eastAsia="Times New Roman" w:hAnsi="Arial Narrow" w:cs="Times New Roman"/>
          <w:color w:val="000000"/>
          <w:lang w:val="es-CO" w:eastAsia="es-ES_tradnl"/>
        </w:rPr>
        <w:t>Press</w:t>
      </w:r>
      <w:proofErr w:type="spellEnd"/>
      <w:r w:rsidRPr="00601CD1">
        <w:rPr>
          <w:rFonts w:ascii="Arial Narrow" w:eastAsia="Times New Roman" w:hAnsi="Arial Narrow" w:cs="Times New Roman"/>
          <w:color w:val="000000"/>
          <w:lang w:val="es-CO" w:eastAsia="es-ES_tradnl"/>
        </w:rPr>
        <w:t xml:space="preserve"> &amp; </w:t>
      </w:r>
      <w:proofErr w:type="spellStart"/>
      <w:r w:rsidRPr="00601CD1">
        <w:rPr>
          <w:rFonts w:ascii="Arial Narrow" w:eastAsia="Times New Roman" w:hAnsi="Arial Narrow" w:cs="Times New Roman"/>
          <w:color w:val="000000"/>
          <w:lang w:val="es-CO" w:eastAsia="es-ES_tradnl"/>
        </w:rPr>
        <w:t>Siever</w:t>
      </w:r>
      <w:proofErr w:type="spellEnd"/>
      <w:r w:rsidRPr="00601CD1">
        <w:rPr>
          <w:rFonts w:ascii="Arial Narrow" w:eastAsia="Times New Roman" w:hAnsi="Arial Narrow" w:cs="Times New Roman"/>
          <w:color w:val="000000"/>
          <w:lang w:val="es-CO" w:eastAsia="es-ES_tradnl"/>
        </w:rPr>
        <w:t>, 2001). Entender estos procesos permite al estudiante interpretar que el terreno no es un medio homogéneo ni estático, sino el resultado de una historia geológica compleja.</w:t>
      </w:r>
    </w:p>
    <w:p w14:paraId="388C0478"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Este primer nivel busca formar ingenieros que comprendan que cada proyecto se inserta en un contexto geodinámico específico y que el comportamiento del terreno responde a procesos que pueden seguir activos.</w:t>
      </w:r>
    </w:p>
    <w:p w14:paraId="6E9432A7" w14:textId="77777777" w:rsidR="00641A94" w:rsidRPr="00601CD1" w:rsidRDefault="00641A94" w:rsidP="00641A94">
      <w:pPr>
        <w:spacing w:before="100" w:beforeAutospacing="1" w:after="100" w:afterAutospacing="1" w:line="276" w:lineRule="auto"/>
        <w:ind w:left="284"/>
        <w:contextualSpacing w:val="0"/>
        <w:outlineLvl w:val="2"/>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2. Relación entre origen geológico y comportamiento ingenieril</w:t>
      </w:r>
    </w:p>
    <w:p w14:paraId="46682050"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 xml:space="preserve">En un segundo nivel se profundiza en estratigrafía, sedimentología básica y geología estructural aplicada. Se analizan secuencias sedimentarias, ambientes de </w:t>
      </w:r>
      <w:proofErr w:type="spellStart"/>
      <w:r w:rsidRPr="00601CD1">
        <w:rPr>
          <w:rFonts w:ascii="Arial Narrow" w:eastAsia="Times New Roman" w:hAnsi="Arial Narrow" w:cs="Times New Roman"/>
          <w:color w:val="000000"/>
          <w:lang w:val="es-CO" w:eastAsia="es-ES_tradnl"/>
        </w:rPr>
        <w:t>depositación</w:t>
      </w:r>
      <w:proofErr w:type="spellEnd"/>
      <w:r w:rsidRPr="00601CD1">
        <w:rPr>
          <w:rFonts w:ascii="Arial Narrow" w:eastAsia="Times New Roman" w:hAnsi="Arial Narrow" w:cs="Times New Roman"/>
          <w:color w:val="000000"/>
          <w:lang w:val="es-CO" w:eastAsia="es-ES_tradnl"/>
        </w:rPr>
        <w:t xml:space="preserve"> y relaciones entre litología y propiedades físicas. La comprensión del contexto estratigráfico permite anticipar variaciones laterales de facies, cambios en permeabilidad y heterogeneidades que afectan el diseño de cimentaciones o estructuras hidráulicas. Busca que se entienda como puede ser de diferente el contexto geológico y así mismo los materiales que lo sustentan.</w:t>
      </w:r>
    </w:p>
    <w:p w14:paraId="23AC6944"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La geología ha demostrado que la adecuada caracterización del contexto geológico reduce riesgos técnicos y económicos en proyectos de infraestructura (González de Vallejo et al., 2002). En esta etapa, el estudiante comienza a integrar conceptos geológicos con problemáticas de estabilidad de taludes, asentamientos diferenciales, fracturamiento de los macizos rocosos e interacción aire-agua–suelo–roca.</w:t>
      </w:r>
    </w:p>
    <w:p w14:paraId="284F2521" w14:textId="77777777" w:rsidR="00641A94" w:rsidRPr="00601CD1" w:rsidRDefault="00641A94" w:rsidP="00641A94">
      <w:pPr>
        <w:spacing w:before="100" w:beforeAutospacing="1" w:after="100" w:afterAutospacing="1" w:line="276" w:lineRule="auto"/>
        <w:ind w:left="284"/>
        <w:contextualSpacing w:val="0"/>
        <w:outlineLvl w:val="2"/>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3. Caracterización de suelos como base para la ingeniería agrícola</w:t>
      </w:r>
    </w:p>
    <w:p w14:paraId="7F502B24"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En el ámbito de la ingeniería agrícola, la comprensión del suelo debe partir de su origen geológico. El suelo se aborda como un material derivado de la meteorización de la roca madre, cuya composición mineralógica, textura y estructura dependen del material parental y del contexto geomorfológico.</w:t>
      </w:r>
    </w:p>
    <w:p w14:paraId="41940135"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Se analizarán:</w:t>
      </w:r>
    </w:p>
    <w:p w14:paraId="65FF3521" w14:textId="77777777" w:rsidR="00641A94" w:rsidRPr="00601CD1" w:rsidRDefault="00641A94" w:rsidP="00641A94">
      <w:pPr>
        <w:numPr>
          <w:ilvl w:val="0"/>
          <w:numId w:val="18"/>
        </w:numPr>
        <w:spacing w:before="100" w:beforeAutospacing="1" w:after="100" w:afterAutospacing="1" w:line="276" w:lineRule="auto"/>
        <w:ind w:left="284" w:firstLine="0"/>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Relaciones entre granulometría y capacidad de infiltración.</w:t>
      </w:r>
    </w:p>
    <w:p w14:paraId="0AA61BE4" w14:textId="77777777" w:rsidR="00641A94" w:rsidRPr="00601CD1" w:rsidRDefault="00641A94" w:rsidP="00641A94">
      <w:pPr>
        <w:numPr>
          <w:ilvl w:val="0"/>
          <w:numId w:val="18"/>
        </w:numPr>
        <w:spacing w:before="100" w:beforeAutospacing="1" w:after="100" w:afterAutospacing="1" w:line="276" w:lineRule="auto"/>
        <w:ind w:left="284" w:firstLine="0"/>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Influencia de la mineralogía (especialmente arcillas) en comportamiento hidráulico y expansividad.</w:t>
      </w:r>
    </w:p>
    <w:p w14:paraId="2188B8B2" w14:textId="77777777" w:rsidR="00641A94" w:rsidRPr="00601CD1" w:rsidRDefault="00641A94" w:rsidP="00641A94">
      <w:pPr>
        <w:numPr>
          <w:ilvl w:val="0"/>
          <w:numId w:val="18"/>
        </w:numPr>
        <w:spacing w:before="100" w:beforeAutospacing="1" w:after="100" w:afterAutospacing="1" w:line="276" w:lineRule="auto"/>
        <w:ind w:left="284" w:firstLine="0"/>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Papel de la estructura y porosidad en almacenamiento hídrico.</w:t>
      </w:r>
    </w:p>
    <w:p w14:paraId="1522475A" w14:textId="77777777" w:rsidR="00641A94" w:rsidRPr="00601CD1" w:rsidRDefault="00641A94" w:rsidP="00641A94">
      <w:pPr>
        <w:numPr>
          <w:ilvl w:val="0"/>
          <w:numId w:val="18"/>
        </w:numPr>
        <w:spacing w:before="100" w:beforeAutospacing="1" w:after="100" w:afterAutospacing="1" w:line="276" w:lineRule="auto"/>
        <w:ind w:left="284" w:firstLine="0"/>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Procesos de salinización y degradación vinculados a condiciones geológicas y climáticas.</w:t>
      </w:r>
    </w:p>
    <w:p w14:paraId="5F18147F"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Este enfoque permite integrar geología, mecánica de suelos e hidráulica agrícola en un marco conceptual coherente. El estudiante comprenderá que la productividad agrícola y la estabilidad de obras hidráulicas dependen directamente de la naturaleza geológica del terreno.</w:t>
      </w:r>
    </w:p>
    <w:p w14:paraId="39D72CF2" w14:textId="77777777" w:rsidR="00641A94" w:rsidRPr="00601CD1" w:rsidRDefault="00641A94" w:rsidP="00641A94">
      <w:pPr>
        <w:spacing w:before="100" w:beforeAutospacing="1" w:after="100" w:afterAutospacing="1" w:line="276" w:lineRule="auto"/>
        <w:ind w:left="284"/>
        <w:contextualSpacing w:val="0"/>
        <w:outlineLvl w:val="2"/>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4. Caracterización de acuíferos y gestión hídrica sostenible</w:t>
      </w:r>
    </w:p>
    <w:p w14:paraId="0EE40D78"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 xml:space="preserve">La caracterización de acuíferos constituye un eje fundamental en la formación de ingenieros agrícolas. Se introducirán conceptos de hidrogeología física, incluyendo porosidad efectiva, conductividad hidráulica, tipos de acuíferos y comportamiento dinámico del nivel freático. La conceptualización de sistemas acuíferos y su </w:t>
      </w:r>
      <w:r w:rsidRPr="00601CD1">
        <w:rPr>
          <w:rFonts w:ascii="Arial Narrow" w:eastAsia="Times New Roman" w:hAnsi="Arial Narrow" w:cs="Times New Roman"/>
          <w:color w:val="000000"/>
          <w:lang w:val="es-CO" w:eastAsia="es-ES_tradnl"/>
        </w:rPr>
        <w:lastRenderedPageBreak/>
        <w:t>modelación básica permitirá comprender la interacción entre litología, estructura geológica y flujo subterráneo (Anderson et al., 2015).</w:t>
      </w:r>
    </w:p>
    <w:p w14:paraId="5DE567FE"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 xml:space="preserve">La literatura científica ha evidenciado que la gestión inadecuada de acuíferos puede generar sobreexplotación, subsidencia y deterioro de la calidad del agua (Taylor et al., 2013). Por ello, la formación incluirá análisis de calidad del agua, relación agua–roca y fundamentos </w:t>
      </w:r>
      <w:proofErr w:type="spellStart"/>
      <w:r w:rsidRPr="00601CD1">
        <w:rPr>
          <w:rFonts w:ascii="Arial Narrow" w:eastAsia="Times New Roman" w:hAnsi="Arial Narrow" w:cs="Times New Roman"/>
          <w:color w:val="000000"/>
          <w:lang w:val="es-CO" w:eastAsia="es-ES_tradnl"/>
        </w:rPr>
        <w:t>hidrogeoquímicos</w:t>
      </w:r>
      <w:proofErr w:type="spellEnd"/>
      <w:r w:rsidRPr="00601CD1">
        <w:rPr>
          <w:rFonts w:ascii="Arial Narrow" w:eastAsia="Times New Roman" w:hAnsi="Arial Narrow" w:cs="Times New Roman"/>
          <w:color w:val="000000"/>
          <w:lang w:val="es-CO" w:eastAsia="es-ES_tradnl"/>
        </w:rPr>
        <w:t xml:space="preserve"> básicos que permitan entender cómo la geología controla la composición del recurso hídrico.</w:t>
      </w:r>
    </w:p>
    <w:p w14:paraId="44D36C57"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En contextos agrícolas, la sostenibilidad del riego depende directamente de la comprensión del sistema acuífero. Sin caracterización geológica adecuada, los sistemas de aprovechamiento pueden resultar técnicamente inviables o ambientalmente insostenibles.</w:t>
      </w:r>
    </w:p>
    <w:p w14:paraId="7DF0231D" w14:textId="77777777" w:rsidR="00641A94" w:rsidRPr="00601CD1" w:rsidRDefault="00641A94" w:rsidP="00641A94">
      <w:pPr>
        <w:spacing w:before="100" w:beforeAutospacing="1" w:after="100" w:afterAutospacing="1" w:line="276" w:lineRule="auto"/>
        <w:ind w:left="284"/>
        <w:contextualSpacing w:val="0"/>
        <w:outlineLvl w:val="2"/>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5. Estudio de casos reales: geología como determinante del éxito o fracaso</w:t>
      </w:r>
    </w:p>
    <w:p w14:paraId="008003C1"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Un componente central de la propuesta es el análisis crítico de casos reales donde la geología tuvo un papel decisivo en el resultado de obras civiles y agrícolas. Se estudiarán ejemplos en los que la subestimación de condiciones geológicas condujo a inestabilidad, sobrecostos o fallas estructurales, así como casos en los que una adecuada interpretación del contexto geológico permitió optimizar diseños y prevenir riesgos.</w:t>
      </w:r>
    </w:p>
    <w:p w14:paraId="4A1CAC19"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 xml:space="preserve">La literatura científica documenta ampliamente la influencia de factores geológicos en la ocurrencia de deslizamientos y fallas en infraestructura (Corominas et al., 2014; Froude &amp; </w:t>
      </w:r>
      <w:proofErr w:type="spellStart"/>
      <w:r w:rsidRPr="00601CD1">
        <w:rPr>
          <w:rFonts w:ascii="Arial Narrow" w:eastAsia="Times New Roman" w:hAnsi="Arial Narrow" w:cs="Times New Roman"/>
          <w:color w:val="000000"/>
          <w:lang w:val="es-CO" w:eastAsia="es-ES_tradnl"/>
        </w:rPr>
        <w:t>Petley</w:t>
      </w:r>
      <w:proofErr w:type="spellEnd"/>
      <w:r w:rsidRPr="00601CD1">
        <w:rPr>
          <w:rFonts w:ascii="Arial Narrow" w:eastAsia="Times New Roman" w:hAnsi="Arial Narrow" w:cs="Times New Roman"/>
          <w:color w:val="000000"/>
          <w:lang w:val="es-CO" w:eastAsia="es-ES_tradnl"/>
        </w:rPr>
        <w:t>, 2018). El análisis de estos casos permitirá que el estudiante comprenda que la geología no es un conocimiento accesorio, sino el fundamento sobre el cual se construye la ingeniería.</w:t>
      </w:r>
    </w:p>
    <w:p w14:paraId="490322A2" w14:textId="77777777" w:rsidR="00641A94" w:rsidRPr="00601CD1" w:rsidRDefault="00641A94" w:rsidP="00641A94">
      <w:pPr>
        <w:spacing w:before="100" w:beforeAutospacing="1" w:after="100" w:afterAutospacing="1" w:line="276" w:lineRule="auto"/>
        <w:ind w:left="284"/>
        <w:contextualSpacing w:val="0"/>
        <w:outlineLvl w:val="2"/>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6. Metodología y articulación con investigación</w:t>
      </w:r>
    </w:p>
    <w:p w14:paraId="18548735"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La metodología combinará clases magistrales conceptuales con análisis de artículos científicos, interpretación cartográfica, ejercicios de integración conceptual y estudios de caso. Se promoverá el uso básico de herramientas SIG y la lectura crítica de publicaciones recientes, fomentando pensamiento analítico y actualización permanente.</w:t>
      </w:r>
    </w:p>
    <w:p w14:paraId="7DD3B45F"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Desde el segundo semestre de 2025, en mi experiencia docente en la Escuela Colombiana de Ingeniería, he implementado este enfoque progresivo, orientando la geología no como un contenido aislado, sino como el soporte técnico indispensable para la toma de decisiones en ingeniería civil y agrícola.</w:t>
      </w:r>
    </w:p>
    <w:p w14:paraId="3DBBA296"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En síntesis, la propuesta docente busca formar ingenieros que comprendan que la geología constituye el fundamento físico y científico de su ejercicio profesional. Sin una adecuada interpretación del subsuelo, la infraestructura carece de sustento; con una caracterización geológica rigurosa, las soluciones técnicas adquieren solidez, eficiencia y sostenibilidad.</w:t>
      </w:r>
    </w:p>
    <w:p w14:paraId="62593AEB" w14:textId="77777777" w:rsidR="00641A94" w:rsidRPr="00601CD1" w:rsidRDefault="00641A94" w:rsidP="00641A94">
      <w:pPr>
        <w:spacing w:line="276" w:lineRule="auto"/>
        <w:contextualSpacing w:val="0"/>
        <w:rPr>
          <w:rFonts w:ascii="Arial Narrow" w:eastAsia="Times New Roman" w:hAnsi="Arial Narrow" w:cs="Times New Roman"/>
          <w:lang w:val="es-CO" w:eastAsia="es-ES_tradnl"/>
        </w:rPr>
      </w:pPr>
      <w:r w:rsidRPr="00601CD1">
        <w:rPr>
          <w:rFonts w:ascii="Arial Narrow" w:eastAsia="Times New Roman" w:hAnsi="Arial Narrow" w:cs="Times New Roman"/>
          <w:color w:val="000000"/>
          <w:lang w:val="es-CO" w:eastAsia="es-ES_tradnl"/>
        </w:rPr>
        <w:t>d) Propuesta en el componente de investigación</w:t>
      </w:r>
    </w:p>
    <w:p w14:paraId="14362ED4" w14:textId="77777777" w:rsidR="00641A94" w:rsidRPr="00601CD1" w:rsidRDefault="00641A94" w:rsidP="00641A94">
      <w:pPr>
        <w:spacing w:before="100" w:beforeAutospacing="1" w:after="100" w:afterAutospacing="1" w:line="276" w:lineRule="auto"/>
        <w:contextualSpacing w:val="0"/>
        <w:jc w:val="left"/>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La propuesta investigativa se estructura en dos líneas complementarias que articulan caracterización geológica, análisis hidrogeológico y evaluación geomecánica con problemáticas concretas de la ingeniería civil y agrícola. Ambas líneas parten del principio de que la infraestructura no puede diseñarse de manera aislada del contexto geológico que la sustenta.</w:t>
      </w:r>
    </w:p>
    <w:p w14:paraId="7DAF2C3D" w14:textId="77777777" w:rsidR="00641A94" w:rsidRPr="00601CD1" w:rsidRDefault="00641A94" w:rsidP="00641A94">
      <w:pPr>
        <w:spacing w:before="100" w:beforeAutospacing="1" w:after="100" w:afterAutospacing="1" w:line="276" w:lineRule="auto"/>
        <w:ind w:left="284"/>
        <w:contextualSpacing w:val="0"/>
        <w:jc w:val="left"/>
        <w:outlineLvl w:val="1"/>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lastRenderedPageBreak/>
        <w:t>Línea 1: Caracterización geológica e hidrogeológica del subsuelo para el diseño y seguridad de infraestructura civil y agrícola</w:t>
      </w:r>
    </w:p>
    <w:p w14:paraId="44412D53" w14:textId="77777777" w:rsidR="00641A94" w:rsidRPr="00601CD1" w:rsidRDefault="00641A94" w:rsidP="00641A94">
      <w:pPr>
        <w:spacing w:before="100" w:beforeAutospacing="1" w:after="100" w:afterAutospacing="1" w:line="276" w:lineRule="auto"/>
        <w:ind w:left="284"/>
        <w:contextualSpacing w:val="0"/>
        <w:jc w:val="left"/>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Esta línea se orienta a fortalecer la integración del conocimiento geológico en las etapas de planificación, diseño y evaluación de obras civiles y agrícolas. El subsuelo constituye el medio físico sobre el cual se transmiten cargas estructurales, circula el agua subterránea y se desarrollan procesos de deformación; por tanto, su caracterización rigurosa es indispensable para garantizar estabilidad y funcionalidad.</w:t>
      </w:r>
    </w:p>
    <w:p w14:paraId="1374AB16"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Desde la ingeniería civil, esta línea aborda:</w:t>
      </w:r>
    </w:p>
    <w:p w14:paraId="7DD42DFA" w14:textId="77777777" w:rsidR="00641A94" w:rsidRPr="00601CD1" w:rsidRDefault="00641A94" w:rsidP="00641A94">
      <w:pPr>
        <w:numPr>
          <w:ilvl w:val="0"/>
          <w:numId w:val="19"/>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Interpretación estratigráfica aplicada a cimentaciones.</w:t>
      </w:r>
    </w:p>
    <w:p w14:paraId="4FF4B87F" w14:textId="77777777" w:rsidR="00641A94" w:rsidRPr="00601CD1" w:rsidRDefault="00641A94" w:rsidP="00641A94">
      <w:pPr>
        <w:numPr>
          <w:ilvl w:val="0"/>
          <w:numId w:val="19"/>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Análisis estructural del macizo rocoso para evaluación de estabilidad.</w:t>
      </w:r>
    </w:p>
    <w:p w14:paraId="7A56B088" w14:textId="77777777" w:rsidR="00641A94" w:rsidRPr="00601CD1" w:rsidRDefault="00641A94" w:rsidP="00641A94">
      <w:pPr>
        <w:numPr>
          <w:ilvl w:val="0"/>
          <w:numId w:val="19"/>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Identificación de heterogeneidades litológicas que afectan asentamientos diferenciales.</w:t>
      </w:r>
    </w:p>
    <w:p w14:paraId="6ABF4DC9" w14:textId="77777777" w:rsidR="00641A94" w:rsidRPr="00601CD1" w:rsidRDefault="00641A94" w:rsidP="00641A94">
      <w:pPr>
        <w:numPr>
          <w:ilvl w:val="0"/>
          <w:numId w:val="19"/>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Interacción agua–suelo–roca en obras hidráulicas.</w:t>
      </w:r>
    </w:p>
    <w:p w14:paraId="481805F0" w14:textId="77777777" w:rsidR="00641A94" w:rsidRPr="00601CD1" w:rsidRDefault="00641A94" w:rsidP="00641A94">
      <w:pPr>
        <w:numPr>
          <w:ilvl w:val="0"/>
          <w:numId w:val="19"/>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Evaluación geomecánica en taludes y excavaciones.</w:t>
      </w:r>
    </w:p>
    <w:p w14:paraId="5CA8B3EF"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La literatura científica en ingeniería geológica ha demostrado que la adecuada caracterización del contexto geológico reduce significativamente el riesgo de fallas estructurales y sobrecostos en proyectos de infraestructura (Corominas et al., 2014; González de Vallejo et al., 2002).</w:t>
      </w:r>
    </w:p>
    <w:p w14:paraId="4F0BB94E"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En el ámbito de la ingeniería agrícola, esta línea incorpora la caracterización hidrogeológica como base para el diseño de sistemas de riego y drenaje sostenibles. La evaluación de acuíferos, parámetros hidráulicos y calidad del agua es fundamental para garantizar disponibilidad y estabilidad del recurso. La modelación conceptual y numérica de sistemas de flujo subterráneo constituye una herramienta clave en este proceso (Anderson et al., 2015).</w:t>
      </w:r>
    </w:p>
    <w:p w14:paraId="0FD0CB3E"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Asimismo, la interacción entre variabilidad climática y dinámica de acuíferos, ampliamente documentada en la literatura (Taylor et al., 2013), exige que los proyectos agrícolas incorporen análisis geológicos integrados para prevenir sobreexplotación o degradación del recurso hídrico.</w:t>
      </w:r>
    </w:p>
    <w:p w14:paraId="5811BE32"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 xml:space="preserve">Esta línea busca consolidar investigaciones aplicadas que integren cartografía geológica, análisis </w:t>
      </w:r>
      <w:proofErr w:type="spellStart"/>
      <w:r w:rsidRPr="00601CD1">
        <w:rPr>
          <w:rFonts w:ascii="Arial Narrow" w:eastAsia="Times New Roman" w:hAnsi="Arial Narrow" w:cs="Arial"/>
          <w:color w:val="000000"/>
          <w:lang w:val="es-CO" w:eastAsia="es-ES_tradnl"/>
        </w:rPr>
        <w:t>hidrogeoquímico</w:t>
      </w:r>
      <w:proofErr w:type="spellEnd"/>
      <w:r w:rsidRPr="00601CD1">
        <w:rPr>
          <w:rFonts w:ascii="Arial Narrow" w:eastAsia="Times New Roman" w:hAnsi="Arial Narrow" w:cs="Arial"/>
          <w:color w:val="000000"/>
          <w:lang w:val="es-CO" w:eastAsia="es-ES_tradnl"/>
        </w:rPr>
        <w:t>, interpretación petrofísica y herramientas SIG para apoyar decisiones de diseño y gestión territorial.</w:t>
      </w:r>
    </w:p>
    <w:p w14:paraId="3BBA789A" w14:textId="77777777" w:rsidR="00641A94" w:rsidRPr="00601CD1" w:rsidRDefault="00641A94" w:rsidP="00641A94">
      <w:pPr>
        <w:spacing w:before="100" w:beforeAutospacing="1" w:after="100" w:afterAutospacing="1" w:line="276" w:lineRule="auto"/>
        <w:ind w:left="284"/>
        <w:contextualSpacing w:val="0"/>
        <w:outlineLvl w:val="1"/>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Línea 2: Geología aplicada a infraestructura resiliente y sistemas hídricos sostenibles en contextos de cambio climático</w:t>
      </w:r>
    </w:p>
    <w:p w14:paraId="7BB1901F"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La segunda línea se enfoca en el comportamiento del sistema geológico frente a nuevas exigencias de la ingeniería contemporánea, particularmente en escenarios de variabilidad climática, intensificación de eventos extremos y transición energética.</w:t>
      </w:r>
    </w:p>
    <w:p w14:paraId="65F2EFD8"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 xml:space="preserve">Desde la ingeniería civil, la resiliencia de la infraestructura depende en gran medida de la respuesta del terreno ante cargas dinámicas, saturación, cambios en el nivel freático y procesos de inestabilidad. Investigaciones recientes han evidenciado la relación directa entre factores geológicos y ocurrencia de deslizamientos en contextos </w:t>
      </w:r>
      <w:r w:rsidRPr="00601CD1">
        <w:rPr>
          <w:rFonts w:ascii="Arial Narrow" w:eastAsia="Times New Roman" w:hAnsi="Arial Narrow" w:cs="Arial"/>
          <w:color w:val="000000"/>
          <w:lang w:val="es-CO" w:eastAsia="es-ES_tradnl"/>
        </w:rPr>
        <w:lastRenderedPageBreak/>
        <w:t xml:space="preserve">de lluvias intensas (Froude &amp; </w:t>
      </w:r>
      <w:proofErr w:type="spellStart"/>
      <w:r w:rsidRPr="00601CD1">
        <w:rPr>
          <w:rFonts w:ascii="Arial Narrow" w:eastAsia="Times New Roman" w:hAnsi="Arial Narrow" w:cs="Arial"/>
          <w:color w:val="000000"/>
          <w:lang w:val="es-CO" w:eastAsia="es-ES_tradnl"/>
        </w:rPr>
        <w:t>Petley</w:t>
      </w:r>
      <w:proofErr w:type="spellEnd"/>
      <w:r w:rsidRPr="00601CD1">
        <w:rPr>
          <w:rFonts w:ascii="Arial Narrow" w:eastAsia="Times New Roman" w:hAnsi="Arial Narrow" w:cs="Arial"/>
          <w:color w:val="000000"/>
          <w:lang w:val="es-CO" w:eastAsia="es-ES_tradnl"/>
        </w:rPr>
        <w:t>, 2018). La integración del análisis geológico en la planificación y diseño permite reducir vulnerabilidad y fortalecer la seguridad estructural.</w:t>
      </w:r>
    </w:p>
    <w:p w14:paraId="33E8119A"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En el ámbito agrícola, el aumento de la variabilidad climática impacta la recarga de acuíferos y la estabilidad de suelos. La caracterización geológica del terreno permite diseñar estrategias de manejo hídrico adaptativo, optimizando sistemas de riego y previniendo procesos de salinización o degradación estructural del suelo.</w:t>
      </w:r>
    </w:p>
    <w:p w14:paraId="68F81C81"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Adicionalmente, la transición energética plantea nuevos desafíos de infraestructura subterránea, como almacenamiento geológico profundo y aprovechamiento de recursos energéticos. Estos proyectos requieren análisis detallado de estabilidad, integridad estructural y comportamiento hidrogeológico (Benson &amp; Cole, 2008; Bachu, 2008), donde la geología cumple un papel determinante en la evaluación de riesgo y seguridad.</w:t>
      </w:r>
    </w:p>
    <w:p w14:paraId="116A7FB8" w14:textId="77777777" w:rsidR="00641A94" w:rsidRPr="00601CD1" w:rsidRDefault="00641A94" w:rsidP="00641A94">
      <w:pPr>
        <w:spacing w:before="100" w:beforeAutospacing="1" w:after="100" w:afterAutospacing="1" w:line="276" w:lineRule="auto"/>
        <w:ind w:left="284"/>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Esta línea promueve investigaciones orientadas a:</w:t>
      </w:r>
    </w:p>
    <w:p w14:paraId="3DB27D2D" w14:textId="77777777" w:rsidR="00641A94" w:rsidRPr="00601CD1" w:rsidRDefault="00641A94" w:rsidP="00641A94">
      <w:pPr>
        <w:numPr>
          <w:ilvl w:val="0"/>
          <w:numId w:val="20"/>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Evaluación geológica de infraestructura crítica.</w:t>
      </w:r>
    </w:p>
    <w:p w14:paraId="0378FE32" w14:textId="77777777" w:rsidR="00641A94" w:rsidRPr="00601CD1" w:rsidRDefault="00641A94" w:rsidP="00641A94">
      <w:pPr>
        <w:numPr>
          <w:ilvl w:val="0"/>
          <w:numId w:val="20"/>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Interacción entre eventos extremos y estabilidad del terreno.</w:t>
      </w:r>
    </w:p>
    <w:p w14:paraId="53BC6548" w14:textId="77777777" w:rsidR="00641A94" w:rsidRPr="00601CD1" w:rsidRDefault="00641A94" w:rsidP="00641A94">
      <w:pPr>
        <w:numPr>
          <w:ilvl w:val="0"/>
          <w:numId w:val="20"/>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Gestión integrada de sistemas acuíferos en escenarios de cambio climático.</w:t>
      </w:r>
    </w:p>
    <w:p w14:paraId="7D865FEE" w14:textId="77777777" w:rsidR="00641A94" w:rsidRPr="00601CD1" w:rsidRDefault="00641A94" w:rsidP="00641A94">
      <w:pPr>
        <w:numPr>
          <w:ilvl w:val="0"/>
          <w:numId w:val="20"/>
        </w:numPr>
        <w:spacing w:before="100" w:beforeAutospacing="1" w:after="100" w:afterAutospacing="1" w:line="276" w:lineRule="auto"/>
        <w:ind w:left="284" w:firstLine="0"/>
        <w:contextualSpacing w:val="0"/>
        <w:rPr>
          <w:rFonts w:ascii="Arial Narrow" w:eastAsia="Times New Roman" w:hAnsi="Arial Narrow" w:cs="Arial"/>
          <w:color w:val="000000"/>
          <w:lang w:val="es-CO" w:eastAsia="es-ES_tradnl"/>
        </w:rPr>
      </w:pPr>
      <w:r w:rsidRPr="00601CD1">
        <w:rPr>
          <w:rFonts w:ascii="Arial Narrow" w:eastAsia="Times New Roman" w:hAnsi="Arial Narrow" w:cs="Arial"/>
          <w:color w:val="000000"/>
          <w:lang w:val="es-CO" w:eastAsia="es-ES_tradnl"/>
        </w:rPr>
        <w:t xml:space="preserve">Análisis </w:t>
      </w:r>
      <w:proofErr w:type="spellStart"/>
      <w:r w:rsidRPr="00601CD1">
        <w:rPr>
          <w:rFonts w:ascii="Arial Narrow" w:eastAsia="Times New Roman" w:hAnsi="Arial Narrow" w:cs="Arial"/>
          <w:color w:val="000000"/>
          <w:lang w:val="es-CO" w:eastAsia="es-ES_tradnl"/>
        </w:rPr>
        <w:t>geomecánico</w:t>
      </w:r>
      <w:proofErr w:type="spellEnd"/>
      <w:r w:rsidRPr="00601CD1">
        <w:rPr>
          <w:rFonts w:ascii="Arial Narrow" w:eastAsia="Times New Roman" w:hAnsi="Arial Narrow" w:cs="Arial"/>
          <w:color w:val="000000"/>
          <w:lang w:val="es-CO" w:eastAsia="es-ES_tradnl"/>
        </w:rPr>
        <w:t xml:space="preserve"> e hidrogeológico aplicado a infraestructura energética.</w:t>
      </w:r>
    </w:p>
    <w:p w14:paraId="271B396E" w14:textId="77777777" w:rsidR="00641A94" w:rsidRPr="00601CD1" w:rsidRDefault="00641A94" w:rsidP="00641A94">
      <w:pPr>
        <w:spacing w:before="100" w:beforeAutospacing="1" w:after="100" w:afterAutospacing="1" w:line="276" w:lineRule="auto"/>
        <w:contextualSpacing w:val="0"/>
        <w:outlineLvl w:val="1"/>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e) Propuesta en el componente de extensión</w:t>
      </w:r>
    </w:p>
    <w:p w14:paraId="5A76F020" w14:textId="77777777" w:rsidR="00641A94" w:rsidRPr="00601CD1"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La extensión universitaria se concibe como un mecanismo estratégico de transferencia de conocimiento científico hacia entidades públicas, sector productivo y comunidades. La asesoría técnica en evaluación de riesgos geológicos, planificación territorial, gestión del recurso hídrico subterráneo y análisis geológico en proyectos de infraestructura contribuye a decisiones más sostenibles y basadas en evidencia científica.</w:t>
      </w:r>
    </w:p>
    <w:p w14:paraId="1FE6DA30" w14:textId="77777777" w:rsidR="00641A94" w:rsidRPr="00601CD1"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La articulación entre academia y territorio fortalece el impacto social de la disciplina y consolida el papel de la geología como herramienta técnica para el desarrollo responsable.</w:t>
      </w:r>
    </w:p>
    <w:p w14:paraId="764D1FC0" w14:textId="77777777" w:rsidR="00641A94" w:rsidRPr="00601CD1"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La presente propuesta busca consolidar una línea académica que articule docencia, investigación y extensión bajo un enfoque de actualización permanente y rigor científico. La integración de literatura especializada reciente, el desarrollo de proyectos interdisciplinarios y la vinculación de estudiantes en procesos investigativos permitirán fortalecer la visibilidad académica del Departamento de Ingeniería Civil y Agrícola.</w:t>
      </w:r>
    </w:p>
    <w:p w14:paraId="07C8116C" w14:textId="77777777" w:rsidR="00641A94"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601CD1">
        <w:rPr>
          <w:rFonts w:ascii="Arial Narrow" w:eastAsia="Times New Roman" w:hAnsi="Arial Narrow" w:cs="Times New Roman"/>
          <w:color w:val="000000"/>
          <w:lang w:val="es-CO" w:eastAsia="es-ES_tradnl"/>
        </w:rPr>
        <w:t>A mediano plazo, se proyecta la formulación de proyectos en convocatorias nacionales e internacionales, la consolidación de semilleros de investigación en geología aplicada y la producción científica orientada a revistas indexadas en ingeniería geológica, hidrogeología y sostenibilidad territorial. Esta proyección busca contribuir al posicionamiento institucional mediante investigación pertinente, formación integral y transferencia de conocimiento con impacto en el contexto colombiano.</w:t>
      </w:r>
    </w:p>
    <w:p w14:paraId="21511BB3" w14:textId="77777777" w:rsidR="00641A94"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p>
    <w:p w14:paraId="3FA07619" w14:textId="77777777" w:rsidR="00641A94"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p>
    <w:p w14:paraId="09DF6F48" w14:textId="77777777" w:rsidR="00641A94" w:rsidRDefault="00641A94" w:rsidP="00641A94">
      <w:p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p>
    <w:p w14:paraId="5BBCDA99" w14:textId="77777777" w:rsidR="00641A94" w:rsidRPr="005A15C0" w:rsidRDefault="00641A94" w:rsidP="00641A94">
      <w:pPr>
        <w:spacing w:before="100" w:beforeAutospacing="1" w:after="100" w:afterAutospacing="1" w:line="276" w:lineRule="auto"/>
        <w:contextualSpacing w:val="0"/>
        <w:outlineLvl w:val="1"/>
        <w:rPr>
          <w:rFonts w:ascii="Arial Narrow" w:eastAsia="Times New Roman" w:hAnsi="Arial Narrow" w:cs="Times New Roman"/>
          <w:color w:val="000000"/>
          <w:lang w:val="es-CO" w:eastAsia="es-ES_tradnl"/>
        </w:rPr>
      </w:pPr>
      <w:r w:rsidRPr="005A15C0">
        <w:rPr>
          <w:rFonts w:ascii="Arial Narrow" w:eastAsia="Times New Roman" w:hAnsi="Arial Narrow" w:cs="Times New Roman"/>
          <w:color w:val="000000"/>
          <w:lang w:val="es-CO" w:eastAsia="es-ES_tradnl"/>
        </w:rPr>
        <w:lastRenderedPageBreak/>
        <w:t>F) Bibliografía</w:t>
      </w:r>
    </w:p>
    <w:p w14:paraId="771AF752" w14:textId="77777777" w:rsidR="00641A94" w:rsidRPr="007F653E"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 xml:space="preserve">Anderson, M. P., </w:t>
      </w:r>
      <w:proofErr w:type="spellStart"/>
      <w:r w:rsidRPr="00AD27A2">
        <w:rPr>
          <w:rFonts w:ascii="Arial Narrow" w:eastAsia="Times New Roman" w:hAnsi="Arial Narrow" w:cs="Times New Roman"/>
          <w:color w:val="000000"/>
          <w:lang w:val="es-CO" w:eastAsia="es-ES_tradnl"/>
        </w:rPr>
        <w:t>Woessner</w:t>
      </w:r>
      <w:proofErr w:type="spellEnd"/>
      <w:r w:rsidRPr="00AD27A2">
        <w:rPr>
          <w:rFonts w:ascii="Arial Narrow" w:eastAsia="Times New Roman" w:hAnsi="Arial Narrow" w:cs="Times New Roman"/>
          <w:color w:val="000000"/>
          <w:lang w:val="es-CO" w:eastAsia="es-ES_tradnl"/>
        </w:rPr>
        <w:t>, W. W., &amp; Hunt, R. J. (2015). </w:t>
      </w:r>
      <w:proofErr w:type="spellStart"/>
      <w:r w:rsidRPr="00AD27A2">
        <w:rPr>
          <w:rFonts w:ascii="Arial Narrow" w:eastAsia="Times New Roman" w:hAnsi="Arial Narrow" w:cs="Times New Roman"/>
          <w:color w:val="000000"/>
          <w:lang w:val="es-CO" w:eastAsia="es-ES_tradnl"/>
        </w:rPr>
        <w:t>Applied</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groundwater</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modeling</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Simulation</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of</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flow</w:t>
      </w:r>
      <w:proofErr w:type="spellEnd"/>
      <w:r w:rsidRPr="00AD27A2">
        <w:rPr>
          <w:rFonts w:ascii="Arial Narrow" w:eastAsia="Times New Roman" w:hAnsi="Arial Narrow" w:cs="Times New Roman"/>
          <w:color w:val="000000"/>
          <w:lang w:val="es-CO" w:eastAsia="es-ES_tradnl"/>
        </w:rPr>
        <w:t xml:space="preserve"> and </w:t>
      </w:r>
      <w:proofErr w:type="spellStart"/>
      <w:r w:rsidRPr="00AD27A2">
        <w:rPr>
          <w:rFonts w:ascii="Arial Narrow" w:eastAsia="Times New Roman" w:hAnsi="Arial Narrow" w:cs="Times New Roman"/>
          <w:color w:val="000000"/>
          <w:lang w:val="es-CO" w:eastAsia="es-ES_tradnl"/>
        </w:rPr>
        <w:t>advective</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transport</w:t>
      </w:r>
      <w:proofErr w:type="spellEnd"/>
      <w:r w:rsidRPr="00AD27A2">
        <w:rPr>
          <w:rFonts w:ascii="Arial Narrow" w:eastAsia="Times New Roman" w:hAnsi="Arial Narrow" w:cs="Times New Roman"/>
          <w:color w:val="000000"/>
          <w:lang w:val="es-CO" w:eastAsia="es-ES_tradnl"/>
        </w:rPr>
        <w:t> (2nd ed.). Springer. https://doi.org/10.1007/978-1-4614-8145-0</w:t>
      </w:r>
      <w:r>
        <w:rPr>
          <w:rFonts w:ascii="Arial Narrow" w:eastAsia="Times New Roman" w:hAnsi="Arial Narrow" w:cs="Times New Roman"/>
          <w:color w:val="000000"/>
          <w:lang w:val="es-CO" w:eastAsia="es-ES_tradnl"/>
        </w:rPr>
        <w:t>.</w:t>
      </w:r>
    </w:p>
    <w:p w14:paraId="608EF987"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 xml:space="preserve">Bachu, S. (2008). CO2 </w:t>
      </w:r>
      <w:proofErr w:type="spellStart"/>
      <w:r w:rsidRPr="00AD27A2">
        <w:rPr>
          <w:rFonts w:ascii="Arial Narrow" w:eastAsia="Times New Roman" w:hAnsi="Arial Narrow" w:cs="Times New Roman"/>
          <w:color w:val="000000"/>
          <w:lang w:val="es-CO" w:eastAsia="es-ES_tradnl"/>
        </w:rPr>
        <w:t>storage</w:t>
      </w:r>
      <w:proofErr w:type="spellEnd"/>
      <w:r w:rsidRPr="00AD27A2">
        <w:rPr>
          <w:rFonts w:ascii="Arial Narrow" w:eastAsia="Times New Roman" w:hAnsi="Arial Narrow" w:cs="Times New Roman"/>
          <w:color w:val="000000"/>
          <w:lang w:val="es-CO" w:eastAsia="es-ES_tradnl"/>
        </w:rPr>
        <w:t xml:space="preserve"> in geological media: Role, </w:t>
      </w:r>
      <w:proofErr w:type="spellStart"/>
      <w:r w:rsidRPr="00AD27A2">
        <w:rPr>
          <w:rFonts w:ascii="Arial Narrow" w:eastAsia="Times New Roman" w:hAnsi="Arial Narrow" w:cs="Times New Roman"/>
          <w:color w:val="000000"/>
          <w:lang w:val="es-CO" w:eastAsia="es-ES_tradnl"/>
        </w:rPr>
        <w:t>means</w:t>
      </w:r>
      <w:proofErr w:type="spellEnd"/>
      <w:r w:rsidRPr="00AD27A2">
        <w:rPr>
          <w:rFonts w:ascii="Arial Narrow" w:eastAsia="Times New Roman" w:hAnsi="Arial Narrow" w:cs="Times New Roman"/>
          <w:color w:val="000000"/>
          <w:lang w:val="es-CO" w:eastAsia="es-ES_tradnl"/>
        </w:rPr>
        <w:t xml:space="preserve">, status and </w:t>
      </w:r>
      <w:proofErr w:type="spellStart"/>
      <w:r w:rsidRPr="00AD27A2">
        <w:rPr>
          <w:rFonts w:ascii="Arial Narrow" w:eastAsia="Times New Roman" w:hAnsi="Arial Narrow" w:cs="Times New Roman"/>
          <w:color w:val="000000"/>
          <w:lang w:val="es-CO" w:eastAsia="es-ES_tradnl"/>
        </w:rPr>
        <w:t>barriers</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to</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deployment</w:t>
      </w:r>
      <w:proofErr w:type="spellEnd"/>
      <w:r w:rsidRPr="00AD27A2">
        <w:rPr>
          <w:rFonts w:ascii="Arial Narrow" w:eastAsia="Times New Roman" w:hAnsi="Arial Narrow" w:cs="Times New Roman"/>
          <w:color w:val="000000"/>
          <w:lang w:val="es-CO" w:eastAsia="es-ES_tradnl"/>
        </w:rPr>
        <w:t>. </w:t>
      </w:r>
      <w:proofErr w:type="spellStart"/>
      <w:r w:rsidRPr="00AD27A2">
        <w:rPr>
          <w:rFonts w:ascii="Arial Narrow" w:eastAsia="Times New Roman" w:hAnsi="Arial Narrow" w:cs="Times New Roman"/>
          <w:color w:val="000000"/>
          <w:lang w:val="es-CO" w:eastAsia="es-ES_tradnl"/>
        </w:rPr>
        <w:t>Progress</w:t>
      </w:r>
      <w:proofErr w:type="spellEnd"/>
      <w:r w:rsidRPr="00AD27A2">
        <w:rPr>
          <w:rFonts w:ascii="Arial Narrow" w:eastAsia="Times New Roman" w:hAnsi="Arial Narrow" w:cs="Times New Roman"/>
          <w:color w:val="000000"/>
          <w:lang w:val="es-CO" w:eastAsia="es-ES_tradnl"/>
        </w:rPr>
        <w:t xml:space="preserve"> in Energy and </w:t>
      </w:r>
      <w:proofErr w:type="spellStart"/>
      <w:r w:rsidRPr="00AD27A2">
        <w:rPr>
          <w:rFonts w:ascii="Arial Narrow" w:eastAsia="Times New Roman" w:hAnsi="Arial Narrow" w:cs="Times New Roman"/>
          <w:color w:val="000000"/>
          <w:lang w:val="es-CO" w:eastAsia="es-ES_tradnl"/>
        </w:rPr>
        <w:t>Combustion</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Science</w:t>
      </w:r>
      <w:proofErr w:type="spellEnd"/>
      <w:r w:rsidRPr="00AD27A2">
        <w:rPr>
          <w:rFonts w:ascii="Arial Narrow" w:eastAsia="Times New Roman" w:hAnsi="Arial Narrow" w:cs="Times New Roman"/>
          <w:color w:val="000000"/>
          <w:lang w:val="es-CO" w:eastAsia="es-ES_tradnl"/>
        </w:rPr>
        <w:t>, 34(2), 254–273. </w:t>
      </w:r>
      <w:hyperlink r:id="rId8" w:tgtFrame="_new" w:history="1">
        <w:r w:rsidRPr="00AD27A2">
          <w:rPr>
            <w:rFonts w:ascii="Arial Narrow" w:eastAsia="Times New Roman" w:hAnsi="Arial Narrow" w:cs="Times New Roman"/>
            <w:color w:val="0000FF"/>
            <w:u w:val="single"/>
            <w:lang w:val="es-CO" w:eastAsia="es-ES_tradnl"/>
          </w:rPr>
          <w:t>https://doi.org/10.1016/j.pecs.2007.10.001</w:t>
        </w:r>
      </w:hyperlink>
    </w:p>
    <w:p w14:paraId="680789BB"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 xml:space="preserve">Benson, S. M., &amp; Cole, D. R. (2008). CO2 </w:t>
      </w:r>
      <w:proofErr w:type="spellStart"/>
      <w:r w:rsidRPr="00AD27A2">
        <w:rPr>
          <w:rFonts w:ascii="Arial Narrow" w:eastAsia="Times New Roman" w:hAnsi="Arial Narrow" w:cs="Times New Roman"/>
          <w:color w:val="000000"/>
          <w:lang w:val="es-CO" w:eastAsia="es-ES_tradnl"/>
        </w:rPr>
        <w:t>sequestration</w:t>
      </w:r>
      <w:proofErr w:type="spellEnd"/>
      <w:r w:rsidRPr="00AD27A2">
        <w:rPr>
          <w:rFonts w:ascii="Arial Narrow" w:eastAsia="Times New Roman" w:hAnsi="Arial Narrow" w:cs="Times New Roman"/>
          <w:color w:val="000000"/>
          <w:lang w:val="es-CO" w:eastAsia="es-ES_tradnl"/>
        </w:rPr>
        <w:t xml:space="preserve"> in </w:t>
      </w:r>
      <w:proofErr w:type="spellStart"/>
      <w:r w:rsidRPr="00AD27A2">
        <w:rPr>
          <w:rFonts w:ascii="Arial Narrow" w:eastAsia="Times New Roman" w:hAnsi="Arial Narrow" w:cs="Times New Roman"/>
          <w:color w:val="000000"/>
          <w:lang w:val="es-CO" w:eastAsia="es-ES_tradnl"/>
        </w:rPr>
        <w:t>deep</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sedimentary</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formations</w:t>
      </w:r>
      <w:proofErr w:type="spellEnd"/>
      <w:r w:rsidRPr="00AD27A2">
        <w:rPr>
          <w:rFonts w:ascii="Arial Narrow" w:eastAsia="Times New Roman" w:hAnsi="Arial Narrow" w:cs="Times New Roman"/>
          <w:color w:val="000000"/>
          <w:lang w:val="es-CO" w:eastAsia="es-ES_tradnl"/>
        </w:rPr>
        <w:t>. </w:t>
      </w:r>
      <w:proofErr w:type="spellStart"/>
      <w:r w:rsidRPr="00AD27A2">
        <w:rPr>
          <w:rFonts w:ascii="Arial Narrow" w:eastAsia="Times New Roman" w:hAnsi="Arial Narrow" w:cs="Times New Roman"/>
          <w:color w:val="000000"/>
          <w:lang w:val="es-CO" w:eastAsia="es-ES_tradnl"/>
        </w:rPr>
        <w:t>Elements</w:t>
      </w:r>
      <w:proofErr w:type="spellEnd"/>
      <w:r w:rsidRPr="00AD27A2">
        <w:rPr>
          <w:rFonts w:ascii="Arial Narrow" w:eastAsia="Times New Roman" w:hAnsi="Arial Narrow" w:cs="Times New Roman"/>
          <w:color w:val="000000"/>
          <w:lang w:val="es-CO" w:eastAsia="es-ES_tradnl"/>
        </w:rPr>
        <w:t>, 4(5), 325–331. https://doi.org/10.2113/gselements.4.5.325</w:t>
      </w:r>
    </w:p>
    <w:p w14:paraId="043BB509"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 xml:space="preserve">Corominas, J., van </w:t>
      </w:r>
      <w:proofErr w:type="spellStart"/>
      <w:r w:rsidRPr="00AD27A2">
        <w:rPr>
          <w:rFonts w:ascii="Arial Narrow" w:eastAsia="Times New Roman" w:hAnsi="Arial Narrow" w:cs="Times New Roman"/>
          <w:color w:val="000000"/>
          <w:lang w:val="es-CO" w:eastAsia="es-ES_tradnl"/>
        </w:rPr>
        <w:t>Westen</w:t>
      </w:r>
      <w:proofErr w:type="spellEnd"/>
      <w:r w:rsidRPr="00AD27A2">
        <w:rPr>
          <w:rFonts w:ascii="Arial Narrow" w:eastAsia="Times New Roman" w:hAnsi="Arial Narrow" w:cs="Times New Roman"/>
          <w:color w:val="000000"/>
          <w:lang w:val="es-CO" w:eastAsia="es-ES_tradnl"/>
        </w:rPr>
        <w:t xml:space="preserve">, C., </w:t>
      </w:r>
      <w:proofErr w:type="spellStart"/>
      <w:r w:rsidRPr="00AD27A2">
        <w:rPr>
          <w:rFonts w:ascii="Arial Narrow" w:eastAsia="Times New Roman" w:hAnsi="Arial Narrow" w:cs="Times New Roman"/>
          <w:color w:val="000000"/>
          <w:lang w:val="es-CO" w:eastAsia="es-ES_tradnl"/>
        </w:rPr>
        <w:t>Frattini</w:t>
      </w:r>
      <w:proofErr w:type="spellEnd"/>
      <w:r w:rsidRPr="00AD27A2">
        <w:rPr>
          <w:rFonts w:ascii="Arial Narrow" w:eastAsia="Times New Roman" w:hAnsi="Arial Narrow" w:cs="Times New Roman"/>
          <w:color w:val="000000"/>
          <w:lang w:val="es-CO" w:eastAsia="es-ES_tradnl"/>
        </w:rPr>
        <w:t xml:space="preserve">, P., </w:t>
      </w:r>
      <w:proofErr w:type="spellStart"/>
      <w:r w:rsidRPr="00AD27A2">
        <w:rPr>
          <w:rFonts w:ascii="Arial Narrow" w:eastAsia="Times New Roman" w:hAnsi="Arial Narrow" w:cs="Times New Roman"/>
          <w:color w:val="000000"/>
          <w:lang w:val="es-CO" w:eastAsia="es-ES_tradnl"/>
        </w:rPr>
        <w:t>Cascini</w:t>
      </w:r>
      <w:proofErr w:type="spellEnd"/>
      <w:r w:rsidRPr="00AD27A2">
        <w:rPr>
          <w:rFonts w:ascii="Arial Narrow" w:eastAsia="Times New Roman" w:hAnsi="Arial Narrow" w:cs="Times New Roman"/>
          <w:color w:val="000000"/>
          <w:lang w:val="es-CO" w:eastAsia="es-ES_tradnl"/>
        </w:rPr>
        <w:t xml:space="preserve">, L., </w:t>
      </w:r>
      <w:proofErr w:type="spellStart"/>
      <w:r w:rsidRPr="00AD27A2">
        <w:rPr>
          <w:rFonts w:ascii="Arial Narrow" w:eastAsia="Times New Roman" w:hAnsi="Arial Narrow" w:cs="Times New Roman"/>
          <w:color w:val="000000"/>
          <w:lang w:val="es-CO" w:eastAsia="es-ES_tradnl"/>
        </w:rPr>
        <w:t>Malet</w:t>
      </w:r>
      <w:proofErr w:type="spellEnd"/>
      <w:r w:rsidRPr="00AD27A2">
        <w:rPr>
          <w:rFonts w:ascii="Arial Narrow" w:eastAsia="Times New Roman" w:hAnsi="Arial Narrow" w:cs="Times New Roman"/>
          <w:color w:val="000000"/>
          <w:lang w:val="es-CO" w:eastAsia="es-ES_tradnl"/>
        </w:rPr>
        <w:t xml:space="preserve">, J.-P., </w:t>
      </w:r>
      <w:proofErr w:type="spellStart"/>
      <w:r w:rsidRPr="00AD27A2">
        <w:rPr>
          <w:rFonts w:ascii="Arial Narrow" w:eastAsia="Times New Roman" w:hAnsi="Arial Narrow" w:cs="Times New Roman"/>
          <w:color w:val="000000"/>
          <w:lang w:val="es-CO" w:eastAsia="es-ES_tradnl"/>
        </w:rPr>
        <w:t>Fotopoulou</w:t>
      </w:r>
      <w:proofErr w:type="spellEnd"/>
      <w:r w:rsidRPr="00AD27A2">
        <w:rPr>
          <w:rFonts w:ascii="Arial Narrow" w:eastAsia="Times New Roman" w:hAnsi="Arial Narrow" w:cs="Times New Roman"/>
          <w:color w:val="000000"/>
          <w:lang w:val="es-CO" w:eastAsia="es-ES_tradnl"/>
        </w:rPr>
        <w:t xml:space="preserve">, S., </w:t>
      </w:r>
      <w:proofErr w:type="spellStart"/>
      <w:r w:rsidRPr="00AD27A2">
        <w:rPr>
          <w:rFonts w:ascii="Arial Narrow" w:eastAsia="Times New Roman" w:hAnsi="Arial Narrow" w:cs="Times New Roman"/>
          <w:color w:val="000000"/>
          <w:lang w:val="es-CO" w:eastAsia="es-ES_tradnl"/>
        </w:rPr>
        <w:t>Catani</w:t>
      </w:r>
      <w:proofErr w:type="spellEnd"/>
      <w:r w:rsidRPr="00AD27A2">
        <w:rPr>
          <w:rFonts w:ascii="Arial Narrow" w:eastAsia="Times New Roman" w:hAnsi="Arial Narrow" w:cs="Times New Roman"/>
          <w:color w:val="000000"/>
          <w:lang w:val="es-CO" w:eastAsia="es-ES_tradnl"/>
        </w:rPr>
        <w:t xml:space="preserve">, F., Van Den </w:t>
      </w:r>
      <w:proofErr w:type="spellStart"/>
      <w:r w:rsidRPr="00AD27A2">
        <w:rPr>
          <w:rFonts w:ascii="Arial Narrow" w:eastAsia="Times New Roman" w:hAnsi="Arial Narrow" w:cs="Times New Roman"/>
          <w:color w:val="000000"/>
          <w:lang w:val="es-CO" w:eastAsia="es-ES_tradnl"/>
        </w:rPr>
        <w:t>Eeckhaut</w:t>
      </w:r>
      <w:proofErr w:type="spellEnd"/>
      <w:r w:rsidRPr="00AD27A2">
        <w:rPr>
          <w:rFonts w:ascii="Arial Narrow" w:eastAsia="Times New Roman" w:hAnsi="Arial Narrow" w:cs="Times New Roman"/>
          <w:color w:val="000000"/>
          <w:lang w:val="es-CO" w:eastAsia="es-ES_tradnl"/>
        </w:rPr>
        <w:t xml:space="preserve">, M., </w:t>
      </w:r>
      <w:proofErr w:type="spellStart"/>
      <w:r w:rsidRPr="00AD27A2">
        <w:rPr>
          <w:rFonts w:ascii="Arial Narrow" w:eastAsia="Times New Roman" w:hAnsi="Arial Narrow" w:cs="Times New Roman"/>
          <w:color w:val="000000"/>
          <w:lang w:val="es-CO" w:eastAsia="es-ES_tradnl"/>
        </w:rPr>
        <w:t>Mavrouli</w:t>
      </w:r>
      <w:proofErr w:type="spellEnd"/>
      <w:r w:rsidRPr="00AD27A2">
        <w:rPr>
          <w:rFonts w:ascii="Arial Narrow" w:eastAsia="Times New Roman" w:hAnsi="Arial Narrow" w:cs="Times New Roman"/>
          <w:color w:val="000000"/>
          <w:lang w:val="es-CO" w:eastAsia="es-ES_tradnl"/>
        </w:rPr>
        <w:t xml:space="preserve">, O., </w:t>
      </w:r>
      <w:proofErr w:type="spellStart"/>
      <w:r w:rsidRPr="00AD27A2">
        <w:rPr>
          <w:rFonts w:ascii="Arial Narrow" w:eastAsia="Times New Roman" w:hAnsi="Arial Narrow" w:cs="Times New Roman"/>
          <w:color w:val="000000"/>
          <w:lang w:val="es-CO" w:eastAsia="es-ES_tradnl"/>
        </w:rPr>
        <w:t>Agliardi</w:t>
      </w:r>
      <w:proofErr w:type="spellEnd"/>
      <w:r w:rsidRPr="00AD27A2">
        <w:rPr>
          <w:rFonts w:ascii="Arial Narrow" w:eastAsia="Times New Roman" w:hAnsi="Arial Narrow" w:cs="Times New Roman"/>
          <w:color w:val="000000"/>
          <w:lang w:val="es-CO" w:eastAsia="es-ES_tradnl"/>
        </w:rPr>
        <w:t xml:space="preserve">, F., </w:t>
      </w:r>
      <w:proofErr w:type="spellStart"/>
      <w:r w:rsidRPr="00AD27A2">
        <w:rPr>
          <w:rFonts w:ascii="Arial Narrow" w:eastAsia="Times New Roman" w:hAnsi="Arial Narrow" w:cs="Times New Roman"/>
          <w:color w:val="000000"/>
          <w:lang w:val="es-CO" w:eastAsia="es-ES_tradnl"/>
        </w:rPr>
        <w:t>Pitilakis</w:t>
      </w:r>
      <w:proofErr w:type="spellEnd"/>
      <w:r w:rsidRPr="00AD27A2">
        <w:rPr>
          <w:rFonts w:ascii="Arial Narrow" w:eastAsia="Times New Roman" w:hAnsi="Arial Narrow" w:cs="Times New Roman"/>
          <w:color w:val="000000"/>
          <w:lang w:val="es-CO" w:eastAsia="es-ES_tradnl"/>
        </w:rPr>
        <w:t xml:space="preserve">, K., Winter, M. G., Pastor, M., </w:t>
      </w:r>
      <w:proofErr w:type="spellStart"/>
      <w:r w:rsidRPr="00AD27A2">
        <w:rPr>
          <w:rFonts w:ascii="Arial Narrow" w:eastAsia="Times New Roman" w:hAnsi="Arial Narrow" w:cs="Times New Roman"/>
          <w:color w:val="000000"/>
          <w:lang w:val="es-CO" w:eastAsia="es-ES_tradnl"/>
        </w:rPr>
        <w:t>Ferlisi</w:t>
      </w:r>
      <w:proofErr w:type="spellEnd"/>
      <w:r w:rsidRPr="00AD27A2">
        <w:rPr>
          <w:rFonts w:ascii="Arial Narrow" w:eastAsia="Times New Roman" w:hAnsi="Arial Narrow" w:cs="Times New Roman"/>
          <w:color w:val="000000"/>
          <w:lang w:val="es-CO" w:eastAsia="es-ES_tradnl"/>
        </w:rPr>
        <w:t xml:space="preserve">, S., </w:t>
      </w:r>
      <w:proofErr w:type="spellStart"/>
      <w:r w:rsidRPr="00AD27A2">
        <w:rPr>
          <w:rFonts w:ascii="Arial Narrow" w:eastAsia="Times New Roman" w:hAnsi="Arial Narrow" w:cs="Times New Roman"/>
          <w:color w:val="000000"/>
          <w:lang w:val="es-CO" w:eastAsia="es-ES_tradnl"/>
        </w:rPr>
        <w:t>Tofani</w:t>
      </w:r>
      <w:proofErr w:type="spellEnd"/>
      <w:r w:rsidRPr="00AD27A2">
        <w:rPr>
          <w:rFonts w:ascii="Arial Narrow" w:eastAsia="Times New Roman" w:hAnsi="Arial Narrow" w:cs="Times New Roman"/>
          <w:color w:val="000000"/>
          <w:lang w:val="es-CO" w:eastAsia="es-ES_tradnl"/>
        </w:rPr>
        <w:t xml:space="preserve">, V., Hervás, J., &amp; Smith, J. T. (2014). </w:t>
      </w:r>
      <w:proofErr w:type="spellStart"/>
      <w:r w:rsidRPr="00AD27A2">
        <w:rPr>
          <w:rFonts w:ascii="Arial Narrow" w:eastAsia="Times New Roman" w:hAnsi="Arial Narrow" w:cs="Times New Roman"/>
          <w:color w:val="000000"/>
          <w:lang w:val="es-CO" w:eastAsia="es-ES_tradnl"/>
        </w:rPr>
        <w:t>The</w:t>
      </w:r>
      <w:proofErr w:type="spellEnd"/>
      <w:r w:rsidRPr="00AD27A2">
        <w:rPr>
          <w:rFonts w:ascii="Arial Narrow" w:eastAsia="Times New Roman" w:hAnsi="Arial Narrow" w:cs="Times New Roman"/>
          <w:color w:val="000000"/>
          <w:lang w:val="es-CO" w:eastAsia="es-ES_tradnl"/>
        </w:rPr>
        <w:t xml:space="preserve"> role </w:t>
      </w:r>
      <w:proofErr w:type="spellStart"/>
      <w:r w:rsidRPr="00AD27A2">
        <w:rPr>
          <w:rFonts w:ascii="Arial Narrow" w:eastAsia="Times New Roman" w:hAnsi="Arial Narrow" w:cs="Times New Roman"/>
          <w:color w:val="000000"/>
          <w:lang w:val="es-CO" w:eastAsia="es-ES_tradnl"/>
        </w:rPr>
        <w:t>of</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landslide</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hazard</w:t>
      </w:r>
      <w:proofErr w:type="spellEnd"/>
      <w:r w:rsidRPr="00AD27A2">
        <w:rPr>
          <w:rFonts w:ascii="Arial Narrow" w:eastAsia="Times New Roman" w:hAnsi="Arial Narrow" w:cs="Times New Roman"/>
          <w:color w:val="000000"/>
          <w:lang w:val="es-CO" w:eastAsia="es-ES_tradnl"/>
        </w:rPr>
        <w:t xml:space="preserve"> and </w:t>
      </w:r>
      <w:proofErr w:type="spellStart"/>
      <w:r w:rsidRPr="00AD27A2">
        <w:rPr>
          <w:rFonts w:ascii="Arial Narrow" w:eastAsia="Times New Roman" w:hAnsi="Arial Narrow" w:cs="Times New Roman"/>
          <w:color w:val="000000"/>
          <w:lang w:val="es-CO" w:eastAsia="es-ES_tradnl"/>
        </w:rPr>
        <w:t>risk</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assessment</w:t>
      </w:r>
      <w:proofErr w:type="spellEnd"/>
      <w:r w:rsidRPr="00AD27A2">
        <w:rPr>
          <w:rFonts w:ascii="Arial Narrow" w:eastAsia="Times New Roman" w:hAnsi="Arial Narrow" w:cs="Times New Roman"/>
          <w:color w:val="000000"/>
          <w:lang w:val="es-CO" w:eastAsia="es-ES_tradnl"/>
        </w:rPr>
        <w:t xml:space="preserve"> in </w:t>
      </w:r>
      <w:proofErr w:type="spellStart"/>
      <w:r w:rsidRPr="00AD27A2">
        <w:rPr>
          <w:rFonts w:ascii="Arial Narrow" w:eastAsia="Times New Roman" w:hAnsi="Arial Narrow" w:cs="Times New Roman"/>
          <w:color w:val="000000"/>
          <w:lang w:val="es-CO" w:eastAsia="es-ES_tradnl"/>
        </w:rPr>
        <w:t>land</w:t>
      </w:r>
      <w:proofErr w:type="spellEnd"/>
      <w:r w:rsidRPr="00AD27A2">
        <w:rPr>
          <w:rFonts w:ascii="Arial Narrow" w:eastAsia="Times New Roman" w:hAnsi="Arial Narrow" w:cs="Times New Roman"/>
          <w:color w:val="000000"/>
          <w:lang w:val="es-CO" w:eastAsia="es-ES_tradnl"/>
        </w:rPr>
        <w:t xml:space="preserve">-use </w:t>
      </w:r>
      <w:proofErr w:type="spellStart"/>
      <w:r w:rsidRPr="00AD27A2">
        <w:rPr>
          <w:rFonts w:ascii="Arial Narrow" w:eastAsia="Times New Roman" w:hAnsi="Arial Narrow" w:cs="Times New Roman"/>
          <w:color w:val="000000"/>
          <w:lang w:val="es-CO" w:eastAsia="es-ES_tradnl"/>
        </w:rPr>
        <w:t>planning</w:t>
      </w:r>
      <w:proofErr w:type="spellEnd"/>
      <w:r w:rsidRPr="00AD27A2">
        <w:rPr>
          <w:rFonts w:ascii="Arial Narrow" w:eastAsia="Times New Roman" w:hAnsi="Arial Narrow" w:cs="Times New Roman"/>
          <w:color w:val="000000"/>
          <w:lang w:val="es-CO" w:eastAsia="es-ES_tradnl"/>
        </w:rPr>
        <w:t>. </w:t>
      </w:r>
      <w:proofErr w:type="spellStart"/>
      <w:r w:rsidRPr="00AD27A2">
        <w:rPr>
          <w:rFonts w:ascii="Arial Narrow" w:eastAsia="Times New Roman" w:hAnsi="Arial Narrow" w:cs="Times New Roman"/>
          <w:color w:val="000000"/>
          <w:lang w:val="es-CO" w:eastAsia="es-ES_tradnl"/>
        </w:rPr>
        <w:t>Engineering</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Geology</w:t>
      </w:r>
      <w:proofErr w:type="spellEnd"/>
      <w:r w:rsidRPr="00AD27A2">
        <w:rPr>
          <w:rFonts w:ascii="Arial Narrow" w:eastAsia="Times New Roman" w:hAnsi="Arial Narrow" w:cs="Times New Roman"/>
          <w:color w:val="000000"/>
          <w:lang w:val="es-CO" w:eastAsia="es-ES_tradnl"/>
        </w:rPr>
        <w:t>, 182, 124–138. https://doi.org/10.1016/j.enggeo.2014.03.002</w:t>
      </w:r>
    </w:p>
    <w:p w14:paraId="019CD58B"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 xml:space="preserve">Froude, M. J., &amp; </w:t>
      </w:r>
      <w:proofErr w:type="spellStart"/>
      <w:r w:rsidRPr="00AD27A2">
        <w:rPr>
          <w:rFonts w:ascii="Arial Narrow" w:eastAsia="Times New Roman" w:hAnsi="Arial Narrow" w:cs="Times New Roman"/>
          <w:color w:val="000000"/>
          <w:lang w:val="es-CO" w:eastAsia="es-ES_tradnl"/>
        </w:rPr>
        <w:t>Petley</w:t>
      </w:r>
      <w:proofErr w:type="spellEnd"/>
      <w:r w:rsidRPr="00AD27A2">
        <w:rPr>
          <w:rFonts w:ascii="Arial Narrow" w:eastAsia="Times New Roman" w:hAnsi="Arial Narrow" w:cs="Times New Roman"/>
          <w:color w:val="000000"/>
          <w:lang w:val="es-CO" w:eastAsia="es-ES_tradnl"/>
        </w:rPr>
        <w:t xml:space="preserve">, D. N. (2018). Global fatal </w:t>
      </w:r>
      <w:proofErr w:type="spellStart"/>
      <w:r w:rsidRPr="00AD27A2">
        <w:rPr>
          <w:rFonts w:ascii="Arial Narrow" w:eastAsia="Times New Roman" w:hAnsi="Arial Narrow" w:cs="Times New Roman"/>
          <w:color w:val="000000"/>
          <w:lang w:val="es-CO" w:eastAsia="es-ES_tradnl"/>
        </w:rPr>
        <w:t>landslide</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occurrence</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from</w:t>
      </w:r>
      <w:proofErr w:type="spellEnd"/>
      <w:r w:rsidRPr="00AD27A2">
        <w:rPr>
          <w:rFonts w:ascii="Arial Narrow" w:eastAsia="Times New Roman" w:hAnsi="Arial Narrow" w:cs="Times New Roman"/>
          <w:color w:val="000000"/>
          <w:lang w:val="es-CO" w:eastAsia="es-ES_tradnl"/>
        </w:rPr>
        <w:t xml:space="preserve"> 2004 </w:t>
      </w:r>
      <w:proofErr w:type="spellStart"/>
      <w:r w:rsidRPr="00AD27A2">
        <w:rPr>
          <w:rFonts w:ascii="Arial Narrow" w:eastAsia="Times New Roman" w:hAnsi="Arial Narrow" w:cs="Times New Roman"/>
          <w:color w:val="000000"/>
          <w:lang w:val="es-CO" w:eastAsia="es-ES_tradnl"/>
        </w:rPr>
        <w:t>to</w:t>
      </w:r>
      <w:proofErr w:type="spellEnd"/>
      <w:r w:rsidRPr="00AD27A2">
        <w:rPr>
          <w:rFonts w:ascii="Arial Narrow" w:eastAsia="Times New Roman" w:hAnsi="Arial Narrow" w:cs="Times New Roman"/>
          <w:color w:val="000000"/>
          <w:lang w:val="es-CO" w:eastAsia="es-ES_tradnl"/>
        </w:rPr>
        <w:t xml:space="preserve"> 2016. Natural </w:t>
      </w:r>
      <w:proofErr w:type="spellStart"/>
      <w:r w:rsidRPr="00AD27A2">
        <w:rPr>
          <w:rFonts w:ascii="Arial Narrow" w:eastAsia="Times New Roman" w:hAnsi="Arial Narrow" w:cs="Times New Roman"/>
          <w:color w:val="000000"/>
          <w:lang w:val="es-CO" w:eastAsia="es-ES_tradnl"/>
        </w:rPr>
        <w:t>Hazards</w:t>
      </w:r>
      <w:proofErr w:type="spellEnd"/>
      <w:r w:rsidRPr="00AD27A2">
        <w:rPr>
          <w:rFonts w:ascii="Arial Narrow" w:eastAsia="Times New Roman" w:hAnsi="Arial Narrow" w:cs="Times New Roman"/>
          <w:color w:val="000000"/>
          <w:lang w:val="es-CO" w:eastAsia="es-ES_tradnl"/>
        </w:rPr>
        <w:t xml:space="preserve"> and </w:t>
      </w:r>
      <w:proofErr w:type="spellStart"/>
      <w:r w:rsidRPr="00AD27A2">
        <w:rPr>
          <w:rFonts w:ascii="Arial Narrow" w:eastAsia="Times New Roman" w:hAnsi="Arial Narrow" w:cs="Times New Roman"/>
          <w:color w:val="000000"/>
          <w:lang w:val="es-CO" w:eastAsia="es-ES_tradnl"/>
        </w:rPr>
        <w:t>Earth</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System</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Sciences</w:t>
      </w:r>
      <w:proofErr w:type="spellEnd"/>
      <w:r w:rsidRPr="00AD27A2">
        <w:rPr>
          <w:rFonts w:ascii="Arial Narrow" w:eastAsia="Times New Roman" w:hAnsi="Arial Narrow" w:cs="Times New Roman"/>
          <w:color w:val="000000"/>
          <w:lang w:val="es-CO" w:eastAsia="es-ES_tradnl"/>
        </w:rPr>
        <w:t>, 18, 2161–2181. </w:t>
      </w:r>
      <w:hyperlink r:id="rId9" w:tgtFrame="_new" w:history="1">
        <w:r w:rsidRPr="00AD27A2">
          <w:rPr>
            <w:rFonts w:ascii="Arial Narrow" w:eastAsia="Times New Roman" w:hAnsi="Arial Narrow" w:cs="Times New Roman"/>
            <w:color w:val="0000FF"/>
            <w:u w:val="single"/>
            <w:lang w:val="es-CO" w:eastAsia="es-ES_tradnl"/>
          </w:rPr>
          <w:t>https://doi.org/10.5194/nhess-18-2161-2018</w:t>
        </w:r>
      </w:hyperlink>
    </w:p>
    <w:p w14:paraId="78B8DC9B"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González de Vallejo, L., Ferrer, M., Ortuño, L., &amp; Oteo, C. (2002). Ingeniería geológica. Prentice Hall.</w:t>
      </w:r>
    </w:p>
    <w:p w14:paraId="66F41F77"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IPCC. (2005). </w:t>
      </w:r>
      <w:proofErr w:type="spellStart"/>
      <w:r w:rsidRPr="00AD27A2">
        <w:rPr>
          <w:rFonts w:ascii="Arial Narrow" w:eastAsia="Times New Roman" w:hAnsi="Arial Narrow" w:cs="Times New Roman"/>
          <w:color w:val="000000"/>
          <w:lang w:val="es-CO" w:eastAsia="es-ES_tradnl"/>
        </w:rPr>
        <w:t>Special</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report</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on</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carbon</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dioxide</w:t>
      </w:r>
      <w:proofErr w:type="spellEnd"/>
      <w:r w:rsidRPr="00AD27A2">
        <w:rPr>
          <w:rFonts w:ascii="Arial Narrow" w:eastAsia="Times New Roman" w:hAnsi="Arial Narrow" w:cs="Times New Roman"/>
          <w:color w:val="000000"/>
          <w:lang w:val="es-CO" w:eastAsia="es-ES_tradnl"/>
        </w:rPr>
        <w:t xml:space="preserve"> capture and </w:t>
      </w:r>
      <w:proofErr w:type="spellStart"/>
      <w:r w:rsidRPr="00AD27A2">
        <w:rPr>
          <w:rFonts w:ascii="Arial Narrow" w:eastAsia="Times New Roman" w:hAnsi="Arial Narrow" w:cs="Times New Roman"/>
          <w:color w:val="000000"/>
          <w:lang w:val="es-CO" w:eastAsia="es-ES_tradnl"/>
        </w:rPr>
        <w:t>storage</w:t>
      </w:r>
      <w:proofErr w:type="spellEnd"/>
      <w:r w:rsidRPr="00AD27A2">
        <w:rPr>
          <w:rFonts w:ascii="Arial Narrow" w:eastAsia="Times New Roman" w:hAnsi="Arial Narrow" w:cs="Times New Roman"/>
          <w:color w:val="000000"/>
          <w:lang w:val="es-CO" w:eastAsia="es-ES_tradnl"/>
        </w:rPr>
        <w:t xml:space="preserve">. Cambridge </w:t>
      </w:r>
      <w:proofErr w:type="spellStart"/>
      <w:r w:rsidRPr="00AD27A2">
        <w:rPr>
          <w:rFonts w:ascii="Arial Narrow" w:eastAsia="Times New Roman" w:hAnsi="Arial Narrow" w:cs="Times New Roman"/>
          <w:color w:val="000000"/>
          <w:lang w:val="es-CO" w:eastAsia="es-ES_tradnl"/>
        </w:rPr>
        <w:t>University</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Press</w:t>
      </w:r>
      <w:proofErr w:type="spellEnd"/>
      <w:r w:rsidRPr="00AD27A2">
        <w:rPr>
          <w:rFonts w:ascii="Arial Narrow" w:eastAsia="Times New Roman" w:hAnsi="Arial Narrow" w:cs="Times New Roman"/>
          <w:color w:val="000000"/>
          <w:lang w:val="es-CO" w:eastAsia="es-ES_tradnl"/>
        </w:rPr>
        <w:t>.</w:t>
      </w:r>
    </w:p>
    <w:p w14:paraId="3E6818E2"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proofErr w:type="spellStart"/>
      <w:r w:rsidRPr="00AD27A2">
        <w:rPr>
          <w:rFonts w:ascii="Arial Narrow" w:eastAsia="Times New Roman" w:hAnsi="Arial Narrow" w:cs="Times New Roman"/>
          <w:color w:val="000000"/>
          <w:lang w:val="es-CO" w:eastAsia="es-ES_tradnl"/>
        </w:rPr>
        <w:t>Press</w:t>
      </w:r>
      <w:proofErr w:type="spellEnd"/>
      <w:r w:rsidRPr="00AD27A2">
        <w:rPr>
          <w:rFonts w:ascii="Arial Narrow" w:eastAsia="Times New Roman" w:hAnsi="Arial Narrow" w:cs="Times New Roman"/>
          <w:color w:val="000000"/>
          <w:lang w:val="es-CO" w:eastAsia="es-ES_tradnl"/>
        </w:rPr>
        <w:t xml:space="preserve">, F., &amp; </w:t>
      </w:r>
      <w:proofErr w:type="spellStart"/>
      <w:r w:rsidRPr="00AD27A2">
        <w:rPr>
          <w:rFonts w:ascii="Arial Narrow" w:eastAsia="Times New Roman" w:hAnsi="Arial Narrow" w:cs="Times New Roman"/>
          <w:color w:val="000000"/>
          <w:lang w:val="es-CO" w:eastAsia="es-ES_tradnl"/>
        </w:rPr>
        <w:t>Siever</w:t>
      </w:r>
      <w:proofErr w:type="spellEnd"/>
      <w:r w:rsidRPr="00AD27A2">
        <w:rPr>
          <w:rFonts w:ascii="Arial Narrow" w:eastAsia="Times New Roman" w:hAnsi="Arial Narrow" w:cs="Times New Roman"/>
          <w:color w:val="000000"/>
          <w:lang w:val="es-CO" w:eastAsia="es-ES_tradnl"/>
        </w:rPr>
        <w:t>, R. (2001). </w:t>
      </w:r>
      <w:proofErr w:type="spellStart"/>
      <w:r w:rsidRPr="00AD27A2">
        <w:rPr>
          <w:rFonts w:ascii="Arial Narrow" w:eastAsia="Times New Roman" w:hAnsi="Arial Narrow" w:cs="Times New Roman"/>
          <w:color w:val="000000"/>
          <w:lang w:val="es-CO" w:eastAsia="es-ES_tradnl"/>
        </w:rPr>
        <w:t>Understanding</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Earth</w:t>
      </w:r>
      <w:proofErr w:type="spellEnd"/>
      <w:r w:rsidRPr="00AD27A2">
        <w:rPr>
          <w:rFonts w:ascii="Arial Narrow" w:eastAsia="Times New Roman" w:hAnsi="Arial Narrow" w:cs="Times New Roman"/>
          <w:color w:val="000000"/>
          <w:lang w:val="es-CO" w:eastAsia="es-ES_tradnl"/>
        </w:rPr>
        <w:t> (3rd ed.). W. H. Freeman.</w:t>
      </w:r>
    </w:p>
    <w:p w14:paraId="3A8F6B39"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r w:rsidRPr="00AD27A2">
        <w:rPr>
          <w:rFonts w:ascii="Arial Narrow" w:eastAsia="Times New Roman" w:hAnsi="Arial Narrow" w:cs="Times New Roman"/>
          <w:color w:val="000000"/>
          <w:lang w:val="es-CO" w:eastAsia="es-ES_tradnl"/>
        </w:rPr>
        <w:t xml:space="preserve">Taylor, R. G., Scanlon, B., </w:t>
      </w:r>
      <w:proofErr w:type="spellStart"/>
      <w:r w:rsidRPr="00AD27A2">
        <w:rPr>
          <w:rFonts w:ascii="Arial Narrow" w:eastAsia="Times New Roman" w:hAnsi="Arial Narrow" w:cs="Times New Roman"/>
          <w:color w:val="000000"/>
          <w:lang w:val="es-CO" w:eastAsia="es-ES_tradnl"/>
        </w:rPr>
        <w:t>Döll</w:t>
      </w:r>
      <w:proofErr w:type="spellEnd"/>
      <w:r w:rsidRPr="00AD27A2">
        <w:rPr>
          <w:rFonts w:ascii="Arial Narrow" w:eastAsia="Times New Roman" w:hAnsi="Arial Narrow" w:cs="Times New Roman"/>
          <w:color w:val="000000"/>
          <w:lang w:val="es-CO" w:eastAsia="es-ES_tradnl"/>
        </w:rPr>
        <w:t xml:space="preserve">, P., </w:t>
      </w:r>
      <w:proofErr w:type="spellStart"/>
      <w:r w:rsidRPr="00AD27A2">
        <w:rPr>
          <w:rFonts w:ascii="Arial Narrow" w:eastAsia="Times New Roman" w:hAnsi="Arial Narrow" w:cs="Times New Roman"/>
          <w:color w:val="000000"/>
          <w:lang w:val="es-CO" w:eastAsia="es-ES_tradnl"/>
        </w:rPr>
        <w:t>Rodell</w:t>
      </w:r>
      <w:proofErr w:type="spellEnd"/>
      <w:r w:rsidRPr="00AD27A2">
        <w:rPr>
          <w:rFonts w:ascii="Arial Narrow" w:eastAsia="Times New Roman" w:hAnsi="Arial Narrow" w:cs="Times New Roman"/>
          <w:color w:val="000000"/>
          <w:lang w:val="es-CO" w:eastAsia="es-ES_tradnl"/>
        </w:rPr>
        <w:t xml:space="preserve">, M., van </w:t>
      </w:r>
      <w:proofErr w:type="spellStart"/>
      <w:r w:rsidRPr="00AD27A2">
        <w:rPr>
          <w:rFonts w:ascii="Arial Narrow" w:eastAsia="Times New Roman" w:hAnsi="Arial Narrow" w:cs="Times New Roman"/>
          <w:color w:val="000000"/>
          <w:lang w:val="es-CO" w:eastAsia="es-ES_tradnl"/>
        </w:rPr>
        <w:t>Beek</w:t>
      </w:r>
      <w:proofErr w:type="spellEnd"/>
      <w:r w:rsidRPr="00AD27A2">
        <w:rPr>
          <w:rFonts w:ascii="Arial Narrow" w:eastAsia="Times New Roman" w:hAnsi="Arial Narrow" w:cs="Times New Roman"/>
          <w:color w:val="000000"/>
          <w:lang w:val="es-CO" w:eastAsia="es-ES_tradnl"/>
        </w:rPr>
        <w:t xml:space="preserve">, R., </w:t>
      </w:r>
      <w:proofErr w:type="spellStart"/>
      <w:r w:rsidRPr="00AD27A2">
        <w:rPr>
          <w:rFonts w:ascii="Arial Narrow" w:eastAsia="Times New Roman" w:hAnsi="Arial Narrow" w:cs="Times New Roman"/>
          <w:color w:val="000000"/>
          <w:lang w:val="es-CO" w:eastAsia="es-ES_tradnl"/>
        </w:rPr>
        <w:t>Wada</w:t>
      </w:r>
      <w:proofErr w:type="spellEnd"/>
      <w:r w:rsidRPr="00AD27A2">
        <w:rPr>
          <w:rFonts w:ascii="Arial Narrow" w:eastAsia="Times New Roman" w:hAnsi="Arial Narrow" w:cs="Times New Roman"/>
          <w:color w:val="000000"/>
          <w:lang w:val="es-CO" w:eastAsia="es-ES_tradnl"/>
        </w:rPr>
        <w:t xml:space="preserve">, Y., </w:t>
      </w:r>
      <w:proofErr w:type="spellStart"/>
      <w:r w:rsidRPr="00AD27A2">
        <w:rPr>
          <w:rFonts w:ascii="Arial Narrow" w:eastAsia="Times New Roman" w:hAnsi="Arial Narrow" w:cs="Times New Roman"/>
          <w:color w:val="000000"/>
          <w:lang w:val="es-CO" w:eastAsia="es-ES_tradnl"/>
        </w:rPr>
        <w:t>Longuevergne</w:t>
      </w:r>
      <w:proofErr w:type="spellEnd"/>
      <w:r w:rsidRPr="00AD27A2">
        <w:rPr>
          <w:rFonts w:ascii="Arial Narrow" w:eastAsia="Times New Roman" w:hAnsi="Arial Narrow" w:cs="Times New Roman"/>
          <w:color w:val="000000"/>
          <w:lang w:val="es-CO" w:eastAsia="es-ES_tradnl"/>
        </w:rPr>
        <w:t xml:space="preserve">, L., Leblanc, M., </w:t>
      </w:r>
      <w:proofErr w:type="spellStart"/>
      <w:r w:rsidRPr="00AD27A2">
        <w:rPr>
          <w:rFonts w:ascii="Arial Narrow" w:eastAsia="Times New Roman" w:hAnsi="Arial Narrow" w:cs="Times New Roman"/>
          <w:color w:val="000000"/>
          <w:lang w:val="es-CO" w:eastAsia="es-ES_tradnl"/>
        </w:rPr>
        <w:t>Famiglietti</w:t>
      </w:r>
      <w:proofErr w:type="spellEnd"/>
      <w:r w:rsidRPr="00AD27A2">
        <w:rPr>
          <w:rFonts w:ascii="Arial Narrow" w:eastAsia="Times New Roman" w:hAnsi="Arial Narrow" w:cs="Times New Roman"/>
          <w:color w:val="000000"/>
          <w:lang w:val="es-CO" w:eastAsia="es-ES_tradnl"/>
        </w:rPr>
        <w:t xml:space="preserve">, J. S., Edmunds, M., </w:t>
      </w:r>
      <w:proofErr w:type="spellStart"/>
      <w:r w:rsidRPr="00AD27A2">
        <w:rPr>
          <w:rFonts w:ascii="Arial Narrow" w:eastAsia="Times New Roman" w:hAnsi="Arial Narrow" w:cs="Times New Roman"/>
          <w:color w:val="000000"/>
          <w:lang w:val="es-CO" w:eastAsia="es-ES_tradnl"/>
        </w:rPr>
        <w:t>Konikow</w:t>
      </w:r>
      <w:proofErr w:type="spellEnd"/>
      <w:r w:rsidRPr="00AD27A2">
        <w:rPr>
          <w:rFonts w:ascii="Arial Narrow" w:eastAsia="Times New Roman" w:hAnsi="Arial Narrow" w:cs="Times New Roman"/>
          <w:color w:val="000000"/>
          <w:lang w:val="es-CO" w:eastAsia="es-ES_tradnl"/>
        </w:rPr>
        <w:t xml:space="preserve">, L., Green, T. R., Chen, J., </w:t>
      </w:r>
      <w:proofErr w:type="spellStart"/>
      <w:r w:rsidRPr="00AD27A2">
        <w:rPr>
          <w:rFonts w:ascii="Arial Narrow" w:eastAsia="Times New Roman" w:hAnsi="Arial Narrow" w:cs="Times New Roman"/>
          <w:color w:val="000000"/>
          <w:lang w:val="es-CO" w:eastAsia="es-ES_tradnl"/>
        </w:rPr>
        <w:t>Taniguchi</w:t>
      </w:r>
      <w:proofErr w:type="spellEnd"/>
      <w:r w:rsidRPr="00AD27A2">
        <w:rPr>
          <w:rFonts w:ascii="Arial Narrow" w:eastAsia="Times New Roman" w:hAnsi="Arial Narrow" w:cs="Times New Roman"/>
          <w:color w:val="000000"/>
          <w:lang w:val="es-CO" w:eastAsia="es-ES_tradnl"/>
        </w:rPr>
        <w:t xml:space="preserve">, M., </w:t>
      </w:r>
      <w:proofErr w:type="spellStart"/>
      <w:r w:rsidRPr="00AD27A2">
        <w:rPr>
          <w:rFonts w:ascii="Arial Narrow" w:eastAsia="Times New Roman" w:hAnsi="Arial Narrow" w:cs="Times New Roman"/>
          <w:color w:val="000000"/>
          <w:lang w:val="es-CO" w:eastAsia="es-ES_tradnl"/>
        </w:rPr>
        <w:t>Bierkens</w:t>
      </w:r>
      <w:proofErr w:type="spellEnd"/>
      <w:r w:rsidRPr="00AD27A2">
        <w:rPr>
          <w:rFonts w:ascii="Arial Narrow" w:eastAsia="Times New Roman" w:hAnsi="Arial Narrow" w:cs="Times New Roman"/>
          <w:color w:val="000000"/>
          <w:lang w:val="es-CO" w:eastAsia="es-ES_tradnl"/>
        </w:rPr>
        <w:t xml:space="preserve">, M. F. P., </w:t>
      </w:r>
      <w:proofErr w:type="spellStart"/>
      <w:r w:rsidRPr="00AD27A2">
        <w:rPr>
          <w:rFonts w:ascii="Arial Narrow" w:eastAsia="Times New Roman" w:hAnsi="Arial Narrow" w:cs="Times New Roman"/>
          <w:color w:val="000000"/>
          <w:lang w:val="es-CO" w:eastAsia="es-ES_tradnl"/>
        </w:rPr>
        <w:t>MacDonald</w:t>
      </w:r>
      <w:proofErr w:type="spellEnd"/>
      <w:r w:rsidRPr="00AD27A2">
        <w:rPr>
          <w:rFonts w:ascii="Arial Narrow" w:eastAsia="Times New Roman" w:hAnsi="Arial Narrow" w:cs="Times New Roman"/>
          <w:color w:val="000000"/>
          <w:lang w:val="es-CO" w:eastAsia="es-ES_tradnl"/>
        </w:rPr>
        <w:t xml:space="preserve">, A., Fan, Y., Maxwell, R. M., </w:t>
      </w:r>
      <w:proofErr w:type="spellStart"/>
      <w:r w:rsidRPr="00AD27A2">
        <w:rPr>
          <w:rFonts w:ascii="Arial Narrow" w:eastAsia="Times New Roman" w:hAnsi="Arial Narrow" w:cs="Times New Roman"/>
          <w:color w:val="000000"/>
          <w:lang w:val="es-CO" w:eastAsia="es-ES_tradnl"/>
        </w:rPr>
        <w:t>Yechieli</w:t>
      </w:r>
      <w:proofErr w:type="spellEnd"/>
      <w:r w:rsidRPr="00AD27A2">
        <w:rPr>
          <w:rFonts w:ascii="Arial Narrow" w:eastAsia="Times New Roman" w:hAnsi="Arial Narrow" w:cs="Times New Roman"/>
          <w:color w:val="000000"/>
          <w:lang w:val="es-CO" w:eastAsia="es-ES_tradnl"/>
        </w:rPr>
        <w:t xml:space="preserve">, Y., … </w:t>
      </w:r>
      <w:proofErr w:type="spellStart"/>
      <w:r w:rsidRPr="00AD27A2">
        <w:rPr>
          <w:rFonts w:ascii="Arial Narrow" w:eastAsia="Times New Roman" w:hAnsi="Arial Narrow" w:cs="Times New Roman"/>
          <w:color w:val="000000"/>
          <w:lang w:val="es-CO" w:eastAsia="es-ES_tradnl"/>
        </w:rPr>
        <w:t>Treidel</w:t>
      </w:r>
      <w:proofErr w:type="spellEnd"/>
      <w:r w:rsidRPr="00AD27A2">
        <w:rPr>
          <w:rFonts w:ascii="Arial Narrow" w:eastAsia="Times New Roman" w:hAnsi="Arial Narrow" w:cs="Times New Roman"/>
          <w:color w:val="000000"/>
          <w:lang w:val="es-CO" w:eastAsia="es-ES_tradnl"/>
        </w:rPr>
        <w:t xml:space="preserve">, H. (2013). </w:t>
      </w:r>
      <w:proofErr w:type="spellStart"/>
      <w:r w:rsidRPr="00AD27A2">
        <w:rPr>
          <w:rFonts w:ascii="Arial Narrow" w:eastAsia="Times New Roman" w:hAnsi="Arial Narrow" w:cs="Times New Roman"/>
          <w:color w:val="000000"/>
          <w:lang w:val="es-CO" w:eastAsia="es-ES_tradnl"/>
        </w:rPr>
        <w:t>Ground</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water</w:t>
      </w:r>
      <w:proofErr w:type="spellEnd"/>
      <w:r w:rsidRPr="00AD27A2">
        <w:rPr>
          <w:rFonts w:ascii="Arial Narrow" w:eastAsia="Times New Roman" w:hAnsi="Arial Narrow" w:cs="Times New Roman"/>
          <w:color w:val="000000"/>
          <w:lang w:val="es-CO" w:eastAsia="es-ES_tradnl"/>
        </w:rPr>
        <w:t xml:space="preserve"> and </w:t>
      </w:r>
      <w:proofErr w:type="spellStart"/>
      <w:r w:rsidRPr="00AD27A2">
        <w:rPr>
          <w:rFonts w:ascii="Arial Narrow" w:eastAsia="Times New Roman" w:hAnsi="Arial Narrow" w:cs="Times New Roman"/>
          <w:color w:val="000000"/>
          <w:lang w:val="es-CO" w:eastAsia="es-ES_tradnl"/>
        </w:rPr>
        <w:t>climate</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change</w:t>
      </w:r>
      <w:proofErr w:type="spellEnd"/>
      <w:r w:rsidRPr="00AD27A2">
        <w:rPr>
          <w:rFonts w:ascii="Arial Narrow" w:eastAsia="Times New Roman" w:hAnsi="Arial Narrow" w:cs="Times New Roman"/>
          <w:color w:val="000000"/>
          <w:lang w:val="es-CO" w:eastAsia="es-ES_tradnl"/>
        </w:rPr>
        <w:t>. </w:t>
      </w:r>
      <w:proofErr w:type="spellStart"/>
      <w:r w:rsidRPr="00AD27A2">
        <w:rPr>
          <w:rFonts w:ascii="Arial Narrow" w:eastAsia="Times New Roman" w:hAnsi="Arial Narrow" w:cs="Times New Roman"/>
          <w:color w:val="000000"/>
          <w:lang w:val="es-CO" w:eastAsia="es-ES_tradnl"/>
        </w:rPr>
        <w:t>Nature</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Climate</w:t>
      </w:r>
      <w:proofErr w:type="spellEnd"/>
      <w:r w:rsidRPr="00AD27A2">
        <w:rPr>
          <w:rFonts w:ascii="Arial Narrow" w:eastAsia="Times New Roman" w:hAnsi="Arial Narrow" w:cs="Times New Roman"/>
          <w:color w:val="000000"/>
          <w:lang w:val="es-CO" w:eastAsia="es-ES_tradnl"/>
        </w:rPr>
        <w:t xml:space="preserve"> Change, 3, 322–329. https://doi.org/10.1038/nclimate1744</w:t>
      </w:r>
    </w:p>
    <w:p w14:paraId="2B112A5F" w14:textId="77777777" w:rsidR="00641A94" w:rsidRPr="00AD27A2" w:rsidRDefault="00641A94" w:rsidP="00641A94">
      <w:pPr>
        <w:pStyle w:val="Prrafodelista"/>
        <w:numPr>
          <w:ilvl w:val="0"/>
          <w:numId w:val="21"/>
        </w:numPr>
        <w:spacing w:before="100" w:beforeAutospacing="1" w:after="100" w:afterAutospacing="1" w:line="276" w:lineRule="auto"/>
        <w:contextualSpacing w:val="0"/>
        <w:rPr>
          <w:rFonts w:ascii="Arial Narrow" w:eastAsia="Times New Roman" w:hAnsi="Arial Narrow" w:cs="Times New Roman"/>
          <w:color w:val="000000"/>
          <w:lang w:val="es-CO" w:eastAsia="es-ES_tradnl"/>
        </w:rPr>
      </w:pPr>
      <w:proofErr w:type="spellStart"/>
      <w:r w:rsidRPr="00AD27A2">
        <w:rPr>
          <w:rFonts w:ascii="Arial Narrow" w:eastAsia="Times New Roman" w:hAnsi="Arial Narrow" w:cs="Times New Roman"/>
          <w:color w:val="000000"/>
          <w:lang w:val="es-CO" w:eastAsia="es-ES_tradnl"/>
        </w:rPr>
        <w:t>Tarbuck</w:t>
      </w:r>
      <w:proofErr w:type="spellEnd"/>
      <w:r w:rsidRPr="00AD27A2">
        <w:rPr>
          <w:rFonts w:ascii="Arial Narrow" w:eastAsia="Times New Roman" w:hAnsi="Arial Narrow" w:cs="Times New Roman"/>
          <w:color w:val="000000"/>
          <w:lang w:val="es-CO" w:eastAsia="es-ES_tradnl"/>
        </w:rPr>
        <w:t xml:space="preserve">, E. J., &amp; </w:t>
      </w:r>
      <w:proofErr w:type="spellStart"/>
      <w:r w:rsidRPr="00AD27A2">
        <w:rPr>
          <w:rFonts w:ascii="Arial Narrow" w:eastAsia="Times New Roman" w:hAnsi="Arial Narrow" w:cs="Times New Roman"/>
          <w:color w:val="000000"/>
          <w:lang w:val="es-CO" w:eastAsia="es-ES_tradnl"/>
        </w:rPr>
        <w:t>Lutgens</w:t>
      </w:r>
      <w:proofErr w:type="spellEnd"/>
      <w:r w:rsidRPr="00AD27A2">
        <w:rPr>
          <w:rFonts w:ascii="Arial Narrow" w:eastAsia="Times New Roman" w:hAnsi="Arial Narrow" w:cs="Times New Roman"/>
          <w:color w:val="000000"/>
          <w:lang w:val="es-CO" w:eastAsia="es-ES_tradnl"/>
        </w:rPr>
        <w:t>, F. K. (2015). </w:t>
      </w:r>
      <w:proofErr w:type="spellStart"/>
      <w:r w:rsidRPr="00AD27A2">
        <w:rPr>
          <w:rFonts w:ascii="Arial Narrow" w:eastAsia="Times New Roman" w:hAnsi="Arial Narrow" w:cs="Times New Roman"/>
          <w:color w:val="000000"/>
          <w:lang w:val="es-CO" w:eastAsia="es-ES_tradnl"/>
        </w:rPr>
        <w:t>Earth</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An</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introduction</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to</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physical</w:t>
      </w:r>
      <w:proofErr w:type="spellEnd"/>
      <w:r w:rsidRPr="00AD27A2">
        <w:rPr>
          <w:rFonts w:ascii="Arial Narrow" w:eastAsia="Times New Roman" w:hAnsi="Arial Narrow" w:cs="Times New Roman"/>
          <w:color w:val="000000"/>
          <w:lang w:val="es-CO" w:eastAsia="es-ES_tradnl"/>
        </w:rPr>
        <w:t xml:space="preserve"> </w:t>
      </w:r>
      <w:proofErr w:type="spellStart"/>
      <w:r w:rsidRPr="00AD27A2">
        <w:rPr>
          <w:rFonts w:ascii="Arial Narrow" w:eastAsia="Times New Roman" w:hAnsi="Arial Narrow" w:cs="Times New Roman"/>
          <w:color w:val="000000"/>
          <w:lang w:val="es-CO" w:eastAsia="es-ES_tradnl"/>
        </w:rPr>
        <w:t>geology</w:t>
      </w:r>
      <w:proofErr w:type="spellEnd"/>
      <w:r w:rsidRPr="00AD27A2">
        <w:rPr>
          <w:rFonts w:ascii="Arial Narrow" w:eastAsia="Times New Roman" w:hAnsi="Arial Narrow" w:cs="Times New Roman"/>
          <w:color w:val="000000"/>
          <w:lang w:val="es-CO" w:eastAsia="es-ES_tradnl"/>
        </w:rPr>
        <w:t> (11th ed.). Pearson.</w:t>
      </w:r>
    </w:p>
    <w:p w14:paraId="4C934EFC" w14:textId="77777777" w:rsidR="00641A94" w:rsidRPr="00601CD1" w:rsidRDefault="00641A94" w:rsidP="00641A94">
      <w:pPr>
        <w:spacing w:line="276" w:lineRule="auto"/>
        <w:rPr>
          <w:rFonts w:ascii="Arial Narrow" w:hAnsi="Arial Narrow"/>
        </w:rPr>
      </w:pPr>
    </w:p>
    <w:p w14:paraId="4A49F688" w14:textId="77777777" w:rsidR="00641A94" w:rsidRPr="00601CD1" w:rsidRDefault="00641A94" w:rsidP="00641A94">
      <w:pPr>
        <w:spacing w:line="276" w:lineRule="auto"/>
        <w:rPr>
          <w:rFonts w:ascii="Arial Narrow" w:hAnsi="Arial Narrow"/>
        </w:rPr>
      </w:pPr>
    </w:p>
    <w:p w14:paraId="1283A935" w14:textId="77777777" w:rsidR="00641A94" w:rsidRPr="00601CD1" w:rsidRDefault="00641A94" w:rsidP="00641A94">
      <w:pPr>
        <w:spacing w:line="276" w:lineRule="auto"/>
        <w:rPr>
          <w:rFonts w:ascii="Arial Narrow" w:hAnsi="Arial Narrow"/>
        </w:rPr>
      </w:pPr>
    </w:p>
    <w:p w14:paraId="5FFF1C03" w14:textId="77777777" w:rsidR="00641A94" w:rsidRPr="00601CD1" w:rsidRDefault="00641A94" w:rsidP="00641A94">
      <w:pPr>
        <w:spacing w:line="276" w:lineRule="auto"/>
        <w:rPr>
          <w:rFonts w:ascii="Arial Narrow" w:hAnsi="Arial Narrow"/>
        </w:rPr>
      </w:pPr>
    </w:p>
    <w:p w14:paraId="58E27D0C" w14:textId="77777777" w:rsidR="00641A94" w:rsidRPr="00601CD1" w:rsidRDefault="00641A94" w:rsidP="00641A94">
      <w:pPr>
        <w:spacing w:line="276" w:lineRule="auto"/>
        <w:rPr>
          <w:rFonts w:ascii="Arial Narrow" w:hAnsi="Arial Narrow"/>
        </w:rPr>
      </w:pPr>
    </w:p>
    <w:p w14:paraId="03E42D06" w14:textId="77777777" w:rsidR="00641A94" w:rsidRPr="00601CD1" w:rsidRDefault="00641A94" w:rsidP="00641A94">
      <w:pPr>
        <w:spacing w:line="276" w:lineRule="auto"/>
        <w:rPr>
          <w:rFonts w:ascii="Arial Narrow" w:hAnsi="Arial Narrow"/>
        </w:rPr>
      </w:pPr>
    </w:p>
    <w:p w14:paraId="639FF5BA" w14:textId="77777777" w:rsidR="00641A94" w:rsidRPr="00601CD1" w:rsidRDefault="00641A94" w:rsidP="00641A94">
      <w:pPr>
        <w:spacing w:line="276" w:lineRule="auto"/>
        <w:rPr>
          <w:rFonts w:ascii="Arial Narrow" w:hAnsi="Arial Narrow"/>
        </w:rPr>
      </w:pPr>
    </w:p>
    <w:p w14:paraId="0AA2C368" w14:textId="77777777" w:rsidR="00641A94" w:rsidRPr="00601CD1" w:rsidRDefault="00641A94" w:rsidP="00641A94">
      <w:pPr>
        <w:spacing w:line="276" w:lineRule="auto"/>
        <w:rPr>
          <w:rFonts w:ascii="Arial Narrow" w:hAnsi="Arial Narrow"/>
        </w:rPr>
      </w:pPr>
    </w:p>
    <w:p w14:paraId="212F104D" w14:textId="77777777" w:rsidR="00641A94" w:rsidRPr="00601CD1" w:rsidRDefault="00641A94" w:rsidP="00641A94">
      <w:pPr>
        <w:spacing w:line="276" w:lineRule="auto"/>
        <w:rPr>
          <w:rFonts w:ascii="Arial Narrow" w:hAnsi="Arial Narrow"/>
        </w:rPr>
      </w:pPr>
    </w:p>
    <w:p w14:paraId="37FC1795" w14:textId="77777777" w:rsidR="00775F8E" w:rsidRDefault="00775F8E" w:rsidP="00775F8E"/>
    <w:p w14:paraId="5D218E49" w14:textId="77777777" w:rsidR="00775F8E" w:rsidRDefault="00775F8E" w:rsidP="00775F8E"/>
    <w:p w14:paraId="6B5C7A95" w14:textId="77777777" w:rsidR="00775F8E" w:rsidRDefault="00775F8E" w:rsidP="00775F8E"/>
    <w:p w14:paraId="55D78DD4" w14:textId="77777777" w:rsidR="00775F8E" w:rsidRPr="0087492C" w:rsidRDefault="00775F8E" w:rsidP="00775F8E"/>
    <w:p w14:paraId="4968E6D7" w14:textId="77777777" w:rsidR="00775F8E" w:rsidRPr="0087492C" w:rsidRDefault="00775F8E" w:rsidP="00775F8E"/>
    <w:p w14:paraId="586CA45D" w14:textId="77777777" w:rsidR="00775F8E" w:rsidRPr="0087492C" w:rsidRDefault="00775F8E" w:rsidP="00775F8E"/>
    <w:p w14:paraId="5AEA70F4" w14:textId="77777777" w:rsidR="00775F8E" w:rsidRPr="0087492C" w:rsidRDefault="00775F8E" w:rsidP="00775F8E"/>
    <w:p w14:paraId="6EFC336E" w14:textId="77777777" w:rsidR="00775F8E" w:rsidRPr="0087492C" w:rsidRDefault="00775F8E" w:rsidP="00775F8E"/>
    <w:p w14:paraId="5C4DE74A" w14:textId="77777777" w:rsidR="00775F8E" w:rsidRPr="0087492C" w:rsidRDefault="00775F8E" w:rsidP="00775F8E"/>
    <w:p w14:paraId="33AEE41D" w14:textId="77777777" w:rsidR="00775F8E" w:rsidRPr="0087492C" w:rsidRDefault="00775F8E" w:rsidP="00775F8E"/>
    <w:p w14:paraId="57720B65" w14:textId="77777777" w:rsidR="00775F8E" w:rsidRPr="0087492C" w:rsidRDefault="00775F8E" w:rsidP="00775F8E"/>
    <w:p w14:paraId="4D2BF9E2" w14:textId="77777777" w:rsidR="00775F8E" w:rsidRDefault="00775F8E" w:rsidP="00775F8E"/>
    <w:p w14:paraId="2B1E24ED" w14:textId="77777777" w:rsidR="00775F8E" w:rsidRDefault="00775F8E" w:rsidP="00775F8E"/>
    <w:p w14:paraId="3E7B5910" w14:textId="77777777" w:rsidR="00775F8E" w:rsidRPr="0087492C" w:rsidRDefault="00775F8E" w:rsidP="00775F8E"/>
    <w:p w14:paraId="1D1480CC" w14:textId="77777777" w:rsidR="00775F8E" w:rsidRPr="0087492C" w:rsidRDefault="00775F8E" w:rsidP="00775F8E"/>
    <w:p w14:paraId="369DDE9D" w14:textId="77777777" w:rsidR="00775F8E" w:rsidRDefault="00775F8E" w:rsidP="00775F8E"/>
    <w:p w14:paraId="6171F1F8" w14:textId="77777777" w:rsidR="00775F8E" w:rsidRDefault="00775F8E" w:rsidP="00775F8E"/>
    <w:p w14:paraId="6B5C9520" w14:textId="77777777" w:rsidR="00775F8E" w:rsidRPr="0030458E" w:rsidRDefault="00775F8E" w:rsidP="00775F8E">
      <w:pPr>
        <w:rPr>
          <w:b/>
          <w:sz w:val="24"/>
        </w:rPr>
      </w:pPr>
    </w:p>
    <w:p w14:paraId="59D1EB41" w14:textId="77777777" w:rsidR="00775F8E" w:rsidRDefault="00775F8E" w:rsidP="00775F8E">
      <w:pPr>
        <w:rPr>
          <w:lang w:val="es-ES" w:eastAsia="es-ES"/>
        </w:rPr>
      </w:pPr>
    </w:p>
    <w:p w14:paraId="653AF567" w14:textId="77777777" w:rsidR="00775F8E" w:rsidRDefault="00775F8E" w:rsidP="00775F8E">
      <w:pPr>
        <w:rPr>
          <w:lang w:val="es-ES" w:eastAsia="es-ES"/>
        </w:rPr>
      </w:pPr>
    </w:p>
    <w:p w14:paraId="21E553A0" w14:textId="77777777" w:rsidR="00775F8E" w:rsidRDefault="00775F8E" w:rsidP="00775F8E">
      <w:pPr>
        <w:rPr>
          <w:lang w:val="es-ES" w:eastAsia="es-ES"/>
        </w:rPr>
      </w:pPr>
    </w:p>
    <w:p w14:paraId="75C5E77B" w14:textId="77777777" w:rsidR="00775F8E" w:rsidRDefault="00775F8E" w:rsidP="00775F8E">
      <w:pPr>
        <w:rPr>
          <w:lang w:val="es-ES" w:eastAsia="es-ES"/>
        </w:rPr>
      </w:pPr>
    </w:p>
    <w:p w14:paraId="444E4907" w14:textId="77777777" w:rsidR="00775F8E" w:rsidRDefault="00775F8E" w:rsidP="00775F8E">
      <w:pPr>
        <w:rPr>
          <w:lang w:val="es-ES" w:eastAsia="es-ES"/>
        </w:rPr>
      </w:pPr>
    </w:p>
    <w:p w14:paraId="0A54683D" w14:textId="77777777" w:rsidR="00775F8E" w:rsidRDefault="00775F8E" w:rsidP="00775F8E">
      <w:pPr>
        <w:rPr>
          <w:lang w:val="es-ES" w:eastAsia="es-ES"/>
        </w:rPr>
      </w:pPr>
    </w:p>
    <w:p w14:paraId="632FA5B4" w14:textId="77777777" w:rsidR="00775F8E" w:rsidRDefault="00775F8E" w:rsidP="00775F8E">
      <w:pPr>
        <w:rPr>
          <w:lang w:val="es-ES" w:eastAsia="es-ES"/>
        </w:rPr>
      </w:pPr>
    </w:p>
    <w:p w14:paraId="35F4D76A" w14:textId="77777777" w:rsidR="00775F8E" w:rsidRDefault="00775F8E" w:rsidP="00775F8E">
      <w:pPr>
        <w:rPr>
          <w:lang w:val="es-ES" w:eastAsia="es-ES"/>
        </w:rPr>
      </w:pPr>
    </w:p>
    <w:p w14:paraId="0CF8BC00" w14:textId="77777777" w:rsidR="00775F8E" w:rsidRDefault="00775F8E" w:rsidP="00775F8E">
      <w:pPr>
        <w:rPr>
          <w:lang w:val="es-ES" w:eastAsia="es-ES"/>
        </w:rPr>
      </w:pPr>
    </w:p>
    <w:p w14:paraId="3D511235" w14:textId="77777777" w:rsidR="00775F8E" w:rsidRDefault="00775F8E" w:rsidP="00775F8E">
      <w:pPr>
        <w:rPr>
          <w:lang w:val="es-ES" w:eastAsia="es-ES"/>
        </w:rPr>
      </w:pPr>
    </w:p>
    <w:p w14:paraId="6A345CA9" w14:textId="77777777" w:rsidR="00775F8E" w:rsidRDefault="00775F8E" w:rsidP="00775F8E">
      <w:pPr>
        <w:pStyle w:val="TG"/>
      </w:pPr>
      <w:r>
        <w:t>&lt;Título del documento&gt;</w:t>
      </w:r>
    </w:p>
    <w:p w14:paraId="75D39E53" w14:textId="77777777" w:rsidR="00775F8E" w:rsidRDefault="00775F8E" w:rsidP="00775F8E"/>
    <w:p w14:paraId="526DDBAC" w14:textId="77777777" w:rsidR="00775F8E" w:rsidRDefault="00775F8E" w:rsidP="00775F8E"/>
    <w:p w14:paraId="5B91498C" w14:textId="77777777" w:rsidR="00775F8E" w:rsidRDefault="00775F8E" w:rsidP="00775F8E">
      <w:pPr>
        <w:rPr>
          <w:lang w:val="es-ES" w:eastAsia="es-ES"/>
        </w:rPr>
      </w:pPr>
    </w:p>
    <w:p w14:paraId="6FBF678F" w14:textId="77777777" w:rsidR="00775F8E" w:rsidRDefault="00775F8E" w:rsidP="00775F8E">
      <w:pPr>
        <w:rPr>
          <w:lang w:val="es-ES" w:eastAsia="es-ES"/>
        </w:rPr>
      </w:pPr>
    </w:p>
    <w:p w14:paraId="1CF4C1C7" w14:textId="77777777" w:rsidR="00775F8E" w:rsidRDefault="00775F8E" w:rsidP="00775F8E">
      <w:pPr>
        <w:rPr>
          <w:lang w:val="es-ES" w:eastAsia="es-ES"/>
        </w:rPr>
      </w:pPr>
    </w:p>
    <w:p w14:paraId="74BAA743" w14:textId="77777777" w:rsidR="00775F8E" w:rsidRDefault="00775F8E" w:rsidP="00775F8E">
      <w:pPr>
        <w:rPr>
          <w:lang w:val="es-ES" w:eastAsia="es-ES"/>
        </w:rPr>
      </w:pPr>
    </w:p>
    <w:p w14:paraId="37AFA97B" w14:textId="77777777" w:rsidR="00775F8E" w:rsidRDefault="00775F8E" w:rsidP="00775F8E">
      <w:pPr>
        <w:rPr>
          <w:lang w:val="es-ES" w:eastAsia="es-ES"/>
        </w:rPr>
      </w:pPr>
    </w:p>
    <w:p w14:paraId="69059BFD" w14:textId="77777777" w:rsidR="00775F8E" w:rsidRDefault="00775F8E" w:rsidP="00775F8E">
      <w:pPr>
        <w:rPr>
          <w:lang w:val="es-ES" w:eastAsia="es-ES"/>
        </w:rPr>
      </w:pPr>
    </w:p>
    <w:p w14:paraId="173E1D9E" w14:textId="77777777" w:rsidR="00775F8E" w:rsidRDefault="00775F8E" w:rsidP="00775F8E">
      <w:pPr>
        <w:rPr>
          <w:lang w:val="es-ES" w:eastAsia="es-ES"/>
        </w:rPr>
      </w:pPr>
    </w:p>
    <w:p w14:paraId="4502EEAB" w14:textId="77777777" w:rsidR="00775F8E" w:rsidRDefault="00775F8E" w:rsidP="00775F8E">
      <w:pPr>
        <w:rPr>
          <w:lang w:val="es-ES" w:eastAsia="es-ES"/>
        </w:rPr>
      </w:pPr>
    </w:p>
    <w:p w14:paraId="1C8AFFC6" w14:textId="77777777" w:rsidR="00775F8E" w:rsidRDefault="00775F8E" w:rsidP="00775F8E">
      <w:pPr>
        <w:jc w:val="center"/>
        <w:rPr>
          <w:b/>
          <w:sz w:val="24"/>
          <w:lang w:val="es-ES" w:eastAsia="es-ES"/>
        </w:rPr>
      </w:pPr>
      <w:r>
        <w:rPr>
          <w:b/>
          <w:sz w:val="24"/>
          <w:lang w:val="es-ES" w:eastAsia="es-ES"/>
        </w:rPr>
        <w:t>&lt;Ciudad&gt;</w:t>
      </w:r>
      <w:r w:rsidRPr="004916B8">
        <w:rPr>
          <w:b/>
          <w:sz w:val="24"/>
          <w:lang w:val="es-ES" w:eastAsia="es-ES"/>
        </w:rPr>
        <w:t xml:space="preserve">, </w:t>
      </w:r>
      <w:r>
        <w:rPr>
          <w:b/>
          <w:sz w:val="24"/>
          <w:lang w:val="es-ES" w:eastAsia="es-ES"/>
        </w:rPr>
        <w:t>&lt;mes&gt; de &lt;año&gt;</w:t>
      </w:r>
    </w:p>
    <w:p w14:paraId="1B8306C1" w14:textId="77777777" w:rsidR="00775F8E" w:rsidRPr="004916B8" w:rsidRDefault="00775F8E" w:rsidP="00775F8E">
      <w:pPr>
        <w:rPr>
          <w:lang w:val="es-ES" w:eastAsia="es-ES"/>
        </w:rPr>
      </w:pPr>
    </w:p>
    <w:p w14:paraId="0CA6D9F5" w14:textId="77777777" w:rsidR="00775F8E" w:rsidRDefault="00775F8E" w:rsidP="00775F8E">
      <w:pPr>
        <w:rPr>
          <w:lang w:val="es-ES" w:eastAsia="es-ES"/>
        </w:rPr>
      </w:pPr>
    </w:p>
    <w:p w14:paraId="7804362F" w14:textId="77777777" w:rsidR="00775F8E" w:rsidRDefault="00775F8E" w:rsidP="00775F8E">
      <w:pPr>
        <w:rPr>
          <w:lang w:val="es-ES" w:eastAsia="es-ES"/>
        </w:rPr>
      </w:pPr>
    </w:p>
    <w:p w14:paraId="549FB364" w14:textId="77777777" w:rsidR="00775F8E" w:rsidRPr="00A37026" w:rsidRDefault="00775F8E" w:rsidP="00775F8E">
      <w:pPr>
        <w:rPr>
          <w:lang w:val="es-ES" w:eastAsia="es-ES"/>
        </w:rPr>
      </w:pPr>
    </w:p>
    <w:p w14:paraId="0DB1E902" w14:textId="77777777" w:rsidR="00775F8E" w:rsidRPr="00EE38B0" w:rsidRDefault="00775F8E" w:rsidP="00775F8E">
      <w:pPr>
        <w:rPr>
          <w:lang w:val="es-ES" w:eastAsia="es-ES"/>
        </w:rPr>
        <w:sectPr w:rsidR="00775F8E" w:rsidRPr="00EE38B0" w:rsidSect="00255E17">
          <w:headerReference w:type="default" r:id="rId10"/>
          <w:footerReference w:type="default" r:id="rId11"/>
          <w:pgSz w:w="12242" w:h="15842" w:code="1"/>
          <w:pgMar w:top="1440" w:right="1440" w:bottom="1440" w:left="1440" w:header="709" w:footer="709" w:gutter="0"/>
          <w:pgNumType w:start="1"/>
          <w:cols w:space="708"/>
          <w:docGrid w:linePitch="360"/>
        </w:sectPr>
      </w:pPr>
      <w:r>
        <w:rPr>
          <w:b/>
          <w:lang w:val="es-ES" w:eastAsia="es-ES"/>
        </w:rPr>
        <w:br w:type="page"/>
      </w:r>
    </w:p>
    <w:p w14:paraId="7D44B7DB" w14:textId="77777777" w:rsidR="00A737AC" w:rsidRPr="00775F8E" w:rsidRDefault="00A737AC" w:rsidP="00775F8E"/>
    <w:sectPr w:rsidR="00A737AC" w:rsidRPr="00775F8E" w:rsidSect="00C679DE">
      <w:headerReference w:type="default" r:id="rId12"/>
      <w:footerReference w:type="default" r:id="rId13"/>
      <w:headerReference w:type="first" r:id="rId14"/>
      <w:footerReference w:type="first" r:id="rId15"/>
      <w:pgSz w:w="12242" w:h="15842" w:code="1"/>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EFA95" w14:textId="77777777" w:rsidR="0009499D" w:rsidRDefault="0009499D" w:rsidP="006671C3">
      <w:r>
        <w:separator/>
      </w:r>
    </w:p>
  </w:endnote>
  <w:endnote w:type="continuationSeparator" w:id="0">
    <w:p w14:paraId="12DA0446" w14:textId="77777777" w:rsidR="0009499D" w:rsidRDefault="0009499D" w:rsidP="00667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854F7" w14:textId="77777777" w:rsidR="00775F8E" w:rsidRDefault="00775F8E">
    <w:pPr>
      <w:pStyle w:val="Piedepgina"/>
      <w:jc w:val="right"/>
    </w:pPr>
  </w:p>
  <w:p w14:paraId="34F04E04" w14:textId="77777777" w:rsidR="00775F8E" w:rsidRDefault="00775F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C2E3D" w14:textId="77777777" w:rsidR="006B10E5" w:rsidRPr="000A60E3" w:rsidRDefault="006B10E5" w:rsidP="000A60E3">
    <w:pPr>
      <w:pStyle w:val="Piedepgina"/>
      <w:tabs>
        <w:tab w:val="clear" w:pos="8504"/>
        <w:tab w:val="right" w:pos="9356"/>
      </w:tabs>
      <w:jc w:val="left"/>
      <w:rPr>
        <w:sz w:val="20"/>
      </w:rPr>
    </w:pPr>
    <w:r w:rsidRPr="00FA1987">
      <w:rPr>
        <w:sz w:val="20"/>
        <w:szCs w:val="20"/>
      </w:rPr>
      <w:t xml:space="preserve">Servicio Geológico Colombiano </w:t>
    </w:r>
    <w:sdt>
      <w:sdtPr>
        <w:rPr>
          <w:sz w:val="20"/>
          <w:szCs w:val="20"/>
        </w:rPr>
        <w:id w:val="-1163466420"/>
        <w:docPartObj>
          <w:docPartGallery w:val="Page Numbers (Bottom of Page)"/>
          <w:docPartUnique/>
        </w:docPartObj>
      </w:sdtPr>
      <w:sdtContent>
        <w:r w:rsidRPr="00FA1987">
          <w:rPr>
            <w:sz w:val="20"/>
            <w:szCs w:val="20"/>
          </w:rPr>
          <w:tab/>
        </w:r>
        <w:r w:rsidRPr="00FA1987">
          <w:rPr>
            <w:sz w:val="20"/>
            <w:szCs w:val="20"/>
          </w:rPr>
          <w:tab/>
        </w:r>
        <w:r w:rsidRPr="00FA1987">
          <w:rPr>
            <w:sz w:val="20"/>
            <w:szCs w:val="20"/>
          </w:rPr>
          <w:fldChar w:fldCharType="begin"/>
        </w:r>
        <w:r w:rsidRPr="00FA1987">
          <w:rPr>
            <w:sz w:val="20"/>
            <w:szCs w:val="20"/>
          </w:rPr>
          <w:instrText>PAGE   \* MERGEFORMAT</w:instrText>
        </w:r>
        <w:r w:rsidRPr="00FA1987">
          <w:rPr>
            <w:sz w:val="20"/>
            <w:szCs w:val="20"/>
          </w:rPr>
          <w:fldChar w:fldCharType="separate"/>
        </w:r>
        <w:r w:rsidR="00B73295" w:rsidRPr="00B73295">
          <w:rPr>
            <w:noProof/>
            <w:sz w:val="20"/>
            <w:szCs w:val="20"/>
            <w:lang w:val="es-ES"/>
          </w:rPr>
          <w:t>1</w:t>
        </w:r>
        <w:r w:rsidRPr="00FA1987">
          <w:rPr>
            <w:sz w:val="20"/>
            <w:szCs w:val="20"/>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AE974" w14:textId="77777777" w:rsidR="006B10E5" w:rsidRPr="009D1384" w:rsidRDefault="006B10E5">
    <w:pPr>
      <w:pStyle w:val="Piedepgina"/>
      <w:jc w:val="right"/>
      <w:rPr>
        <w:sz w:val="24"/>
      </w:rPr>
    </w:pPr>
  </w:p>
  <w:p w14:paraId="3BBB0D43" w14:textId="77777777" w:rsidR="006B10E5" w:rsidRPr="009D1384" w:rsidRDefault="006B10E5">
    <w:pPr>
      <w:pStyle w:val="Piedepgina"/>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79307" w14:textId="77777777" w:rsidR="0009499D" w:rsidRDefault="0009499D" w:rsidP="006671C3">
      <w:r>
        <w:separator/>
      </w:r>
    </w:p>
  </w:footnote>
  <w:footnote w:type="continuationSeparator" w:id="0">
    <w:p w14:paraId="59C31D33" w14:textId="77777777" w:rsidR="0009499D" w:rsidRDefault="0009499D" w:rsidP="00667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72965" w14:textId="77777777" w:rsidR="00641A94" w:rsidRPr="00766C87" w:rsidRDefault="00641A94" w:rsidP="00641A94">
    <w:pPr>
      <w:contextualSpacing w:val="0"/>
      <w:jc w:val="left"/>
      <w:rPr>
        <w:rFonts w:ascii="Arial Narrow" w:hAnsi="Arial Narrow"/>
        <w:color w:val="000000"/>
        <w:sz w:val="18"/>
        <w:szCs w:val="18"/>
      </w:rPr>
    </w:pPr>
    <w:r w:rsidRPr="00766C87">
      <w:rPr>
        <w:rFonts w:ascii="Arial Narrow" w:hAnsi="Arial Narrow"/>
        <w:sz w:val="18"/>
        <w:szCs w:val="18"/>
      </w:rPr>
      <w:t xml:space="preserve">Ensayo- </w:t>
    </w:r>
    <w:r w:rsidRPr="00766C87">
      <w:rPr>
        <w:rFonts w:ascii="Arial Narrow" w:hAnsi="Arial Narrow"/>
        <w:color w:val="000000"/>
        <w:sz w:val="18"/>
        <w:szCs w:val="18"/>
      </w:rPr>
      <w:t>Caracterización geológica del subsuelo como eje académico para la infraestructura y la sostenibilidad territorial</w:t>
    </w:r>
  </w:p>
  <w:p w14:paraId="25681815" w14:textId="1CCB461A" w:rsidR="00775F8E" w:rsidRPr="00641A94" w:rsidRDefault="00641A94" w:rsidP="00641A94">
    <w:pPr>
      <w:spacing w:after="100" w:afterAutospacing="1"/>
      <w:contextualSpacing w:val="0"/>
      <w:jc w:val="left"/>
      <w:rPr>
        <w:rFonts w:ascii="Arial Narrow" w:hAnsi="Arial Narrow"/>
        <w:color w:val="000000"/>
        <w:sz w:val="18"/>
        <w:szCs w:val="18"/>
      </w:rPr>
    </w:pPr>
    <w:r w:rsidRPr="00766C87">
      <w:rPr>
        <w:rFonts w:ascii="Arial Narrow" w:hAnsi="Arial Narrow"/>
        <w:color w:val="000000"/>
        <w:sz w:val="18"/>
        <w:szCs w:val="18"/>
      </w:rPr>
      <w:t>Paola Catalina Montaño Cortes, Geóloga MSc. Ciencias de la Tierra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6439F" w14:textId="77777777" w:rsidR="006B10E5" w:rsidRPr="00FA1987" w:rsidRDefault="006B10E5" w:rsidP="00AB4003">
    <w:pPr>
      <w:pStyle w:val="Encabezado"/>
      <w:tabs>
        <w:tab w:val="clear" w:pos="4252"/>
        <w:tab w:val="clear" w:pos="8504"/>
        <w:tab w:val="left" w:pos="6418"/>
      </w:tabs>
    </w:pPr>
    <w:r w:rsidRPr="00FA1987">
      <w:t>&lt;Título del documento&gt;</w:t>
    </w:r>
    <w:r w:rsidRPr="00FA1987">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73080" w14:textId="77777777" w:rsidR="006B10E5" w:rsidRDefault="006B10E5">
    <w:pPr>
      <w:pStyle w:val="Encabezado"/>
    </w:pPr>
  </w:p>
  <w:p w14:paraId="48FC6C80" w14:textId="77777777" w:rsidR="006B10E5" w:rsidRDefault="006B10E5" w:rsidP="009D1384">
    <w:pPr>
      <w:tabs>
        <w:tab w:val="left" w:pos="5599"/>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165A"/>
    <w:multiLevelType w:val="multilevel"/>
    <w:tmpl w:val="80D8844A"/>
    <w:styleLink w:val="NEstilo1"/>
    <w:lvl w:ilvl="0">
      <w:start w:val="1"/>
      <w:numFmt w:val="decimal"/>
      <w:lvlText w:val="%1."/>
      <w:lvlJc w:val="left"/>
      <w:pPr>
        <w:ind w:left="432" w:hanging="432"/>
      </w:pPr>
      <w:rPr>
        <w:rFonts w:ascii="Calibri" w:hAnsi="Calibri" w:hint="default"/>
        <w:b/>
        <w:sz w:val="28"/>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7A622DA"/>
    <w:multiLevelType w:val="multilevel"/>
    <w:tmpl w:val="7B303D82"/>
    <w:lvl w:ilvl="0">
      <w:start w:val="1"/>
      <w:numFmt w:val="decimal"/>
      <w:lvlText w:val="%1."/>
      <w:lvlJc w:val="left"/>
      <w:pPr>
        <w:ind w:left="0" w:firstLine="0"/>
      </w:pPr>
      <w:rPr>
        <w:rFonts w:ascii="Calibri" w:hAnsi="Calibri" w:hint="default"/>
        <w:b/>
        <w:i w:val="0"/>
        <w:caps w:val="0"/>
        <w:smallCaps w:val="0"/>
        <w:strike w:val="0"/>
        <w:dstrike w:val="0"/>
        <w:vanish w:val="0"/>
        <w:sz w:val="28"/>
        <w:vertAlign w:val="baseline"/>
      </w:rPr>
    </w:lvl>
    <w:lvl w:ilvl="1">
      <w:start w:val="1"/>
      <w:numFmt w:val="decimal"/>
      <w:lvlText w:val="%1.%2."/>
      <w:lvlJc w:val="left"/>
      <w:pPr>
        <w:ind w:left="792" w:hanging="432"/>
      </w:pPr>
      <w:rPr>
        <w:rFonts w:hint="default"/>
      </w:rPr>
    </w:lvl>
    <w:lvl w:ilvl="2">
      <w:start w:val="1"/>
      <w:numFmt w:val="decimal"/>
      <w:lvlText w:val="%1.%2.%3."/>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none"/>
      <w:lvlRestart w:val="4"/>
      <w:pStyle w:val="T6"/>
      <w:lvlText w:val=""/>
      <w:lvlJc w:val="left"/>
      <w:pPr>
        <w:ind w:left="2736" w:hanging="936"/>
      </w:pPr>
      <w:rPr>
        <w:rFonts w:hint="default"/>
      </w:rPr>
    </w:lvl>
    <w:lvl w:ilvl="6">
      <w:start w:val="1"/>
      <w:numFmt w:val="bullet"/>
      <w:pStyle w:val="T7"/>
      <w:lvlText w:val=""/>
      <w:lvlJc w:val="left"/>
      <w:pPr>
        <w:ind w:left="3240" w:hanging="1080"/>
      </w:pPr>
      <w:rPr>
        <w:rFonts w:ascii="Symbol" w:hAnsi="Symbol" w:hint="default"/>
        <w:color w:val="auto"/>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C5000ED"/>
    <w:multiLevelType w:val="multilevel"/>
    <w:tmpl w:val="E50A5892"/>
    <w:lvl w:ilvl="0">
      <w:start w:val="1"/>
      <w:numFmt w:val="decimal"/>
      <w:pStyle w:val="T1A"/>
      <w:lvlText w:val="%1."/>
      <w:lvlJc w:val="left"/>
      <w:pPr>
        <w:ind w:left="360" w:hanging="360"/>
      </w:pPr>
    </w:lvl>
    <w:lvl w:ilvl="1">
      <w:start w:val="1"/>
      <w:numFmt w:val="decimal"/>
      <w:pStyle w:val="T2A"/>
      <w:lvlText w:val="%1.%2."/>
      <w:lvlJc w:val="left"/>
      <w:pPr>
        <w:ind w:left="792" w:hanging="432"/>
      </w:pPr>
    </w:lvl>
    <w:lvl w:ilvl="2">
      <w:start w:val="1"/>
      <w:numFmt w:val="decimal"/>
      <w:pStyle w:val="T3A"/>
      <w:lvlText w:val="%1.%2.%3."/>
      <w:lvlJc w:val="left"/>
      <w:pPr>
        <w:ind w:left="1224" w:hanging="504"/>
      </w:pPr>
    </w:lvl>
    <w:lvl w:ilvl="3">
      <w:start w:val="1"/>
      <w:numFmt w:val="decimal"/>
      <w:pStyle w:val="T4A"/>
      <w:lvlText w:val="%1.%2.%3.%4."/>
      <w:lvlJc w:val="left"/>
      <w:pPr>
        <w:ind w:left="1728" w:hanging="648"/>
      </w:pPr>
    </w:lvl>
    <w:lvl w:ilvl="4">
      <w:start w:val="1"/>
      <w:numFmt w:val="decimal"/>
      <w:pStyle w:val="T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52786C"/>
    <w:multiLevelType w:val="hybridMultilevel"/>
    <w:tmpl w:val="43A46DC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6C94225"/>
    <w:multiLevelType w:val="multilevel"/>
    <w:tmpl w:val="24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B110CB8"/>
    <w:multiLevelType w:val="multilevel"/>
    <w:tmpl w:val="73088522"/>
    <w:lvl w:ilvl="0">
      <w:start w:val="1"/>
      <w:numFmt w:val="decimal"/>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2A2D3A00"/>
    <w:multiLevelType w:val="multilevel"/>
    <w:tmpl w:val="8DF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421A2F"/>
    <w:multiLevelType w:val="multilevel"/>
    <w:tmpl w:val="407C2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61F05"/>
    <w:multiLevelType w:val="multilevel"/>
    <w:tmpl w:val="9202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F81B1F"/>
    <w:multiLevelType w:val="multilevel"/>
    <w:tmpl w:val="14820660"/>
    <w:styleLink w:val="Nestilo0"/>
    <w:lvl w:ilvl="0">
      <w:start w:val="1"/>
      <w:numFmt w:val="none"/>
      <w:pStyle w:val="T0"/>
      <w:lvlText w:val=""/>
      <w:lvlJc w:val="left"/>
      <w:pPr>
        <w:ind w:left="360" w:hanging="360"/>
      </w:pPr>
      <w:rPr>
        <w:rFonts w:asciiTheme="minorHAnsi" w:hAnsiTheme="minorHAnsi" w:hint="default"/>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E797816"/>
    <w:multiLevelType w:val="multilevel"/>
    <w:tmpl w:val="819C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111287"/>
    <w:multiLevelType w:val="multilevel"/>
    <w:tmpl w:val="4C70E7D4"/>
    <w:lvl w:ilvl="0">
      <w:start w:val="1"/>
      <w:numFmt w:val="bullet"/>
      <w:pStyle w:val="Vi1"/>
      <w:lvlText w:val=""/>
      <w:lvlJc w:val="left"/>
      <w:pPr>
        <w:ind w:left="720" w:hanging="360"/>
      </w:pPr>
      <w:rPr>
        <w:rFonts w:ascii="Symbol" w:hAnsi="Symbol" w:hint="default"/>
        <w:b/>
        <w:caps/>
        <w:sz w:val="24"/>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2" w15:restartNumberingAfterBreak="0">
    <w:nsid w:val="42BE2D66"/>
    <w:multiLevelType w:val="multilevel"/>
    <w:tmpl w:val="ACD84B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pStyle w:val="T5A"/>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E256C4"/>
    <w:multiLevelType w:val="hybridMultilevel"/>
    <w:tmpl w:val="EB9C4984"/>
    <w:lvl w:ilvl="0" w:tplc="7E0CFF7C">
      <w:start w:val="1"/>
      <w:numFmt w:val="bullet"/>
      <w:pStyle w:val="Vi5tablas"/>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7BA6214"/>
    <w:multiLevelType w:val="hybridMultilevel"/>
    <w:tmpl w:val="DCF2B81E"/>
    <w:lvl w:ilvl="0" w:tplc="6B0C07F6">
      <w:start w:val="1"/>
      <w:numFmt w:val="bullet"/>
      <w:lvlText w:val=""/>
      <w:lvlJc w:val="left"/>
      <w:pPr>
        <w:ind w:left="720" w:hanging="360"/>
      </w:pPr>
      <w:rPr>
        <w:rFonts w:ascii="Symbol" w:hAnsi="Symbol" w:hint="default"/>
      </w:rPr>
    </w:lvl>
    <w:lvl w:ilvl="1" w:tplc="13E478FE">
      <w:start w:val="1"/>
      <w:numFmt w:val="bullet"/>
      <w:pStyle w:val="Vi2"/>
      <w:lvlText w:val="o"/>
      <w:lvlJc w:val="left"/>
      <w:pPr>
        <w:ind w:left="1440" w:hanging="360"/>
      </w:pPr>
      <w:rPr>
        <w:rFonts w:ascii="Courier New" w:hAnsi="Courier New" w:cs="Courier New" w:hint="default"/>
      </w:rPr>
    </w:lvl>
    <w:lvl w:ilvl="2" w:tplc="3E8859E6">
      <w:start w:val="1"/>
      <w:numFmt w:val="bullet"/>
      <w:pStyle w:val="Vi3"/>
      <w:lvlText w:val=""/>
      <w:lvlJc w:val="left"/>
      <w:pPr>
        <w:ind w:left="2160" w:hanging="360"/>
      </w:pPr>
      <w:rPr>
        <w:rFonts w:ascii="Wingdings" w:hAnsi="Wingdings" w:hint="default"/>
      </w:rPr>
    </w:lvl>
    <w:lvl w:ilvl="3" w:tplc="1F6E110C">
      <w:start w:val="1"/>
      <w:numFmt w:val="bullet"/>
      <w:pStyle w:val="Vi4"/>
      <w:lvlText w:val="­"/>
      <w:lvlJc w:val="left"/>
      <w:pPr>
        <w:ind w:left="2880" w:hanging="360"/>
      </w:pPr>
      <w:rPr>
        <w:rFonts w:ascii="Courier New" w:hAnsi="Courier New"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0E655A4"/>
    <w:multiLevelType w:val="multilevel"/>
    <w:tmpl w:val="2E4684D6"/>
    <w:styleLink w:val="NEstilo00"/>
    <w:lvl w:ilvl="0">
      <w:start w:val="1"/>
      <w:numFmt w:val="none"/>
      <w:lvlText w:val="%1."/>
      <w:lvlJc w:val="left"/>
      <w:pPr>
        <w:ind w:left="360" w:hanging="360"/>
      </w:pPr>
      <w:rPr>
        <w:rFonts w:asciiTheme="minorHAnsi" w:hAnsiTheme="minorHAnsi" w:hint="default"/>
        <w:b/>
        <w:sz w:val="28"/>
      </w:rPr>
    </w:lvl>
    <w:lvl w:ilvl="1">
      <w:start w:val="1"/>
      <w:numFmt w:val="decimal"/>
      <w:lvlText w:val="%2."/>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none"/>
      <w:lvlText w:val="1.1."/>
      <w:lvlJc w:val="left"/>
      <w:pPr>
        <w:ind w:left="1080" w:hanging="360"/>
      </w:pPr>
      <w:rPr>
        <w:rFonts w:hint="default"/>
      </w:rPr>
    </w:lvl>
    <w:lvl w:ilvl="3">
      <w:start w:val="1"/>
      <w:numFmt w:val="none"/>
      <w:lvlRestart w:val="0"/>
      <w:lvlText w:val="1.1.1."/>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4493016"/>
    <w:multiLevelType w:val="multilevel"/>
    <w:tmpl w:val="7A5CC006"/>
    <w:styleLink w:val="ManualEstilo1"/>
    <w:lvl w:ilvl="0">
      <w:start w:val="1"/>
      <w:numFmt w:val="decimal"/>
      <w:lvlText w:val="%1."/>
      <w:lvlJc w:val="left"/>
      <w:pPr>
        <w:ind w:left="360" w:hanging="360"/>
      </w:pPr>
      <w:rPr>
        <w:rFonts w:ascii="Calibri" w:hAnsi="Calibri"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0403D5C"/>
    <w:multiLevelType w:val="multilevel"/>
    <w:tmpl w:val="35ECFE0E"/>
    <w:styleLink w:val="ManualEstilo2"/>
    <w:lvl w:ilvl="0">
      <w:start w:val="1"/>
      <w:numFmt w:val="decimal"/>
      <w:lvlText w:val="%1)"/>
      <w:lvlJc w:val="left"/>
      <w:pPr>
        <w:ind w:left="720" w:hanging="360"/>
      </w:pPr>
      <w:rPr>
        <w:rFonts w:hint="default"/>
      </w:rPr>
    </w:lvl>
    <w:lvl w:ilvl="1">
      <w:start w:val="1"/>
      <w:numFmt w:val="decimal"/>
      <w:lvlText w:val="%2.%1."/>
      <w:lvlJc w:val="left"/>
      <w:pPr>
        <w:ind w:left="1080" w:hanging="360"/>
      </w:pPr>
      <w:rPr>
        <w:rFonts w:ascii="Calibri" w:hAnsi="Calibri" w:hint="default"/>
        <w:sz w:val="22"/>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8" w15:restartNumberingAfterBreak="0">
    <w:nsid w:val="753013BF"/>
    <w:multiLevelType w:val="multilevel"/>
    <w:tmpl w:val="C8C4B1F8"/>
    <w:styleLink w:val="Estilo1"/>
    <w:lvl w:ilvl="0">
      <w:start w:val="1"/>
      <w:numFmt w:val="decimal"/>
      <w:lvlText w:val="%1."/>
      <w:lvlJc w:val="left"/>
      <w:pPr>
        <w:ind w:left="360" w:hanging="360"/>
      </w:pPr>
      <w:rPr>
        <w:rFonts w:ascii="Calibri" w:hAnsi="Calibri" w:hint="default"/>
        <w:b/>
        <w:i w:val="0"/>
        <w:caps w:val="0"/>
        <w:smallCaps w:val="0"/>
        <w:strike w:val="0"/>
        <w:dstrike w:val="0"/>
        <w:vanish w:val="0"/>
        <w:sz w:val="28"/>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6085FDF"/>
    <w:multiLevelType w:val="hybridMultilevel"/>
    <w:tmpl w:val="C11E1504"/>
    <w:lvl w:ilvl="0" w:tplc="8350108C">
      <w:start w:val="1"/>
      <w:numFmt w:val="bullet"/>
      <w:pStyle w:val="Vi6tablas"/>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34077660">
    <w:abstractNumId w:val="11"/>
  </w:num>
  <w:num w:numId="2" w16cid:durableId="1325623765">
    <w:abstractNumId w:val="14"/>
  </w:num>
  <w:num w:numId="3" w16cid:durableId="1088235516">
    <w:abstractNumId w:val="13"/>
  </w:num>
  <w:num w:numId="4" w16cid:durableId="1124301512">
    <w:abstractNumId w:val="19"/>
  </w:num>
  <w:num w:numId="5" w16cid:durableId="455107295">
    <w:abstractNumId w:val="18"/>
  </w:num>
  <w:num w:numId="6" w16cid:durableId="439835563">
    <w:abstractNumId w:val="1"/>
  </w:num>
  <w:num w:numId="7" w16cid:durableId="337000549">
    <w:abstractNumId w:val="4"/>
  </w:num>
  <w:num w:numId="8" w16cid:durableId="929394252">
    <w:abstractNumId w:val="15"/>
  </w:num>
  <w:num w:numId="9" w16cid:durableId="266500202">
    <w:abstractNumId w:val="5"/>
  </w:num>
  <w:num w:numId="10" w16cid:durableId="623729225">
    <w:abstractNumId w:val="0"/>
  </w:num>
  <w:num w:numId="11" w16cid:durableId="543908071">
    <w:abstractNumId w:val="9"/>
  </w:num>
  <w:num w:numId="12" w16cid:durableId="60367109">
    <w:abstractNumId w:val="16"/>
  </w:num>
  <w:num w:numId="13" w16cid:durableId="372584281">
    <w:abstractNumId w:val="17"/>
  </w:num>
  <w:num w:numId="14" w16cid:durableId="231161351">
    <w:abstractNumId w:val="9"/>
  </w:num>
  <w:num w:numId="15" w16cid:durableId="543104533">
    <w:abstractNumId w:val="2"/>
  </w:num>
  <w:num w:numId="16" w16cid:durableId="2083021771">
    <w:abstractNumId w:val="12"/>
  </w:num>
  <w:num w:numId="17" w16cid:durableId="1313867812">
    <w:abstractNumId w:val="7"/>
  </w:num>
  <w:num w:numId="18" w16cid:durableId="118687529">
    <w:abstractNumId w:val="6"/>
  </w:num>
  <w:num w:numId="19" w16cid:durableId="875779225">
    <w:abstractNumId w:val="10"/>
  </w:num>
  <w:num w:numId="20" w16cid:durableId="295721531">
    <w:abstractNumId w:val="8"/>
  </w:num>
  <w:num w:numId="21" w16cid:durableId="6765983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09"/>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A94"/>
    <w:rsid w:val="00003984"/>
    <w:rsid w:val="00007855"/>
    <w:rsid w:val="00021A84"/>
    <w:rsid w:val="00032C1E"/>
    <w:rsid w:val="0004319F"/>
    <w:rsid w:val="00050C9F"/>
    <w:rsid w:val="000541A5"/>
    <w:rsid w:val="00054B27"/>
    <w:rsid w:val="00054FFA"/>
    <w:rsid w:val="00055452"/>
    <w:rsid w:val="000560BE"/>
    <w:rsid w:val="00056D59"/>
    <w:rsid w:val="00060BC9"/>
    <w:rsid w:val="00060CD4"/>
    <w:rsid w:val="0006486B"/>
    <w:rsid w:val="000658A5"/>
    <w:rsid w:val="00067EA9"/>
    <w:rsid w:val="00080D60"/>
    <w:rsid w:val="00083385"/>
    <w:rsid w:val="000855C5"/>
    <w:rsid w:val="00085751"/>
    <w:rsid w:val="00087D32"/>
    <w:rsid w:val="00091201"/>
    <w:rsid w:val="000923B3"/>
    <w:rsid w:val="00092B98"/>
    <w:rsid w:val="00093F15"/>
    <w:rsid w:val="0009499D"/>
    <w:rsid w:val="000957C4"/>
    <w:rsid w:val="0009629D"/>
    <w:rsid w:val="000A1E18"/>
    <w:rsid w:val="000A30AF"/>
    <w:rsid w:val="000A42A4"/>
    <w:rsid w:val="000A60E3"/>
    <w:rsid w:val="000B6810"/>
    <w:rsid w:val="000C192B"/>
    <w:rsid w:val="000D22B3"/>
    <w:rsid w:val="000D404E"/>
    <w:rsid w:val="000D40B9"/>
    <w:rsid w:val="000F15B6"/>
    <w:rsid w:val="000F5138"/>
    <w:rsid w:val="00101007"/>
    <w:rsid w:val="001056E5"/>
    <w:rsid w:val="00107E55"/>
    <w:rsid w:val="00110CA1"/>
    <w:rsid w:val="00114E96"/>
    <w:rsid w:val="001228A1"/>
    <w:rsid w:val="001260BA"/>
    <w:rsid w:val="001363EB"/>
    <w:rsid w:val="001373C5"/>
    <w:rsid w:val="00147949"/>
    <w:rsid w:val="0015030B"/>
    <w:rsid w:val="00152E39"/>
    <w:rsid w:val="00154D8B"/>
    <w:rsid w:val="001555AC"/>
    <w:rsid w:val="0015766F"/>
    <w:rsid w:val="00160EFE"/>
    <w:rsid w:val="00160F36"/>
    <w:rsid w:val="00171C18"/>
    <w:rsid w:val="00172701"/>
    <w:rsid w:val="001743DC"/>
    <w:rsid w:val="001764F8"/>
    <w:rsid w:val="001A1810"/>
    <w:rsid w:val="001A25A6"/>
    <w:rsid w:val="001A39CA"/>
    <w:rsid w:val="001B1D85"/>
    <w:rsid w:val="001B6A83"/>
    <w:rsid w:val="001C12E1"/>
    <w:rsid w:val="001D0BA1"/>
    <w:rsid w:val="001D6294"/>
    <w:rsid w:val="001E2E2C"/>
    <w:rsid w:val="001E7D6F"/>
    <w:rsid w:val="001F05B8"/>
    <w:rsid w:val="001F5C73"/>
    <w:rsid w:val="002010B1"/>
    <w:rsid w:val="00224B81"/>
    <w:rsid w:val="002279AF"/>
    <w:rsid w:val="00241E81"/>
    <w:rsid w:val="00242A4D"/>
    <w:rsid w:val="00252B90"/>
    <w:rsid w:val="002551DA"/>
    <w:rsid w:val="00255E17"/>
    <w:rsid w:val="002567EC"/>
    <w:rsid w:val="00256F94"/>
    <w:rsid w:val="00261CC9"/>
    <w:rsid w:val="00264BE1"/>
    <w:rsid w:val="0027203F"/>
    <w:rsid w:val="00273071"/>
    <w:rsid w:val="002902F8"/>
    <w:rsid w:val="002909CB"/>
    <w:rsid w:val="002972A7"/>
    <w:rsid w:val="002A3801"/>
    <w:rsid w:val="002A70CF"/>
    <w:rsid w:val="002B109A"/>
    <w:rsid w:val="002B43E0"/>
    <w:rsid w:val="002B5092"/>
    <w:rsid w:val="002C2A1B"/>
    <w:rsid w:val="002D5D2B"/>
    <w:rsid w:val="002D5DE6"/>
    <w:rsid w:val="002D6FF7"/>
    <w:rsid w:val="002D7131"/>
    <w:rsid w:val="002D7247"/>
    <w:rsid w:val="002E4D87"/>
    <w:rsid w:val="00301758"/>
    <w:rsid w:val="00326315"/>
    <w:rsid w:val="00332126"/>
    <w:rsid w:val="00336DB3"/>
    <w:rsid w:val="00341172"/>
    <w:rsid w:val="003423FB"/>
    <w:rsid w:val="00343D2E"/>
    <w:rsid w:val="00344F0A"/>
    <w:rsid w:val="003649C5"/>
    <w:rsid w:val="003663E0"/>
    <w:rsid w:val="00372480"/>
    <w:rsid w:val="003726C2"/>
    <w:rsid w:val="00374C4B"/>
    <w:rsid w:val="00375390"/>
    <w:rsid w:val="00377B2D"/>
    <w:rsid w:val="00381A8A"/>
    <w:rsid w:val="00383C8C"/>
    <w:rsid w:val="003975AB"/>
    <w:rsid w:val="003A066D"/>
    <w:rsid w:val="003A5DED"/>
    <w:rsid w:val="003B3F29"/>
    <w:rsid w:val="003C07AF"/>
    <w:rsid w:val="003C6541"/>
    <w:rsid w:val="003D3863"/>
    <w:rsid w:val="003D7AE7"/>
    <w:rsid w:val="003E3A28"/>
    <w:rsid w:val="003E5280"/>
    <w:rsid w:val="003E78D4"/>
    <w:rsid w:val="003F10E7"/>
    <w:rsid w:val="003F386F"/>
    <w:rsid w:val="003F4B15"/>
    <w:rsid w:val="003F6218"/>
    <w:rsid w:val="003F6CEE"/>
    <w:rsid w:val="003F774E"/>
    <w:rsid w:val="0040156B"/>
    <w:rsid w:val="00403D08"/>
    <w:rsid w:val="00404400"/>
    <w:rsid w:val="0040668F"/>
    <w:rsid w:val="0041227E"/>
    <w:rsid w:val="004143B8"/>
    <w:rsid w:val="00421EF0"/>
    <w:rsid w:val="00447D27"/>
    <w:rsid w:val="0046222F"/>
    <w:rsid w:val="00463394"/>
    <w:rsid w:val="0046462F"/>
    <w:rsid w:val="004652F5"/>
    <w:rsid w:val="0049032D"/>
    <w:rsid w:val="00492020"/>
    <w:rsid w:val="00494D93"/>
    <w:rsid w:val="00496E7C"/>
    <w:rsid w:val="004A33D4"/>
    <w:rsid w:val="004A36C2"/>
    <w:rsid w:val="004A718C"/>
    <w:rsid w:val="004A7CBE"/>
    <w:rsid w:val="004B622A"/>
    <w:rsid w:val="004C2B57"/>
    <w:rsid w:val="004D783E"/>
    <w:rsid w:val="004D7FD9"/>
    <w:rsid w:val="004E79A5"/>
    <w:rsid w:val="004F51F4"/>
    <w:rsid w:val="004F6101"/>
    <w:rsid w:val="004F7521"/>
    <w:rsid w:val="00506A79"/>
    <w:rsid w:val="00507853"/>
    <w:rsid w:val="005207A9"/>
    <w:rsid w:val="0052574A"/>
    <w:rsid w:val="00531BFB"/>
    <w:rsid w:val="00533083"/>
    <w:rsid w:val="00541978"/>
    <w:rsid w:val="00552B18"/>
    <w:rsid w:val="00563502"/>
    <w:rsid w:val="00572D42"/>
    <w:rsid w:val="005801C5"/>
    <w:rsid w:val="00587780"/>
    <w:rsid w:val="00587DC6"/>
    <w:rsid w:val="00594FBD"/>
    <w:rsid w:val="00595A16"/>
    <w:rsid w:val="0059699A"/>
    <w:rsid w:val="005969FD"/>
    <w:rsid w:val="005A3834"/>
    <w:rsid w:val="005C3556"/>
    <w:rsid w:val="005C5738"/>
    <w:rsid w:val="005C5F93"/>
    <w:rsid w:val="005C657A"/>
    <w:rsid w:val="005C667F"/>
    <w:rsid w:val="005D10A9"/>
    <w:rsid w:val="005D72A5"/>
    <w:rsid w:val="005E07EC"/>
    <w:rsid w:val="005F1086"/>
    <w:rsid w:val="005F4CF1"/>
    <w:rsid w:val="005F5E06"/>
    <w:rsid w:val="00602F4A"/>
    <w:rsid w:val="00605C96"/>
    <w:rsid w:val="00605C9B"/>
    <w:rsid w:val="006142A4"/>
    <w:rsid w:val="006148A0"/>
    <w:rsid w:val="006150B0"/>
    <w:rsid w:val="00621419"/>
    <w:rsid w:val="00621B96"/>
    <w:rsid w:val="0062256B"/>
    <w:rsid w:val="00622CE9"/>
    <w:rsid w:val="00623955"/>
    <w:rsid w:val="006402AE"/>
    <w:rsid w:val="00641A94"/>
    <w:rsid w:val="00642178"/>
    <w:rsid w:val="00642E9A"/>
    <w:rsid w:val="00657E03"/>
    <w:rsid w:val="00660C82"/>
    <w:rsid w:val="00666811"/>
    <w:rsid w:val="006671C3"/>
    <w:rsid w:val="00671E9D"/>
    <w:rsid w:val="006734D3"/>
    <w:rsid w:val="00683208"/>
    <w:rsid w:val="00693F7D"/>
    <w:rsid w:val="006A2094"/>
    <w:rsid w:val="006A51EE"/>
    <w:rsid w:val="006A529A"/>
    <w:rsid w:val="006A7793"/>
    <w:rsid w:val="006B02A9"/>
    <w:rsid w:val="006B10E5"/>
    <w:rsid w:val="006B4C85"/>
    <w:rsid w:val="006B4F88"/>
    <w:rsid w:val="006B5F4D"/>
    <w:rsid w:val="006C0561"/>
    <w:rsid w:val="006C2F9A"/>
    <w:rsid w:val="006D200D"/>
    <w:rsid w:val="006D282A"/>
    <w:rsid w:val="006E0898"/>
    <w:rsid w:val="00701307"/>
    <w:rsid w:val="00704145"/>
    <w:rsid w:val="0070724B"/>
    <w:rsid w:val="00712760"/>
    <w:rsid w:val="0072347D"/>
    <w:rsid w:val="00725469"/>
    <w:rsid w:val="007261DC"/>
    <w:rsid w:val="00726876"/>
    <w:rsid w:val="00731708"/>
    <w:rsid w:val="0073203B"/>
    <w:rsid w:val="00741A6F"/>
    <w:rsid w:val="00746D74"/>
    <w:rsid w:val="00757BE0"/>
    <w:rsid w:val="00760A86"/>
    <w:rsid w:val="007610A9"/>
    <w:rsid w:val="007701A1"/>
    <w:rsid w:val="007718FA"/>
    <w:rsid w:val="00773E1D"/>
    <w:rsid w:val="0077449B"/>
    <w:rsid w:val="00775B6D"/>
    <w:rsid w:val="00775F8E"/>
    <w:rsid w:val="00781794"/>
    <w:rsid w:val="00790D04"/>
    <w:rsid w:val="00793D49"/>
    <w:rsid w:val="007A159B"/>
    <w:rsid w:val="007A1A54"/>
    <w:rsid w:val="007A5936"/>
    <w:rsid w:val="007A67FF"/>
    <w:rsid w:val="007A7DAA"/>
    <w:rsid w:val="007B249F"/>
    <w:rsid w:val="007C4D59"/>
    <w:rsid w:val="007D23C8"/>
    <w:rsid w:val="007D26EB"/>
    <w:rsid w:val="007D3CE7"/>
    <w:rsid w:val="007D6CCA"/>
    <w:rsid w:val="007E6C11"/>
    <w:rsid w:val="0080273F"/>
    <w:rsid w:val="008039F9"/>
    <w:rsid w:val="008061FD"/>
    <w:rsid w:val="0081478E"/>
    <w:rsid w:val="00816E24"/>
    <w:rsid w:val="00820533"/>
    <w:rsid w:val="00825409"/>
    <w:rsid w:val="00835799"/>
    <w:rsid w:val="00851C60"/>
    <w:rsid w:val="00854885"/>
    <w:rsid w:val="008551BE"/>
    <w:rsid w:val="00863032"/>
    <w:rsid w:val="008716CF"/>
    <w:rsid w:val="00881D39"/>
    <w:rsid w:val="008923FF"/>
    <w:rsid w:val="008925E5"/>
    <w:rsid w:val="008A66EA"/>
    <w:rsid w:val="008A700D"/>
    <w:rsid w:val="008B6A0D"/>
    <w:rsid w:val="008B6CFD"/>
    <w:rsid w:val="008D14FC"/>
    <w:rsid w:val="008D3247"/>
    <w:rsid w:val="008E4FDB"/>
    <w:rsid w:val="008F0C2A"/>
    <w:rsid w:val="008F345D"/>
    <w:rsid w:val="00902412"/>
    <w:rsid w:val="00906F68"/>
    <w:rsid w:val="00913199"/>
    <w:rsid w:val="0093192F"/>
    <w:rsid w:val="009407E0"/>
    <w:rsid w:val="009448B0"/>
    <w:rsid w:val="00945D87"/>
    <w:rsid w:val="00951295"/>
    <w:rsid w:val="00951F9E"/>
    <w:rsid w:val="009521CE"/>
    <w:rsid w:val="009568E0"/>
    <w:rsid w:val="0096005A"/>
    <w:rsid w:val="00972A54"/>
    <w:rsid w:val="009737CA"/>
    <w:rsid w:val="0098184D"/>
    <w:rsid w:val="0098233E"/>
    <w:rsid w:val="00982920"/>
    <w:rsid w:val="00982C82"/>
    <w:rsid w:val="00983443"/>
    <w:rsid w:val="00984C3F"/>
    <w:rsid w:val="00993659"/>
    <w:rsid w:val="009A281A"/>
    <w:rsid w:val="009A3EC9"/>
    <w:rsid w:val="009B068B"/>
    <w:rsid w:val="009B1092"/>
    <w:rsid w:val="009B425A"/>
    <w:rsid w:val="009B5222"/>
    <w:rsid w:val="009D1384"/>
    <w:rsid w:val="009E1EAF"/>
    <w:rsid w:val="009E2D27"/>
    <w:rsid w:val="009E67AC"/>
    <w:rsid w:val="009E79BF"/>
    <w:rsid w:val="009F0E47"/>
    <w:rsid w:val="009F5B05"/>
    <w:rsid w:val="00A01F52"/>
    <w:rsid w:val="00A02A53"/>
    <w:rsid w:val="00A10A6C"/>
    <w:rsid w:val="00A11EEA"/>
    <w:rsid w:val="00A125F3"/>
    <w:rsid w:val="00A140CE"/>
    <w:rsid w:val="00A14534"/>
    <w:rsid w:val="00A158B5"/>
    <w:rsid w:val="00A15FC8"/>
    <w:rsid w:val="00A210BF"/>
    <w:rsid w:val="00A27D23"/>
    <w:rsid w:val="00A27D39"/>
    <w:rsid w:val="00A32F53"/>
    <w:rsid w:val="00A3602B"/>
    <w:rsid w:val="00A37026"/>
    <w:rsid w:val="00A44629"/>
    <w:rsid w:val="00A521C2"/>
    <w:rsid w:val="00A544D5"/>
    <w:rsid w:val="00A54E04"/>
    <w:rsid w:val="00A57CC5"/>
    <w:rsid w:val="00A67050"/>
    <w:rsid w:val="00A6757E"/>
    <w:rsid w:val="00A737AC"/>
    <w:rsid w:val="00A877CD"/>
    <w:rsid w:val="00A87ED0"/>
    <w:rsid w:val="00A91FEE"/>
    <w:rsid w:val="00A9201F"/>
    <w:rsid w:val="00AA66F5"/>
    <w:rsid w:val="00AB05FE"/>
    <w:rsid w:val="00AB0F7C"/>
    <w:rsid w:val="00AB1B7B"/>
    <w:rsid w:val="00AB4003"/>
    <w:rsid w:val="00AB56A2"/>
    <w:rsid w:val="00AB7C55"/>
    <w:rsid w:val="00AC054A"/>
    <w:rsid w:val="00AC2850"/>
    <w:rsid w:val="00AC4134"/>
    <w:rsid w:val="00AE0439"/>
    <w:rsid w:val="00AE15D5"/>
    <w:rsid w:val="00AE1B85"/>
    <w:rsid w:val="00AE1EE0"/>
    <w:rsid w:val="00AE2E93"/>
    <w:rsid w:val="00AE36B4"/>
    <w:rsid w:val="00AE47F5"/>
    <w:rsid w:val="00AE60CD"/>
    <w:rsid w:val="00AE61F4"/>
    <w:rsid w:val="00AF077D"/>
    <w:rsid w:val="00AF62EE"/>
    <w:rsid w:val="00AF6FC9"/>
    <w:rsid w:val="00AF7F15"/>
    <w:rsid w:val="00B011DD"/>
    <w:rsid w:val="00B0404E"/>
    <w:rsid w:val="00B1444A"/>
    <w:rsid w:val="00B20B02"/>
    <w:rsid w:val="00B3583D"/>
    <w:rsid w:val="00B41631"/>
    <w:rsid w:val="00B52980"/>
    <w:rsid w:val="00B5480F"/>
    <w:rsid w:val="00B54AB4"/>
    <w:rsid w:val="00B62812"/>
    <w:rsid w:val="00B63EC2"/>
    <w:rsid w:val="00B65858"/>
    <w:rsid w:val="00B67F76"/>
    <w:rsid w:val="00B73295"/>
    <w:rsid w:val="00B74CD6"/>
    <w:rsid w:val="00B76DD4"/>
    <w:rsid w:val="00B8038E"/>
    <w:rsid w:val="00B83B3B"/>
    <w:rsid w:val="00B87C0E"/>
    <w:rsid w:val="00B9277C"/>
    <w:rsid w:val="00B94700"/>
    <w:rsid w:val="00BA444D"/>
    <w:rsid w:val="00BB0951"/>
    <w:rsid w:val="00BB0BF1"/>
    <w:rsid w:val="00BB77F0"/>
    <w:rsid w:val="00BC3A8A"/>
    <w:rsid w:val="00BE0893"/>
    <w:rsid w:val="00BE7851"/>
    <w:rsid w:val="00BF0BE5"/>
    <w:rsid w:val="00BF1A3C"/>
    <w:rsid w:val="00BF6BFC"/>
    <w:rsid w:val="00C01BC1"/>
    <w:rsid w:val="00C020D0"/>
    <w:rsid w:val="00C11EAA"/>
    <w:rsid w:val="00C1485D"/>
    <w:rsid w:val="00C214DD"/>
    <w:rsid w:val="00C21873"/>
    <w:rsid w:val="00C36B1F"/>
    <w:rsid w:val="00C36B3E"/>
    <w:rsid w:val="00C37876"/>
    <w:rsid w:val="00C37DC6"/>
    <w:rsid w:val="00C37E3A"/>
    <w:rsid w:val="00C43C48"/>
    <w:rsid w:val="00C5153F"/>
    <w:rsid w:val="00C524C2"/>
    <w:rsid w:val="00C54D8F"/>
    <w:rsid w:val="00C56FFB"/>
    <w:rsid w:val="00C6270C"/>
    <w:rsid w:val="00C6635E"/>
    <w:rsid w:val="00C66C81"/>
    <w:rsid w:val="00C679DE"/>
    <w:rsid w:val="00C70A79"/>
    <w:rsid w:val="00C741BD"/>
    <w:rsid w:val="00C745F9"/>
    <w:rsid w:val="00C74E1B"/>
    <w:rsid w:val="00C753ED"/>
    <w:rsid w:val="00C77B98"/>
    <w:rsid w:val="00C8150B"/>
    <w:rsid w:val="00C84D9F"/>
    <w:rsid w:val="00C935A7"/>
    <w:rsid w:val="00CA1158"/>
    <w:rsid w:val="00CA3B27"/>
    <w:rsid w:val="00CB0308"/>
    <w:rsid w:val="00CB473B"/>
    <w:rsid w:val="00CB6611"/>
    <w:rsid w:val="00CB698C"/>
    <w:rsid w:val="00CB7D59"/>
    <w:rsid w:val="00CD45DA"/>
    <w:rsid w:val="00CD59B5"/>
    <w:rsid w:val="00CE036C"/>
    <w:rsid w:val="00CF7AD4"/>
    <w:rsid w:val="00D11062"/>
    <w:rsid w:val="00D24834"/>
    <w:rsid w:val="00D33526"/>
    <w:rsid w:val="00D347D1"/>
    <w:rsid w:val="00D3750E"/>
    <w:rsid w:val="00D42921"/>
    <w:rsid w:val="00D45BDC"/>
    <w:rsid w:val="00D50FBB"/>
    <w:rsid w:val="00D51664"/>
    <w:rsid w:val="00D641F7"/>
    <w:rsid w:val="00D721AB"/>
    <w:rsid w:val="00D732E7"/>
    <w:rsid w:val="00D74C94"/>
    <w:rsid w:val="00D84997"/>
    <w:rsid w:val="00D85F7B"/>
    <w:rsid w:val="00D910ED"/>
    <w:rsid w:val="00D91E77"/>
    <w:rsid w:val="00D94D5A"/>
    <w:rsid w:val="00DA0B03"/>
    <w:rsid w:val="00DA1676"/>
    <w:rsid w:val="00DA31B9"/>
    <w:rsid w:val="00DC150E"/>
    <w:rsid w:val="00DC69A0"/>
    <w:rsid w:val="00DD06AA"/>
    <w:rsid w:val="00DD5224"/>
    <w:rsid w:val="00DD63FC"/>
    <w:rsid w:val="00DD7DE7"/>
    <w:rsid w:val="00DE3160"/>
    <w:rsid w:val="00DE5A21"/>
    <w:rsid w:val="00DE5AF6"/>
    <w:rsid w:val="00DE7AEC"/>
    <w:rsid w:val="00DF1233"/>
    <w:rsid w:val="00DF58F2"/>
    <w:rsid w:val="00E10F10"/>
    <w:rsid w:val="00E12321"/>
    <w:rsid w:val="00E13ECD"/>
    <w:rsid w:val="00E1505C"/>
    <w:rsid w:val="00E3486A"/>
    <w:rsid w:val="00E35D73"/>
    <w:rsid w:val="00E41563"/>
    <w:rsid w:val="00E46F19"/>
    <w:rsid w:val="00E51551"/>
    <w:rsid w:val="00E551C6"/>
    <w:rsid w:val="00E5789D"/>
    <w:rsid w:val="00E60C2C"/>
    <w:rsid w:val="00E658BC"/>
    <w:rsid w:val="00E76397"/>
    <w:rsid w:val="00E77896"/>
    <w:rsid w:val="00E80137"/>
    <w:rsid w:val="00E94437"/>
    <w:rsid w:val="00E9574D"/>
    <w:rsid w:val="00EA077C"/>
    <w:rsid w:val="00EA2520"/>
    <w:rsid w:val="00EA29B8"/>
    <w:rsid w:val="00EB387C"/>
    <w:rsid w:val="00EB56C7"/>
    <w:rsid w:val="00EB62C9"/>
    <w:rsid w:val="00EC435F"/>
    <w:rsid w:val="00ED27F9"/>
    <w:rsid w:val="00ED5BE4"/>
    <w:rsid w:val="00EE38B0"/>
    <w:rsid w:val="00EF40C5"/>
    <w:rsid w:val="00EF699A"/>
    <w:rsid w:val="00F054B4"/>
    <w:rsid w:val="00F1109D"/>
    <w:rsid w:val="00F211E3"/>
    <w:rsid w:val="00F2515B"/>
    <w:rsid w:val="00F3319F"/>
    <w:rsid w:val="00F37CB5"/>
    <w:rsid w:val="00F40A26"/>
    <w:rsid w:val="00F42BB6"/>
    <w:rsid w:val="00F47069"/>
    <w:rsid w:val="00F50368"/>
    <w:rsid w:val="00F565F0"/>
    <w:rsid w:val="00F65121"/>
    <w:rsid w:val="00F65BA6"/>
    <w:rsid w:val="00F7752C"/>
    <w:rsid w:val="00F8184A"/>
    <w:rsid w:val="00F83400"/>
    <w:rsid w:val="00F855DC"/>
    <w:rsid w:val="00F85DE9"/>
    <w:rsid w:val="00F87D5C"/>
    <w:rsid w:val="00F91CE5"/>
    <w:rsid w:val="00F95047"/>
    <w:rsid w:val="00F97672"/>
    <w:rsid w:val="00F9783D"/>
    <w:rsid w:val="00FA1987"/>
    <w:rsid w:val="00FA3BC1"/>
    <w:rsid w:val="00FC6883"/>
    <w:rsid w:val="00FD0BE0"/>
    <w:rsid w:val="00FD5DDD"/>
    <w:rsid w:val="00FE23D9"/>
    <w:rsid w:val="00FE64F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C2BB2"/>
  <w15:chartTrackingRefBased/>
  <w15:docId w15:val="{20BF2CF9-1B73-1448-A823-C2D81B3BD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F8E"/>
    <w:pPr>
      <w:spacing w:after="0" w:line="240" w:lineRule="auto"/>
      <w:contextualSpacing/>
      <w:jc w:val="both"/>
    </w:pPr>
  </w:style>
  <w:style w:type="paragraph" w:styleId="Ttulo1">
    <w:name w:val="heading 1"/>
    <w:basedOn w:val="Normal"/>
    <w:next w:val="Normal"/>
    <w:link w:val="Ttulo1Car"/>
    <w:uiPriority w:val="9"/>
    <w:qFormat/>
    <w:rsid w:val="00E5789D"/>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Ttulo2">
    <w:name w:val="heading 2"/>
    <w:basedOn w:val="Normal"/>
    <w:next w:val="Normal"/>
    <w:link w:val="Ttulo2Car"/>
    <w:uiPriority w:val="9"/>
    <w:semiHidden/>
    <w:unhideWhenUsed/>
    <w:rsid w:val="009407E0"/>
    <w:pPr>
      <w:keepNext/>
      <w:keepLines/>
      <w:numPr>
        <w:ilvl w:val="1"/>
        <w:numId w:val="9"/>
      </w:numPr>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iPriority w:val="9"/>
    <w:semiHidden/>
    <w:unhideWhenUsed/>
    <w:qFormat/>
    <w:rsid w:val="009407E0"/>
    <w:pPr>
      <w:keepNext/>
      <w:keepLines/>
      <w:numPr>
        <w:ilvl w:val="2"/>
        <w:numId w:val="9"/>
      </w:numPr>
      <w:spacing w:before="4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ar"/>
    <w:uiPriority w:val="9"/>
    <w:semiHidden/>
    <w:unhideWhenUsed/>
    <w:qFormat/>
    <w:rsid w:val="00E3486A"/>
    <w:pPr>
      <w:keepNext/>
      <w:keepLines/>
      <w:numPr>
        <w:ilvl w:val="3"/>
        <w:numId w:val="9"/>
      </w:numPr>
      <w:spacing w:before="40"/>
      <w:outlineLvl w:val="3"/>
    </w:pPr>
    <w:rPr>
      <w:rFonts w:asciiTheme="majorHAnsi" w:eastAsiaTheme="majorEastAsia" w:hAnsiTheme="majorHAnsi" w:cstheme="majorBidi"/>
      <w:i/>
      <w:iCs/>
      <w:color w:val="0F4761" w:themeColor="accent1" w:themeShade="BF"/>
    </w:rPr>
  </w:style>
  <w:style w:type="paragraph" w:styleId="Ttulo5">
    <w:name w:val="heading 5"/>
    <w:basedOn w:val="Normal"/>
    <w:next w:val="Normal"/>
    <w:link w:val="Ttulo5Car"/>
    <w:uiPriority w:val="9"/>
    <w:semiHidden/>
    <w:unhideWhenUsed/>
    <w:qFormat/>
    <w:rsid w:val="00E3486A"/>
    <w:pPr>
      <w:keepNext/>
      <w:keepLines/>
      <w:numPr>
        <w:ilvl w:val="4"/>
        <w:numId w:val="9"/>
      </w:numPr>
      <w:spacing w:before="40"/>
      <w:outlineLvl w:val="4"/>
    </w:pPr>
    <w:rPr>
      <w:rFonts w:asciiTheme="majorHAnsi" w:eastAsiaTheme="majorEastAsia" w:hAnsiTheme="majorHAnsi" w:cstheme="majorBidi"/>
      <w:color w:val="0F4761" w:themeColor="accent1" w:themeShade="BF"/>
    </w:rPr>
  </w:style>
  <w:style w:type="paragraph" w:styleId="Ttulo6">
    <w:name w:val="heading 6"/>
    <w:basedOn w:val="Normal"/>
    <w:next w:val="Normal"/>
    <w:link w:val="Ttulo6Car"/>
    <w:uiPriority w:val="9"/>
    <w:semiHidden/>
    <w:unhideWhenUsed/>
    <w:qFormat/>
    <w:rsid w:val="00E3486A"/>
    <w:pPr>
      <w:keepNext/>
      <w:keepLines/>
      <w:numPr>
        <w:ilvl w:val="5"/>
        <w:numId w:val="9"/>
      </w:numPr>
      <w:spacing w:before="40"/>
      <w:outlineLvl w:val="5"/>
    </w:pPr>
    <w:rPr>
      <w:rFonts w:asciiTheme="majorHAnsi" w:eastAsiaTheme="majorEastAsia" w:hAnsiTheme="majorHAnsi" w:cstheme="majorBidi"/>
      <w:color w:val="0A2F40" w:themeColor="accent1" w:themeShade="7F"/>
    </w:rPr>
  </w:style>
  <w:style w:type="paragraph" w:styleId="Ttulo7">
    <w:name w:val="heading 7"/>
    <w:basedOn w:val="Normal"/>
    <w:next w:val="Normal"/>
    <w:link w:val="Ttulo7Car"/>
    <w:uiPriority w:val="9"/>
    <w:semiHidden/>
    <w:unhideWhenUsed/>
    <w:qFormat/>
    <w:rsid w:val="00E3486A"/>
    <w:pPr>
      <w:keepNext/>
      <w:keepLines/>
      <w:numPr>
        <w:ilvl w:val="6"/>
        <w:numId w:val="9"/>
      </w:numPr>
      <w:spacing w:before="40"/>
      <w:outlineLvl w:val="6"/>
    </w:pPr>
    <w:rPr>
      <w:rFonts w:asciiTheme="majorHAnsi" w:eastAsiaTheme="majorEastAsia" w:hAnsiTheme="majorHAnsi" w:cstheme="majorBidi"/>
      <w:i/>
      <w:iCs/>
      <w:color w:val="0A2F40" w:themeColor="accent1" w:themeShade="7F"/>
    </w:rPr>
  </w:style>
  <w:style w:type="paragraph" w:styleId="Ttulo8">
    <w:name w:val="heading 8"/>
    <w:basedOn w:val="Normal"/>
    <w:next w:val="Normal"/>
    <w:link w:val="Ttulo8Car"/>
    <w:uiPriority w:val="9"/>
    <w:semiHidden/>
    <w:unhideWhenUsed/>
    <w:qFormat/>
    <w:rsid w:val="00E3486A"/>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3486A"/>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0">
    <w:name w:val="T. 0"/>
    <w:basedOn w:val="Normal"/>
    <w:next w:val="Normal"/>
    <w:autoRedefine/>
    <w:qFormat/>
    <w:rsid w:val="00EF40C5"/>
    <w:pPr>
      <w:widowControl w:val="0"/>
      <w:numPr>
        <w:numId w:val="14"/>
      </w:numPr>
      <w:ind w:left="0" w:firstLine="0"/>
      <w:jc w:val="center"/>
      <w:outlineLvl w:val="0"/>
    </w:pPr>
    <w:rPr>
      <w:b/>
      <w:bCs/>
      <w:iCs/>
      <w:sz w:val="28"/>
      <w:szCs w:val="28"/>
      <w:lang w:val="es-ES" w:eastAsia="es-ES"/>
    </w:rPr>
  </w:style>
  <w:style w:type="paragraph" w:customStyle="1" w:styleId="T1">
    <w:name w:val="T. 1"/>
    <w:basedOn w:val="T1A"/>
    <w:next w:val="Normal"/>
    <w:autoRedefine/>
    <w:qFormat/>
    <w:rsid w:val="00A737AC"/>
    <w:pPr>
      <w:ind w:left="0" w:firstLine="0"/>
    </w:pPr>
    <w:rPr>
      <w:lang w:val="es-CO"/>
    </w:rPr>
  </w:style>
  <w:style w:type="paragraph" w:styleId="Prrafodelista">
    <w:name w:val="List Paragraph"/>
    <w:basedOn w:val="Normal"/>
    <w:uiPriority w:val="34"/>
    <w:rsid w:val="004B622A"/>
    <w:pPr>
      <w:ind w:left="720"/>
    </w:pPr>
  </w:style>
  <w:style w:type="paragraph" w:customStyle="1" w:styleId="T2">
    <w:name w:val="T. 2"/>
    <w:basedOn w:val="T2A"/>
    <w:next w:val="Normal"/>
    <w:autoRedefine/>
    <w:qFormat/>
    <w:rsid w:val="00EC435F"/>
    <w:pPr>
      <w:tabs>
        <w:tab w:val="clear" w:pos="360"/>
      </w:tabs>
    </w:pPr>
  </w:style>
  <w:style w:type="paragraph" w:customStyle="1" w:styleId="T3">
    <w:name w:val="T. 3"/>
    <w:basedOn w:val="T3A"/>
    <w:next w:val="Normal"/>
    <w:autoRedefine/>
    <w:qFormat/>
    <w:rsid w:val="00EC435F"/>
    <w:pPr>
      <w:tabs>
        <w:tab w:val="clear" w:pos="360"/>
      </w:tabs>
    </w:pPr>
  </w:style>
  <w:style w:type="paragraph" w:customStyle="1" w:styleId="T4">
    <w:name w:val="T. 4"/>
    <w:basedOn w:val="T4A"/>
    <w:next w:val="Normal"/>
    <w:autoRedefine/>
    <w:qFormat/>
    <w:rsid w:val="00EC435F"/>
  </w:style>
  <w:style w:type="paragraph" w:customStyle="1" w:styleId="T7">
    <w:name w:val="T. 7"/>
    <w:basedOn w:val="Normal"/>
    <w:next w:val="Normal"/>
    <w:autoRedefine/>
    <w:qFormat/>
    <w:rsid w:val="00984C3F"/>
    <w:pPr>
      <w:numPr>
        <w:ilvl w:val="6"/>
        <w:numId w:val="6"/>
      </w:numPr>
      <w:ind w:left="0" w:firstLine="0"/>
      <w:jc w:val="left"/>
      <w:outlineLvl w:val="6"/>
    </w:pPr>
    <w:rPr>
      <w:rFonts w:eastAsia="Times New Roman" w:cs="Calibri"/>
      <w:b/>
      <w:color w:val="000000"/>
      <w:szCs w:val="16"/>
      <w:lang w:val="es-ES" w:eastAsia="es-ES"/>
    </w:rPr>
  </w:style>
  <w:style w:type="paragraph" w:customStyle="1" w:styleId="Vi1">
    <w:name w:val="Viñ. 1"/>
    <w:basedOn w:val="Normal"/>
    <w:qFormat/>
    <w:rsid w:val="00344F0A"/>
    <w:pPr>
      <w:numPr>
        <w:numId w:val="1"/>
      </w:numPr>
      <w:tabs>
        <w:tab w:val="num" w:pos="360"/>
      </w:tabs>
      <w:ind w:left="714" w:hanging="357"/>
    </w:pPr>
    <w:rPr>
      <w:bCs/>
      <w:iCs/>
      <w:lang w:val="es-ES" w:eastAsia="es-ES"/>
    </w:rPr>
  </w:style>
  <w:style w:type="paragraph" w:customStyle="1" w:styleId="Vi2">
    <w:name w:val="Viñ. 2"/>
    <w:basedOn w:val="Normal"/>
    <w:qFormat/>
    <w:rsid w:val="00344F0A"/>
    <w:pPr>
      <w:numPr>
        <w:ilvl w:val="1"/>
        <w:numId w:val="2"/>
      </w:numPr>
      <w:tabs>
        <w:tab w:val="num" w:pos="360"/>
      </w:tabs>
      <w:ind w:left="1071" w:hanging="357"/>
    </w:pPr>
    <w:rPr>
      <w:bCs/>
      <w:iCs/>
      <w:lang w:val="es-ES" w:eastAsia="es-ES"/>
    </w:rPr>
  </w:style>
  <w:style w:type="paragraph" w:customStyle="1" w:styleId="Vi3">
    <w:name w:val="Viñ. 3"/>
    <w:basedOn w:val="Vi2"/>
    <w:qFormat/>
    <w:rsid w:val="00344F0A"/>
    <w:pPr>
      <w:numPr>
        <w:ilvl w:val="2"/>
      </w:numPr>
      <w:tabs>
        <w:tab w:val="num" w:pos="360"/>
      </w:tabs>
      <w:ind w:left="1429" w:hanging="357"/>
    </w:pPr>
  </w:style>
  <w:style w:type="paragraph" w:customStyle="1" w:styleId="Vi4">
    <w:name w:val="Viñ. 4"/>
    <w:basedOn w:val="Vi3"/>
    <w:qFormat/>
    <w:rsid w:val="00344F0A"/>
    <w:pPr>
      <w:numPr>
        <w:ilvl w:val="3"/>
      </w:numPr>
      <w:tabs>
        <w:tab w:val="num" w:pos="360"/>
      </w:tabs>
      <w:ind w:left="1786" w:hanging="357"/>
    </w:pPr>
  </w:style>
  <w:style w:type="paragraph" w:customStyle="1" w:styleId="Vi6tablas">
    <w:name w:val="Viñ. 6 (tablas)"/>
    <w:basedOn w:val="Normal"/>
    <w:rsid w:val="005C657A"/>
    <w:pPr>
      <w:numPr>
        <w:numId w:val="4"/>
      </w:numPr>
      <w:ind w:left="226" w:hanging="113"/>
      <w:jc w:val="left"/>
    </w:pPr>
    <w:rPr>
      <w:bCs/>
      <w:iCs/>
      <w:sz w:val="20"/>
      <w:szCs w:val="20"/>
      <w:lang w:val="es-ES" w:eastAsia="es-ES"/>
    </w:rPr>
  </w:style>
  <w:style w:type="paragraph" w:customStyle="1" w:styleId="Listadereferencias">
    <w:name w:val="Lista de referencias"/>
    <w:basedOn w:val="Normal"/>
    <w:rsid w:val="00EA077C"/>
    <w:pPr>
      <w:ind w:left="567" w:hanging="567"/>
    </w:pPr>
    <w:rPr>
      <w:bCs/>
      <w:iCs/>
      <w:lang w:val="es-ES" w:eastAsia="es-ES"/>
    </w:rPr>
  </w:style>
  <w:style w:type="paragraph" w:customStyle="1" w:styleId="Vi5tablas">
    <w:name w:val="Viñ. 5 (tablas)"/>
    <w:basedOn w:val="Normal"/>
    <w:rsid w:val="00344F0A"/>
    <w:pPr>
      <w:numPr>
        <w:numId w:val="3"/>
      </w:numPr>
      <w:ind w:left="113" w:hanging="113"/>
      <w:jc w:val="left"/>
    </w:pPr>
    <w:rPr>
      <w:bCs/>
      <w:iCs/>
      <w:sz w:val="20"/>
      <w:szCs w:val="20"/>
      <w:lang w:val="es-ES" w:eastAsia="es-ES"/>
    </w:rPr>
  </w:style>
  <w:style w:type="paragraph" w:customStyle="1" w:styleId="T5">
    <w:name w:val="T. 5"/>
    <w:basedOn w:val="T4"/>
    <w:next w:val="Normal"/>
    <w:qFormat/>
    <w:rsid w:val="00EC435F"/>
    <w:pPr>
      <w:numPr>
        <w:ilvl w:val="4"/>
      </w:numPr>
      <w:ind w:left="1559" w:hanging="1559"/>
      <w:outlineLvl w:val="4"/>
    </w:pPr>
  </w:style>
  <w:style w:type="paragraph" w:customStyle="1" w:styleId="T6">
    <w:name w:val="T. 6"/>
    <w:basedOn w:val="Prrafodelista"/>
    <w:next w:val="Normal"/>
    <w:autoRedefine/>
    <w:qFormat/>
    <w:rsid w:val="00984C3F"/>
    <w:pPr>
      <w:numPr>
        <w:ilvl w:val="5"/>
        <w:numId w:val="6"/>
      </w:numPr>
      <w:ind w:left="0" w:firstLine="0"/>
      <w:outlineLvl w:val="5"/>
    </w:pPr>
    <w:rPr>
      <w:b/>
    </w:rPr>
  </w:style>
  <w:style w:type="paragraph" w:styleId="Cita">
    <w:name w:val="Quote"/>
    <w:basedOn w:val="Normal"/>
    <w:next w:val="Normal"/>
    <w:link w:val="CitaCar"/>
    <w:uiPriority w:val="29"/>
    <w:qFormat/>
    <w:rsid w:val="00C36B3E"/>
    <w:pPr>
      <w:ind w:left="1418"/>
    </w:pPr>
    <w:rPr>
      <w:iCs/>
      <w:color w:val="404040" w:themeColor="text1" w:themeTint="BF"/>
    </w:rPr>
  </w:style>
  <w:style w:type="character" w:customStyle="1" w:styleId="CitaCar">
    <w:name w:val="Cita Car"/>
    <w:basedOn w:val="Fuentedeprrafopredeter"/>
    <w:link w:val="Cita"/>
    <w:uiPriority w:val="29"/>
    <w:rsid w:val="00C36B3E"/>
    <w:rPr>
      <w:iCs/>
      <w:color w:val="404040" w:themeColor="text1" w:themeTint="BF"/>
    </w:rPr>
  </w:style>
  <w:style w:type="paragraph" w:styleId="Descripcin">
    <w:name w:val="caption"/>
    <w:basedOn w:val="Normal"/>
    <w:next w:val="Normal"/>
    <w:uiPriority w:val="35"/>
    <w:unhideWhenUsed/>
    <w:rsid w:val="00A54E04"/>
    <w:pPr>
      <w:spacing w:after="200"/>
      <w:jc w:val="center"/>
    </w:pPr>
    <w:rPr>
      <w:b/>
      <w:iCs/>
      <w:szCs w:val="18"/>
    </w:rPr>
  </w:style>
  <w:style w:type="paragraph" w:customStyle="1" w:styleId="TitFiguras">
    <w:name w:val="Tit Figuras"/>
    <w:basedOn w:val="Descripcin"/>
    <w:rsid w:val="00D721AB"/>
    <w:pPr>
      <w:spacing w:after="0"/>
    </w:pPr>
  </w:style>
  <w:style w:type="paragraph" w:styleId="Encabezado">
    <w:name w:val="header"/>
    <w:basedOn w:val="Normal"/>
    <w:link w:val="EncabezadoCar"/>
    <w:uiPriority w:val="99"/>
    <w:unhideWhenUsed/>
    <w:qFormat/>
    <w:rsid w:val="001F5C73"/>
    <w:pPr>
      <w:tabs>
        <w:tab w:val="center" w:pos="4252"/>
        <w:tab w:val="right" w:pos="8504"/>
      </w:tabs>
      <w:jc w:val="left"/>
    </w:pPr>
    <w:rPr>
      <w:sz w:val="20"/>
      <w:szCs w:val="20"/>
      <w:lang w:val="es-ES"/>
    </w:rPr>
  </w:style>
  <w:style w:type="character" w:customStyle="1" w:styleId="EncabezadoCar">
    <w:name w:val="Encabezado Car"/>
    <w:basedOn w:val="Fuentedeprrafopredeter"/>
    <w:link w:val="Encabezado"/>
    <w:uiPriority w:val="99"/>
    <w:rsid w:val="001F5C73"/>
    <w:rPr>
      <w:sz w:val="20"/>
      <w:szCs w:val="20"/>
      <w:lang w:val="es-ES"/>
    </w:rPr>
  </w:style>
  <w:style w:type="paragraph" w:styleId="Piedepgina">
    <w:name w:val="footer"/>
    <w:basedOn w:val="Normal"/>
    <w:link w:val="PiedepginaCar"/>
    <w:uiPriority w:val="99"/>
    <w:unhideWhenUsed/>
    <w:rsid w:val="006671C3"/>
    <w:pPr>
      <w:tabs>
        <w:tab w:val="center" w:pos="4252"/>
        <w:tab w:val="right" w:pos="8504"/>
      </w:tabs>
    </w:pPr>
  </w:style>
  <w:style w:type="character" w:customStyle="1" w:styleId="PiedepginaCar">
    <w:name w:val="Pie de página Car"/>
    <w:basedOn w:val="Fuentedeprrafopredeter"/>
    <w:link w:val="Piedepgina"/>
    <w:uiPriority w:val="99"/>
    <w:rsid w:val="006671C3"/>
  </w:style>
  <w:style w:type="table" w:styleId="Tablaconcuadrcula">
    <w:name w:val="Table Grid"/>
    <w:basedOn w:val="Tablanormal"/>
    <w:uiPriority w:val="39"/>
    <w:rsid w:val="006A5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Francesa">
    <w:name w:val="SangFrancesa"/>
    <w:basedOn w:val="Normal"/>
    <w:link w:val="SangFrancesaCar"/>
    <w:qFormat/>
    <w:rsid w:val="00D732E7"/>
    <w:pPr>
      <w:ind w:left="567" w:hanging="567"/>
    </w:pPr>
  </w:style>
  <w:style w:type="character" w:customStyle="1" w:styleId="SangFrancesaCar">
    <w:name w:val="SangFrancesa Car"/>
    <w:basedOn w:val="Fuentedeprrafopredeter"/>
    <w:link w:val="SangFrancesa"/>
    <w:rsid w:val="00D732E7"/>
  </w:style>
  <w:style w:type="character" w:customStyle="1" w:styleId="Ttulo1Car">
    <w:name w:val="Título 1 Car"/>
    <w:basedOn w:val="Fuentedeprrafopredeter"/>
    <w:link w:val="Ttulo1"/>
    <w:uiPriority w:val="9"/>
    <w:rsid w:val="00E5789D"/>
    <w:rPr>
      <w:rFonts w:asciiTheme="majorHAnsi" w:eastAsiaTheme="majorEastAsia" w:hAnsiTheme="majorHAnsi" w:cstheme="majorBidi"/>
      <w:color w:val="0F4761" w:themeColor="accent1" w:themeShade="BF"/>
      <w:sz w:val="32"/>
      <w:szCs w:val="32"/>
    </w:rPr>
  </w:style>
  <w:style w:type="paragraph" w:styleId="TtuloTDC">
    <w:name w:val="TOC Heading"/>
    <w:basedOn w:val="Ttulo1"/>
    <w:next w:val="Normal"/>
    <w:uiPriority w:val="39"/>
    <w:unhideWhenUsed/>
    <w:qFormat/>
    <w:rsid w:val="00E5789D"/>
    <w:pPr>
      <w:spacing w:line="259" w:lineRule="auto"/>
      <w:contextualSpacing w:val="0"/>
      <w:jc w:val="left"/>
      <w:outlineLvl w:val="9"/>
    </w:pPr>
    <w:rPr>
      <w:lang w:eastAsia="es-ES_tradnl"/>
    </w:rPr>
  </w:style>
  <w:style w:type="paragraph" w:styleId="TDC1">
    <w:name w:val="toc 1"/>
    <w:basedOn w:val="Normal"/>
    <w:next w:val="Normal"/>
    <w:autoRedefine/>
    <w:uiPriority w:val="39"/>
    <w:unhideWhenUsed/>
    <w:rsid w:val="00107E55"/>
    <w:pPr>
      <w:tabs>
        <w:tab w:val="right" w:pos="9356"/>
      </w:tabs>
      <w:ind w:left="709" w:right="454" w:hanging="709"/>
    </w:pPr>
    <w:rPr>
      <w:rFonts w:cstheme="minorHAnsi"/>
      <w:bCs/>
      <w:lang w:val="es-ES" w:eastAsia="es-ES"/>
      <w14:numForm w14:val="lining"/>
    </w:rPr>
  </w:style>
  <w:style w:type="paragraph" w:styleId="TDC2">
    <w:name w:val="toc 2"/>
    <w:basedOn w:val="Normal"/>
    <w:next w:val="Normal"/>
    <w:autoRedefine/>
    <w:uiPriority w:val="39"/>
    <w:unhideWhenUsed/>
    <w:rsid w:val="00107E55"/>
    <w:pPr>
      <w:tabs>
        <w:tab w:val="right" w:pos="9356"/>
      </w:tabs>
      <w:ind w:left="709" w:right="454" w:hanging="709"/>
    </w:pPr>
    <w:rPr>
      <w:rFonts w:cstheme="minorHAnsi"/>
      <w:bCs/>
    </w:rPr>
  </w:style>
  <w:style w:type="paragraph" w:styleId="TDC3">
    <w:name w:val="toc 3"/>
    <w:basedOn w:val="Normal"/>
    <w:next w:val="Normal"/>
    <w:autoRedefine/>
    <w:uiPriority w:val="39"/>
    <w:unhideWhenUsed/>
    <w:rsid w:val="00107E55"/>
    <w:pPr>
      <w:tabs>
        <w:tab w:val="right" w:pos="9356"/>
      </w:tabs>
      <w:ind w:left="709" w:right="454" w:hanging="709"/>
    </w:pPr>
    <w:rPr>
      <w:rFonts w:cstheme="minorHAnsi"/>
    </w:rPr>
  </w:style>
  <w:style w:type="character" w:styleId="Hipervnculo">
    <w:name w:val="Hyperlink"/>
    <w:basedOn w:val="Fuentedeprrafopredeter"/>
    <w:uiPriority w:val="99"/>
    <w:unhideWhenUsed/>
    <w:rsid w:val="00E5789D"/>
    <w:rPr>
      <w:color w:val="467886" w:themeColor="hyperlink"/>
      <w:u w:val="single"/>
    </w:rPr>
  </w:style>
  <w:style w:type="paragraph" w:styleId="TDC4">
    <w:name w:val="toc 4"/>
    <w:basedOn w:val="Normal"/>
    <w:next w:val="Normal"/>
    <w:autoRedefine/>
    <w:uiPriority w:val="39"/>
    <w:unhideWhenUsed/>
    <w:rsid w:val="006B5F4D"/>
    <w:pPr>
      <w:tabs>
        <w:tab w:val="left" w:pos="1134"/>
        <w:tab w:val="left" w:pos="8675"/>
      </w:tabs>
      <w:ind w:right="737"/>
      <w:jc w:val="left"/>
    </w:pPr>
    <w:rPr>
      <w:rFonts w:cstheme="minorHAnsi"/>
      <w:lang w:val="es-ES"/>
    </w:rPr>
  </w:style>
  <w:style w:type="paragraph" w:styleId="TDC5">
    <w:name w:val="toc 5"/>
    <w:basedOn w:val="Normal"/>
    <w:next w:val="Normal"/>
    <w:autoRedefine/>
    <w:uiPriority w:val="39"/>
    <w:unhideWhenUsed/>
    <w:rsid w:val="006B5F4D"/>
    <w:pPr>
      <w:tabs>
        <w:tab w:val="left" w:pos="1134"/>
        <w:tab w:val="left" w:pos="8675"/>
      </w:tabs>
      <w:ind w:left="1134" w:right="737" w:hanging="1134"/>
      <w:jc w:val="left"/>
    </w:pPr>
    <w:rPr>
      <w:rFonts w:cstheme="minorHAnsi"/>
    </w:rPr>
  </w:style>
  <w:style w:type="paragraph" w:styleId="TDC6">
    <w:name w:val="toc 6"/>
    <w:basedOn w:val="Normal"/>
    <w:next w:val="Normal"/>
    <w:autoRedefine/>
    <w:uiPriority w:val="39"/>
    <w:unhideWhenUsed/>
    <w:rsid w:val="00E5789D"/>
    <w:pPr>
      <w:jc w:val="left"/>
    </w:pPr>
    <w:rPr>
      <w:rFonts w:cstheme="minorHAnsi"/>
    </w:rPr>
  </w:style>
  <w:style w:type="paragraph" w:styleId="TDC7">
    <w:name w:val="toc 7"/>
    <w:basedOn w:val="Normal"/>
    <w:next w:val="Normal"/>
    <w:autoRedefine/>
    <w:uiPriority w:val="39"/>
    <w:unhideWhenUsed/>
    <w:rsid w:val="00E5789D"/>
    <w:pPr>
      <w:jc w:val="left"/>
    </w:pPr>
    <w:rPr>
      <w:rFonts w:cstheme="minorHAnsi"/>
    </w:rPr>
  </w:style>
  <w:style w:type="paragraph" w:styleId="TDC8">
    <w:name w:val="toc 8"/>
    <w:basedOn w:val="Normal"/>
    <w:next w:val="Normal"/>
    <w:autoRedefine/>
    <w:uiPriority w:val="39"/>
    <w:unhideWhenUsed/>
    <w:rsid w:val="00E5789D"/>
    <w:pPr>
      <w:jc w:val="left"/>
    </w:pPr>
    <w:rPr>
      <w:rFonts w:cstheme="minorHAnsi"/>
    </w:rPr>
  </w:style>
  <w:style w:type="paragraph" w:styleId="TDC9">
    <w:name w:val="toc 9"/>
    <w:basedOn w:val="Normal"/>
    <w:next w:val="Normal"/>
    <w:autoRedefine/>
    <w:uiPriority w:val="39"/>
    <w:unhideWhenUsed/>
    <w:rsid w:val="00E5789D"/>
    <w:pPr>
      <w:jc w:val="left"/>
    </w:pPr>
    <w:rPr>
      <w:rFonts w:cstheme="minorHAnsi"/>
    </w:rPr>
  </w:style>
  <w:style w:type="paragraph" w:styleId="Tabladeilustraciones">
    <w:name w:val="table of figures"/>
    <w:basedOn w:val="Normal"/>
    <w:next w:val="Normal"/>
    <w:autoRedefine/>
    <w:uiPriority w:val="99"/>
    <w:unhideWhenUsed/>
    <w:rsid w:val="009B1092"/>
    <w:pPr>
      <w:widowControl w:val="0"/>
      <w:tabs>
        <w:tab w:val="right" w:pos="9356"/>
      </w:tabs>
      <w:ind w:left="567" w:right="454" w:hanging="567"/>
    </w:pPr>
    <w:rPr>
      <w:sz w:val="20"/>
    </w:rPr>
  </w:style>
  <w:style w:type="paragraph" w:customStyle="1" w:styleId="Citas">
    <w:name w:val="Citas"/>
    <w:basedOn w:val="SangFrancesa"/>
    <w:link w:val="CitasCar"/>
    <w:qFormat/>
    <w:rsid w:val="00343D2E"/>
    <w:pPr>
      <w:ind w:left="1418" w:firstLine="0"/>
      <w:jc w:val="left"/>
    </w:pPr>
    <w:rPr>
      <w:szCs w:val="20"/>
    </w:rPr>
  </w:style>
  <w:style w:type="character" w:styleId="Textodelmarcadordeposicin">
    <w:name w:val="Placeholder Text"/>
    <w:basedOn w:val="Fuentedeprrafopredeter"/>
    <w:uiPriority w:val="99"/>
    <w:semiHidden/>
    <w:rsid w:val="00506A79"/>
    <w:rPr>
      <w:color w:val="808080"/>
    </w:rPr>
  </w:style>
  <w:style w:type="character" w:customStyle="1" w:styleId="CitasCar">
    <w:name w:val="Citas Car"/>
    <w:basedOn w:val="SangFrancesaCar"/>
    <w:link w:val="Citas"/>
    <w:rsid w:val="00343D2E"/>
    <w:rPr>
      <w:szCs w:val="20"/>
    </w:rPr>
  </w:style>
  <w:style w:type="character" w:customStyle="1" w:styleId="Ttulo2Car">
    <w:name w:val="Título 2 Car"/>
    <w:basedOn w:val="Fuentedeprrafopredeter"/>
    <w:link w:val="Ttulo2"/>
    <w:uiPriority w:val="9"/>
    <w:semiHidden/>
    <w:rsid w:val="009407E0"/>
    <w:rPr>
      <w:rFonts w:asciiTheme="majorHAnsi" w:eastAsiaTheme="majorEastAsia" w:hAnsiTheme="majorHAnsi" w:cstheme="majorBidi"/>
      <w:color w:val="0F4761" w:themeColor="accent1" w:themeShade="BF"/>
      <w:sz w:val="26"/>
      <w:szCs w:val="26"/>
    </w:rPr>
  </w:style>
  <w:style w:type="character" w:customStyle="1" w:styleId="Ttulo3Car">
    <w:name w:val="Título 3 Car"/>
    <w:basedOn w:val="Fuentedeprrafopredeter"/>
    <w:link w:val="Ttulo3"/>
    <w:uiPriority w:val="9"/>
    <w:semiHidden/>
    <w:rsid w:val="009407E0"/>
    <w:rPr>
      <w:rFonts w:asciiTheme="majorHAnsi" w:eastAsiaTheme="majorEastAsia" w:hAnsiTheme="majorHAnsi" w:cstheme="majorBidi"/>
      <w:color w:val="0A2F40" w:themeColor="accent1" w:themeShade="7F"/>
      <w:sz w:val="24"/>
      <w:szCs w:val="24"/>
    </w:rPr>
  </w:style>
  <w:style w:type="character" w:styleId="Refdecomentario">
    <w:name w:val="annotation reference"/>
    <w:basedOn w:val="Fuentedeprrafopredeter"/>
    <w:uiPriority w:val="99"/>
    <w:semiHidden/>
    <w:unhideWhenUsed/>
    <w:rsid w:val="00C36B3E"/>
    <w:rPr>
      <w:sz w:val="16"/>
      <w:szCs w:val="16"/>
    </w:rPr>
  </w:style>
  <w:style w:type="paragraph" w:styleId="Textocomentario">
    <w:name w:val="annotation text"/>
    <w:basedOn w:val="Normal"/>
    <w:link w:val="TextocomentarioCar"/>
    <w:uiPriority w:val="99"/>
    <w:semiHidden/>
    <w:unhideWhenUsed/>
    <w:rsid w:val="00C36B3E"/>
    <w:rPr>
      <w:sz w:val="20"/>
      <w:szCs w:val="20"/>
    </w:rPr>
  </w:style>
  <w:style w:type="character" w:customStyle="1" w:styleId="TextocomentarioCar">
    <w:name w:val="Texto comentario Car"/>
    <w:basedOn w:val="Fuentedeprrafopredeter"/>
    <w:link w:val="Textocomentario"/>
    <w:uiPriority w:val="99"/>
    <w:semiHidden/>
    <w:rsid w:val="00C36B3E"/>
    <w:rPr>
      <w:sz w:val="20"/>
      <w:szCs w:val="20"/>
    </w:rPr>
  </w:style>
  <w:style w:type="paragraph" w:styleId="Asuntodelcomentario">
    <w:name w:val="annotation subject"/>
    <w:basedOn w:val="Textocomentario"/>
    <w:next w:val="Textocomentario"/>
    <w:link w:val="AsuntodelcomentarioCar"/>
    <w:uiPriority w:val="99"/>
    <w:semiHidden/>
    <w:unhideWhenUsed/>
    <w:rsid w:val="00C36B3E"/>
    <w:rPr>
      <w:b/>
      <w:bCs/>
    </w:rPr>
  </w:style>
  <w:style w:type="character" w:customStyle="1" w:styleId="AsuntodelcomentarioCar">
    <w:name w:val="Asunto del comentario Car"/>
    <w:basedOn w:val="TextocomentarioCar"/>
    <w:link w:val="Asuntodelcomentario"/>
    <w:uiPriority w:val="99"/>
    <w:semiHidden/>
    <w:rsid w:val="00C36B3E"/>
    <w:rPr>
      <w:b/>
      <w:bCs/>
      <w:sz w:val="20"/>
      <w:szCs w:val="20"/>
    </w:rPr>
  </w:style>
  <w:style w:type="paragraph" w:styleId="Textodeglobo">
    <w:name w:val="Balloon Text"/>
    <w:basedOn w:val="Normal"/>
    <w:link w:val="TextodegloboCar"/>
    <w:uiPriority w:val="99"/>
    <w:semiHidden/>
    <w:unhideWhenUsed/>
    <w:rsid w:val="00C36B3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6B3E"/>
    <w:rPr>
      <w:rFonts w:ascii="Segoe UI" w:hAnsi="Segoe UI" w:cs="Segoe UI"/>
      <w:sz w:val="18"/>
      <w:szCs w:val="18"/>
    </w:rPr>
  </w:style>
  <w:style w:type="numbering" w:customStyle="1" w:styleId="Estilo1">
    <w:name w:val="Estilo1"/>
    <w:uiPriority w:val="99"/>
    <w:rsid w:val="001E2E2C"/>
    <w:pPr>
      <w:numPr>
        <w:numId w:val="5"/>
      </w:numPr>
    </w:pPr>
  </w:style>
  <w:style w:type="numbering" w:customStyle="1" w:styleId="Estilo2">
    <w:name w:val="Estilo2"/>
    <w:uiPriority w:val="99"/>
    <w:rsid w:val="001E2E2C"/>
    <w:pPr>
      <w:numPr>
        <w:numId w:val="7"/>
      </w:numPr>
    </w:pPr>
  </w:style>
  <w:style w:type="numbering" w:customStyle="1" w:styleId="NEstilo00">
    <w:name w:val="NEstilo0"/>
    <w:uiPriority w:val="99"/>
    <w:rsid w:val="00E3486A"/>
    <w:pPr>
      <w:numPr>
        <w:numId w:val="8"/>
      </w:numPr>
    </w:pPr>
  </w:style>
  <w:style w:type="character" w:customStyle="1" w:styleId="Ttulo4Car">
    <w:name w:val="Título 4 Car"/>
    <w:basedOn w:val="Fuentedeprrafopredeter"/>
    <w:link w:val="Ttulo4"/>
    <w:uiPriority w:val="9"/>
    <w:semiHidden/>
    <w:rsid w:val="00E3486A"/>
    <w:rPr>
      <w:rFonts w:asciiTheme="majorHAnsi" w:eastAsiaTheme="majorEastAsia" w:hAnsiTheme="majorHAnsi" w:cstheme="majorBidi"/>
      <w:i/>
      <w:iCs/>
      <w:color w:val="0F4761" w:themeColor="accent1" w:themeShade="BF"/>
    </w:rPr>
  </w:style>
  <w:style w:type="character" w:customStyle="1" w:styleId="Ttulo5Car">
    <w:name w:val="Título 5 Car"/>
    <w:basedOn w:val="Fuentedeprrafopredeter"/>
    <w:link w:val="Ttulo5"/>
    <w:uiPriority w:val="9"/>
    <w:semiHidden/>
    <w:rsid w:val="00E3486A"/>
    <w:rPr>
      <w:rFonts w:asciiTheme="majorHAnsi" w:eastAsiaTheme="majorEastAsia" w:hAnsiTheme="majorHAnsi" w:cstheme="majorBidi"/>
      <w:color w:val="0F4761" w:themeColor="accent1" w:themeShade="BF"/>
    </w:rPr>
  </w:style>
  <w:style w:type="character" w:customStyle="1" w:styleId="Ttulo6Car">
    <w:name w:val="Título 6 Car"/>
    <w:basedOn w:val="Fuentedeprrafopredeter"/>
    <w:link w:val="Ttulo6"/>
    <w:uiPriority w:val="9"/>
    <w:semiHidden/>
    <w:rsid w:val="00E3486A"/>
    <w:rPr>
      <w:rFonts w:asciiTheme="majorHAnsi" w:eastAsiaTheme="majorEastAsia" w:hAnsiTheme="majorHAnsi" w:cstheme="majorBidi"/>
      <w:color w:val="0A2F40" w:themeColor="accent1" w:themeShade="7F"/>
    </w:rPr>
  </w:style>
  <w:style w:type="character" w:customStyle="1" w:styleId="Ttulo7Car">
    <w:name w:val="Título 7 Car"/>
    <w:basedOn w:val="Fuentedeprrafopredeter"/>
    <w:link w:val="Ttulo7"/>
    <w:uiPriority w:val="9"/>
    <w:semiHidden/>
    <w:rsid w:val="00E3486A"/>
    <w:rPr>
      <w:rFonts w:asciiTheme="majorHAnsi" w:eastAsiaTheme="majorEastAsia" w:hAnsiTheme="majorHAnsi" w:cstheme="majorBidi"/>
      <w:i/>
      <w:iCs/>
      <w:color w:val="0A2F40" w:themeColor="accent1" w:themeShade="7F"/>
    </w:rPr>
  </w:style>
  <w:style w:type="character" w:customStyle="1" w:styleId="Ttulo8Car">
    <w:name w:val="Título 8 Car"/>
    <w:basedOn w:val="Fuentedeprrafopredeter"/>
    <w:link w:val="Ttulo8"/>
    <w:uiPriority w:val="9"/>
    <w:semiHidden/>
    <w:rsid w:val="00E3486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3486A"/>
    <w:rPr>
      <w:rFonts w:asciiTheme="majorHAnsi" w:eastAsiaTheme="majorEastAsia" w:hAnsiTheme="majorHAnsi" w:cstheme="majorBidi"/>
      <w:i/>
      <w:iCs/>
      <w:color w:val="272727" w:themeColor="text1" w:themeTint="D8"/>
      <w:sz w:val="21"/>
      <w:szCs w:val="21"/>
    </w:rPr>
  </w:style>
  <w:style w:type="numbering" w:customStyle="1" w:styleId="NEstilo1">
    <w:name w:val="NEstilo1"/>
    <w:uiPriority w:val="99"/>
    <w:rsid w:val="006C2F9A"/>
    <w:pPr>
      <w:numPr>
        <w:numId w:val="10"/>
      </w:numPr>
    </w:pPr>
  </w:style>
  <w:style w:type="numbering" w:customStyle="1" w:styleId="Nestilo0">
    <w:name w:val="Nestilo0"/>
    <w:uiPriority w:val="99"/>
    <w:rsid w:val="006C2F9A"/>
    <w:pPr>
      <w:numPr>
        <w:numId w:val="11"/>
      </w:numPr>
    </w:pPr>
  </w:style>
  <w:style w:type="numbering" w:customStyle="1" w:styleId="ManualEstilo1">
    <w:name w:val="ManualEstilo1"/>
    <w:uiPriority w:val="99"/>
    <w:rsid w:val="006C2F9A"/>
    <w:pPr>
      <w:numPr>
        <w:numId w:val="12"/>
      </w:numPr>
    </w:pPr>
  </w:style>
  <w:style w:type="numbering" w:customStyle="1" w:styleId="ManualEstilo2">
    <w:name w:val="ManualEstilo2"/>
    <w:uiPriority w:val="99"/>
    <w:rsid w:val="006C2F9A"/>
    <w:pPr>
      <w:numPr>
        <w:numId w:val="13"/>
      </w:numPr>
    </w:pPr>
  </w:style>
  <w:style w:type="paragraph" w:customStyle="1" w:styleId="EstiloTituloGeneral">
    <w:name w:val="EstiloTituloGeneral"/>
    <w:basedOn w:val="Normal"/>
    <w:link w:val="EstiloTituloGeneralCar"/>
    <w:autoRedefine/>
    <w:rsid w:val="00B54AB4"/>
    <w:pPr>
      <w:tabs>
        <w:tab w:val="left" w:pos="8675"/>
      </w:tabs>
      <w:contextualSpacing w:val="0"/>
      <w:jc w:val="center"/>
    </w:pPr>
    <w:rPr>
      <w:b/>
      <w:sz w:val="28"/>
      <w:lang w:val="es-ES" w:eastAsia="es-ES"/>
    </w:rPr>
  </w:style>
  <w:style w:type="character" w:customStyle="1" w:styleId="EstiloTituloGeneralCar">
    <w:name w:val="EstiloTituloGeneral Car"/>
    <w:basedOn w:val="Fuentedeprrafopredeter"/>
    <w:link w:val="EstiloTituloGeneral"/>
    <w:rsid w:val="00B54AB4"/>
    <w:rPr>
      <w:b/>
      <w:sz w:val="28"/>
      <w:lang w:val="es-ES" w:eastAsia="es-ES"/>
    </w:rPr>
  </w:style>
  <w:style w:type="paragraph" w:customStyle="1" w:styleId="TG">
    <w:name w:val="T. G"/>
    <w:basedOn w:val="Normal"/>
    <w:link w:val="TGCar"/>
    <w:qFormat/>
    <w:rsid w:val="007718FA"/>
    <w:pPr>
      <w:jc w:val="center"/>
    </w:pPr>
    <w:rPr>
      <w:rFonts w:cs="Calibri"/>
      <w:b/>
      <w:sz w:val="28"/>
      <w:szCs w:val="28"/>
    </w:rPr>
  </w:style>
  <w:style w:type="character" w:customStyle="1" w:styleId="TGCar">
    <w:name w:val="T. G Car"/>
    <w:basedOn w:val="Fuentedeprrafopredeter"/>
    <w:link w:val="TG"/>
    <w:rsid w:val="007718FA"/>
    <w:rPr>
      <w:rFonts w:ascii="Calibri" w:hAnsi="Calibri" w:cs="Calibri"/>
      <w:b/>
      <w:sz w:val="28"/>
      <w:szCs w:val="28"/>
    </w:rPr>
  </w:style>
  <w:style w:type="paragraph" w:styleId="Textonotapie">
    <w:name w:val="footnote text"/>
    <w:basedOn w:val="Normal"/>
    <w:link w:val="TextonotapieCar"/>
    <w:uiPriority w:val="99"/>
    <w:semiHidden/>
    <w:unhideWhenUsed/>
    <w:rsid w:val="00172701"/>
    <w:rPr>
      <w:sz w:val="20"/>
      <w:szCs w:val="20"/>
    </w:rPr>
  </w:style>
  <w:style w:type="character" w:customStyle="1" w:styleId="TextonotapieCar">
    <w:name w:val="Texto nota pie Car"/>
    <w:basedOn w:val="Fuentedeprrafopredeter"/>
    <w:link w:val="Textonotapie"/>
    <w:uiPriority w:val="99"/>
    <w:semiHidden/>
    <w:rsid w:val="00172701"/>
    <w:rPr>
      <w:sz w:val="20"/>
      <w:szCs w:val="20"/>
    </w:rPr>
  </w:style>
  <w:style w:type="character" w:styleId="Refdenotaalpie">
    <w:name w:val="footnote reference"/>
    <w:basedOn w:val="Fuentedeprrafopredeter"/>
    <w:uiPriority w:val="99"/>
    <w:semiHidden/>
    <w:unhideWhenUsed/>
    <w:rsid w:val="00172701"/>
    <w:rPr>
      <w:vertAlign w:val="superscript"/>
    </w:rPr>
  </w:style>
  <w:style w:type="paragraph" w:styleId="Textonotaalfinal">
    <w:name w:val="endnote text"/>
    <w:basedOn w:val="Normal"/>
    <w:link w:val="TextonotaalfinalCar"/>
    <w:uiPriority w:val="99"/>
    <w:semiHidden/>
    <w:unhideWhenUsed/>
    <w:rsid w:val="00172701"/>
    <w:rPr>
      <w:sz w:val="20"/>
      <w:szCs w:val="20"/>
    </w:rPr>
  </w:style>
  <w:style w:type="character" w:customStyle="1" w:styleId="TextonotaalfinalCar">
    <w:name w:val="Texto nota al final Car"/>
    <w:basedOn w:val="Fuentedeprrafopredeter"/>
    <w:link w:val="Textonotaalfinal"/>
    <w:uiPriority w:val="99"/>
    <w:semiHidden/>
    <w:rsid w:val="00172701"/>
    <w:rPr>
      <w:sz w:val="20"/>
      <w:szCs w:val="20"/>
    </w:rPr>
  </w:style>
  <w:style w:type="character" w:styleId="Refdenotaalfinal">
    <w:name w:val="endnote reference"/>
    <w:basedOn w:val="Fuentedeprrafopredeter"/>
    <w:uiPriority w:val="99"/>
    <w:semiHidden/>
    <w:unhideWhenUsed/>
    <w:rsid w:val="00172701"/>
    <w:rPr>
      <w:vertAlign w:val="superscript"/>
    </w:rPr>
  </w:style>
  <w:style w:type="paragraph" w:customStyle="1" w:styleId="Notas">
    <w:name w:val="Notas"/>
    <w:basedOn w:val="Normal"/>
    <w:qFormat/>
    <w:rsid w:val="002D5D2B"/>
    <w:rPr>
      <w:sz w:val="20"/>
      <w:lang w:val="es-ES" w:eastAsia="es-ES"/>
    </w:rPr>
  </w:style>
  <w:style w:type="paragraph" w:customStyle="1" w:styleId="Referencias">
    <w:name w:val="Referencias"/>
    <w:basedOn w:val="Normal"/>
    <w:qFormat/>
    <w:rsid w:val="002A70CF"/>
    <w:pPr>
      <w:widowControl w:val="0"/>
      <w:autoSpaceDE w:val="0"/>
      <w:autoSpaceDN w:val="0"/>
      <w:adjustRightInd w:val="0"/>
      <w:spacing w:after="160"/>
      <w:ind w:left="482" w:hanging="482"/>
      <w:contextualSpacing w:val="0"/>
    </w:pPr>
    <w:rPr>
      <w:rFonts w:cs="Times New Roman"/>
      <w:noProof/>
      <w:szCs w:val="24"/>
    </w:rPr>
  </w:style>
  <w:style w:type="paragraph" w:customStyle="1" w:styleId="T1A">
    <w:name w:val="T. 1A"/>
    <w:basedOn w:val="Prrafodelista"/>
    <w:next w:val="Normal"/>
    <w:rsid w:val="007E6C11"/>
    <w:pPr>
      <w:numPr>
        <w:numId w:val="15"/>
      </w:numPr>
      <w:tabs>
        <w:tab w:val="num" w:pos="360"/>
      </w:tabs>
      <w:ind w:left="567" w:hanging="567"/>
      <w:jc w:val="left"/>
      <w:outlineLvl w:val="0"/>
    </w:pPr>
    <w:rPr>
      <w:b/>
      <w:bCs/>
      <w:iCs/>
      <w:sz w:val="28"/>
      <w:szCs w:val="28"/>
      <w:lang w:val="es-ES" w:eastAsia="es-ES"/>
    </w:rPr>
  </w:style>
  <w:style w:type="paragraph" w:customStyle="1" w:styleId="T2A">
    <w:name w:val="T. 2A"/>
    <w:basedOn w:val="Prrafodelista"/>
    <w:next w:val="Normal"/>
    <w:rsid w:val="007E6C11"/>
    <w:pPr>
      <w:numPr>
        <w:ilvl w:val="1"/>
        <w:numId w:val="15"/>
      </w:numPr>
      <w:tabs>
        <w:tab w:val="num" w:pos="360"/>
      </w:tabs>
      <w:ind w:left="709" w:hanging="709"/>
      <w:jc w:val="left"/>
      <w:outlineLvl w:val="1"/>
    </w:pPr>
    <w:rPr>
      <w:b/>
      <w:bCs/>
      <w:iCs/>
      <w:szCs w:val="28"/>
      <w:lang w:val="es-ES" w:eastAsia="es-ES"/>
    </w:rPr>
  </w:style>
  <w:style w:type="paragraph" w:customStyle="1" w:styleId="T3A">
    <w:name w:val="T. 3A"/>
    <w:basedOn w:val="T2A"/>
    <w:next w:val="Normal"/>
    <w:rsid w:val="007E6C11"/>
    <w:pPr>
      <w:numPr>
        <w:ilvl w:val="2"/>
      </w:numPr>
      <w:tabs>
        <w:tab w:val="num" w:pos="360"/>
      </w:tabs>
      <w:ind w:left="992" w:hanging="992"/>
      <w:outlineLvl w:val="2"/>
    </w:pPr>
  </w:style>
  <w:style w:type="paragraph" w:customStyle="1" w:styleId="T4A">
    <w:name w:val="T. 4A"/>
    <w:basedOn w:val="T3A"/>
    <w:next w:val="Normal"/>
    <w:rsid w:val="007E6C11"/>
    <w:pPr>
      <w:numPr>
        <w:ilvl w:val="3"/>
      </w:numPr>
      <w:tabs>
        <w:tab w:val="num" w:pos="360"/>
      </w:tabs>
      <w:ind w:left="1276" w:hanging="1276"/>
      <w:outlineLvl w:val="3"/>
    </w:pPr>
  </w:style>
  <w:style w:type="paragraph" w:customStyle="1" w:styleId="T7A">
    <w:name w:val="T. 7A"/>
    <w:basedOn w:val="Normal"/>
    <w:next w:val="Normal"/>
    <w:autoRedefine/>
    <w:rsid w:val="007E6C11"/>
    <w:pPr>
      <w:tabs>
        <w:tab w:val="num" w:pos="360"/>
      </w:tabs>
      <w:ind w:left="357" w:hanging="357"/>
      <w:jc w:val="left"/>
      <w:outlineLvl w:val="6"/>
    </w:pPr>
    <w:rPr>
      <w:rFonts w:eastAsia="Times New Roman" w:cs="Calibri"/>
      <w:b/>
      <w:color w:val="000000"/>
      <w:szCs w:val="16"/>
      <w:lang w:val="es-ES" w:eastAsia="es-ES"/>
    </w:rPr>
  </w:style>
  <w:style w:type="paragraph" w:customStyle="1" w:styleId="T5A">
    <w:name w:val="T. 5A"/>
    <w:basedOn w:val="Prrafodelista"/>
    <w:next w:val="Normal"/>
    <w:rsid w:val="007E6C11"/>
    <w:pPr>
      <w:numPr>
        <w:ilvl w:val="4"/>
        <w:numId w:val="16"/>
      </w:numPr>
      <w:tabs>
        <w:tab w:val="num" w:pos="360"/>
      </w:tabs>
      <w:ind w:left="1559" w:hanging="1559"/>
      <w:jc w:val="left"/>
      <w:outlineLvl w:val="4"/>
    </w:pPr>
    <w:rPr>
      <w:b/>
    </w:rPr>
  </w:style>
  <w:style w:type="paragraph" w:styleId="Ttulo">
    <w:name w:val="Title"/>
    <w:basedOn w:val="Normal"/>
    <w:next w:val="Normal"/>
    <w:link w:val="TtuloCar"/>
    <w:uiPriority w:val="10"/>
    <w:rsid w:val="00641A94"/>
    <w:pPr>
      <w:spacing w:after="80"/>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41A9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rsid w:val="00641A9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41A94"/>
    <w:rPr>
      <w:rFonts w:asciiTheme="minorHAnsi" w:eastAsiaTheme="majorEastAsia" w:hAnsiTheme="minorHAnsi" w:cstheme="majorBidi"/>
      <w:color w:val="595959" w:themeColor="text1" w:themeTint="A6"/>
      <w:spacing w:val="15"/>
      <w:sz w:val="28"/>
      <w:szCs w:val="28"/>
    </w:rPr>
  </w:style>
  <w:style w:type="character" w:styleId="nfasisintenso">
    <w:name w:val="Intense Emphasis"/>
    <w:basedOn w:val="Fuentedeprrafopredeter"/>
    <w:uiPriority w:val="21"/>
    <w:rsid w:val="00641A94"/>
    <w:rPr>
      <w:i/>
      <w:iCs/>
      <w:color w:val="0F4761" w:themeColor="accent1" w:themeShade="BF"/>
    </w:rPr>
  </w:style>
  <w:style w:type="paragraph" w:styleId="Citadestacada">
    <w:name w:val="Intense Quote"/>
    <w:basedOn w:val="Normal"/>
    <w:next w:val="Normal"/>
    <w:link w:val="CitadestacadaCar"/>
    <w:uiPriority w:val="30"/>
    <w:rsid w:val="00641A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41A94"/>
    <w:rPr>
      <w:i/>
      <w:iCs/>
      <w:color w:val="0F4761" w:themeColor="accent1" w:themeShade="BF"/>
    </w:rPr>
  </w:style>
  <w:style w:type="character" w:styleId="Referenciaintensa">
    <w:name w:val="Intense Reference"/>
    <w:basedOn w:val="Fuentedeprrafopredeter"/>
    <w:uiPriority w:val="32"/>
    <w:rsid w:val="00641A94"/>
    <w:rPr>
      <w:b/>
      <w:bCs/>
      <w:smallCaps/>
      <w:color w:val="0F4761" w:themeColor="accent1" w:themeShade="BF"/>
      <w:spacing w:val="5"/>
    </w:rPr>
  </w:style>
  <w:style w:type="paragraph" w:styleId="NormalWeb">
    <w:name w:val="Normal (Web)"/>
    <w:basedOn w:val="Normal"/>
    <w:uiPriority w:val="99"/>
    <w:semiHidden/>
    <w:unhideWhenUsed/>
    <w:rsid w:val="00641A94"/>
    <w:pPr>
      <w:spacing w:before="100" w:beforeAutospacing="1" w:after="100" w:afterAutospacing="1"/>
      <w:contextualSpacing w:val="0"/>
      <w:jc w:val="left"/>
    </w:pPr>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150020">
      <w:bodyDiv w:val="1"/>
      <w:marLeft w:val="0"/>
      <w:marRight w:val="0"/>
      <w:marTop w:val="0"/>
      <w:marBottom w:val="0"/>
      <w:divBdr>
        <w:top w:val="none" w:sz="0" w:space="0" w:color="auto"/>
        <w:left w:val="none" w:sz="0" w:space="0" w:color="auto"/>
        <w:bottom w:val="none" w:sz="0" w:space="0" w:color="auto"/>
        <w:right w:val="none" w:sz="0" w:space="0" w:color="auto"/>
      </w:divBdr>
    </w:div>
    <w:div w:id="1226722677">
      <w:bodyDiv w:val="1"/>
      <w:marLeft w:val="0"/>
      <w:marRight w:val="0"/>
      <w:marTop w:val="0"/>
      <w:marBottom w:val="0"/>
      <w:divBdr>
        <w:top w:val="none" w:sz="0" w:space="0" w:color="auto"/>
        <w:left w:val="none" w:sz="0" w:space="0" w:color="auto"/>
        <w:bottom w:val="none" w:sz="0" w:space="0" w:color="auto"/>
        <w:right w:val="none" w:sz="0" w:space="0" w:color="auto"/>
      </w:divBdr>
    </w:div>
    <w:div w:id="1813714742">
      <w:bodyDiv w:val="1"/>
      <w:marLeft w:val="0"/>
      <w:marRight w:val="0"/>
      <w:marTop w:val="0"/>
      <w:marBottom w:val="0"/>
      <w:divBdr>
        <w:top w:val="none" w:sz="0" w:space="0" w:color="auto"/>
        <w:left w:val="none" w:sz="0" w:space="0" w:color="auto"/>
        <w:bottom w:val="none" w:sz="0" w:space="0" w:color="auto"/>
        <w:right w:val="none" w:sz="0" w:space="0" w:color="auto"/>
      </w:divBdr>
    </w:div>
    <w:div w:id="2018338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ecs.2007.10.00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5194/nhess-18-2161-2018"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FF1DB-7C33-44D6-97F0-D270C23B6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3159</Words>
  <Characters>17376</Characters>
  <Application>Microsoft Office Word</Application>
  <DocSecurity>0</DocSecurity>
  <Lines>144</Lines>
  <Paragraphs>40</Paragraphs>
  <ScaleCrop>false</ScaleCrop>
  <Company/>
  <LinksUpToDate>false</LinksUpToDate>
  <CharactersWithSpaces>20495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Montaño</dc:creator>
  <cp:keywords/>
  <dc:description/>
  <cp:lastModifiedBy>Catalina Montaño</cp:lastModifiedBy>
  <cp:revision>1</cp:revision>
  <cp:lastPrinted>2022-03-31T16:01:00Z</cp:lastPrinted>
  <dcterms:created xsi:type="dcterms:W3CDTF">2026-02-18T16:13:00Z</dcterms:created>
  <dcterms:modified xsi:type="dcterms:W3CDTF">2026-02-18T16:14:00Z</dcterms:modified>
</cp:coreProperties>
</file>