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6C9BE" w14:textId="77777777" w:rsidR="00764BC9" w:rsidRPr="00373BA1" w:rsidRDefault="00764BC9" w:rsidP="00764BC9">
      <w:pPr>
        <w:spacing w:after="0" w:line="276" w:lineRule="auto"/>
        <w:jc w:val="center"/>
        <w:rPr>
          <w:rFonts w:ascii="Arial Narrow" w:hAnsi="Arial Narrow" w:cs="Times New Roman"/>
          <w:sz w:val="28"/>
          <w:lang w:val="es-ES_tradnl"/>
        </w:rPr>
      </w:pPr>
      <w:r w:rsidRPr="00373BA1">
        <w:rPr>
          <w:rFonts w:ascii="Arial Narrow" w:hAnsi="Arial Narrow" w:cs="Times New Roman"/>
          <w:sz w:val="28"/>
          <w:lang w:val="es-ES_tradnl"/>
        </w:rPr>
        <w:t>Universidad Nacional de Colombia</w:t>
      </w:r>
    </w:p>
    <w:p w14:paraId="59363325" w14:textId="77777777" w:rsidR="00764BC9" w:rsidRPr="00373BA1" w:rsidRDefault="00764BC9" w:rsidP="00764BC9">
      <w:pPr>
        <w:spacing w:after="0" w:line="276" w:lineRule="auto"/>
        <w:jc w:val="center"/>
        <w:rPr>
          <w:rFonts w:ascii="Arial Narrow" w:hAnsi="Arial Narrow" w:cs="Times New Roman"/>
          <w:sz w:val="28"/>
          <w:lang w:val="es-ES_tradnl"/>
        </w:rPr>
      </w:pPr>
      <w:r w:rsidRPr="00373BA1">
        <w:rPr>
          <w:rFonts w:ascii="Arial Narrow" w:hAnsi="Arial Narrow" w:cs="Times New Roman"/>
          <w:sz w:val="28"/>
          <w:lang w:val="es-ES_tradnl"/>
        </w:rPr>
        <w:t>Bogotá D.C.</w:t>
      </w:r>
    </w:p>
    <w:p w14:paraId="0F550A54" w14:textId="77777777" w:rsidR="00764BC9" w:rsidRPr="00373BA1" w:rsidRDefault="00764BC9" w:rsidP="00764BC9">
      <w:pPr>
        <w:spacing w:after="0" w:line="276" w:lineRule="auto"/>
        <w:jc w:val="center"/>
        <w:rPr>
          <w:rFonts w:ascii="Arial Narrow" w:hAnsi="Arial Narrow" w:cs="Times New Roman"/>
          <w:sz w:val="28"/>
          <w:lang w:val="es-ES_tradnl"/>
        </w:rPr>
      </w:pPr>
      <w:r w:rsidRPr="00373BA1">
        <w:rPr>
          <w:rFonts w:ascii="Arial Narrow" w:hAnsi="Arial Narrow" w:cs="Times New Roman"/>
          <w:sz w:val="28"/>
          <w:lang w:val="es-ES_tradnl"/>
        </w:rPr>
        <w:t xml:space="preserve">Facultad de Ingeniería </w:t>
      </w:r>
    </w:p>
    <w:p w14:paraId="4C7A03F8" w14:textId="77777777" w:rsidR="00764BC9" w:rsidRPr="00373BA1" w:rsidRDefault="00764BC9" w:rsidP="00764BC9">
      <w:pPr>
        <w:spacing w:after="0" w:line="276" w:lineRule="auto"/>
        <w:jc w:val="center"/>
        <w:rPr>
          <w:rFonts w:ascii="Arial Narrow" w:hAnsi="Arial Narrow" w:cs="Times New Roman"/>
          <w:sz w:val="28"/>
          <w:lang w:val="es-ES_tradnl"/>
        </w:rPr>
      </w:pPr>
      <w:r w:rsidRPr="00373BA1">
        <w:rPr>
          <w:rFonts w:ascii="Arial Narrow" w:hAnsi="Arial Narrow" w:cs="Times New Roman"/>
          <w:sz w:val="28"/>
          <w:lang w:val="es-ES_tradnl"/>
        </w:rPr>
        <w:t>Concurso Perfil TC2</w:t>
      </w:r>
    </w:p>
    <w:p w14:paraId="7FF7178F" w14:textId="77777777" w:rsidR="00764BC9" w:rsidRPr="00373BA1" w:rsidRDefault="00764BC9" w:rsidP="00764BC9">
      <w:pPr>
        <w:spacing w:after="0" w:line="276" w:lineRule="auto"/>
        <w:jc w:val="center"/>
        <w:rPr>
          <w:rFonts w:ascii="Arial Narrow" w:hAnsi="Arial Narrow" w:cs="Times New Roman"/>
          <w:sz w:val="28"/>
          <w:lang w:val="es-ES_tradnl"/>
        </w:rPr>
      </w:pPr>
      <w:r w:rsidRPr="00373BA1">
        <w:rPr>
          <w:rFonts w:ascii="Arial Narrow" w:hAnsi="Arial Narrow" w:cs="Times New Roman"/>
          <w:sz w:val="28"/>
          <w:lang w:val="es-ES_tradnl"/>
        </w:rPr>
        <w:t>2024</w:t>
      </w:r>
    </w:p>
    <w:p w14:paraId="454FBA51" w14:textId="77777777" w:rsidR="00764BC9" w:rsidRPr="000F60B8" w:rsidRDefault="00764BC9" w:rsidP="00764BC9">
      <w:pPr>
        <w:spacing w:line="276" w:lineRule="auto"/>
        <w:jc w:val="center"/>
        <w:rPr>
          <w:rFonts w:ascii="Times New Roman" w:hAnsi="Times New Roman" w:cs="Times New Roman"/>
          <w:sz w:val="28"/>
          <w:lang w:val="es-ES_tradnl"/>
        </w:rPr>
      </w:pPr>
    </w:p>
    <w:p w14:paraId="1EAB8886" w14:textId="77777777" w:rsidR="00764BC9" w:rsidRPr="000F60B8" w:rsidRDefault="00764BC9" w:rsidP="00764BC9">
      <w:pPr>
        <w:spacing w:line="360" w:lineRule="auto"/>
        <w:jc w:val="center"/>
        <w:rPr>
          <w:rFonts w:ascii="Times New Roman" w:hAnsi="Times New Roman" w:cs="Times New Roman"/>
          <w:sz w:val="28"/>
          <w:lang w:val="es-ES_tradnl"/>
        </w:rPr>
      </w:pPr>
    </w:p>
    <w:p w14:paraId="35A14104" w14:textId="77777777" w:rsidR="00764BC9" w:rsidRPr="000F60B8" w:rsidRDefault="00764BC9" w:rsidP="00764BC9">
      <w:pPr>
        <w:spacing w:line="360" w:lineRule="auto"/>
        <w:jc w:val="center"/>
        <w:rPr>
          <w:rFonts w:ascii="Times New Roman" w:hAnsi="Times New Roman" w:cs="Times New Roman"/>
          <w:sz w:val="28"/>
          <w:lang w:val="es-ES_tradnl"/>
        </w:rPr>
      </w:pPr>
    </w:p>
    <w:p w14:paraId="0648031C" w14:textId="77777777" w:rsidR="00764BC9" w:rsidRPr="000F60B8" w:rsidRDefault="00764BC9" w:rsidP="00764BC9">
      <w:pPr>
        <w:spacing w:line="360" w:lineRule="auto"/>
        <w:jc w:val="center"/>
        <w:rPr>
          <w:rFonts w:ascii="Times New Roman" w:hAnsi="Times New Roman" w:cs="Times New Roman"/>
          <w:sz w:val="28"/>
          <w:lang w:val="es-ES_tradnl"/>
        </w:rPr>
      </w:pPr>
    </w:p>
    <w:p w14:paraId="13ABF5AF" w14:textId="77777777" w:rsidR="00764BC9" w:rsidRPr="000F60B8" w:rsidRDefault="00764BC9" w:rsidP="00764BC9">
      <w:pPr>
        <w:spacing w:line="360" w:lineRule="auto"/>
        <w:jc w:val="center"/>
        <w:rPr>
          <w:rFonts w:ascii="Times New Roman" w:hAnsi="Times New Roman" w:cs="Times New Roman"/>
          <w:sz w:val="28"/>
          <w:lang w:val="es-ES_tradnl"/>
        </w:rPr>
      </w:pPr>
    </w:p>
    <w:p w14:paraId="46FCEA01" w14:textId="77777777" w:rsidR="00764BC9" w:rsidRPr="000F60B8" w:rsidRDefault="00764BC9" w:rsidP="00764BC9">
      <w:pPr>
        <w:spacing w:line="360" w:lineRule="auto"/>
        <w:jc w:val="center"/>
        <w:rPr>
          <w:rFonts w:ascii="Times New Roman" w:hAnsi="Times New Roman" w:cs="Times New Roman"/>
          <w:sz w:val="28"/>
          <w:lang w:val="es-ES_tradnl"/>
        </w:rPr>
      </w:pPr>
    </w:p>
    <w:p w14:paraId="6FAA0160" w14:textId="77777777" w:rsidR="00764BC9" w:rsidRPr="000F60B8" w:rsidRDefault="00764BC9" w:rsidP="00764BC9">
      <w:pPr>
        <w:spacing w:line="360" w:lineRule="auto"/>
        <w:jc w:val="center"/>
        <w:rPr>
          <w:rFonts w:ascii="Times New Roman" w:hAnsi="Times New Roman" w:cs="Times New Roman"/>
          <w:sz w:val="28"/>
          <w:lang w:val="es-ES_tradnl"/>
        </w:rPr>
      </w:pPr>
    </w:p>
    <w:p w14:paraId="6803B7FC" w14:textId="77777777" w:rsidR="00764BC9" w:rsidRPr="006E3561" w:rsidRDefault="00764BC9" w:rsidP="00764BC9">
      <w:pPr>
        <w:spacing w:line="360" w:lineRule="auto"/>
        <w:jc w:val="center"/>
        <w:rPr>
          <w:rFonts w:ascii="Arial Narrow" w:hAnsi="Arial Narrow" w:cs="Times New Roman"/>
          <w:sz w:val="28"/>
          <w:lang w:val="es-ES_tradnl"/>
        </w:rPr>
      </w:pPr>
      <w:r w:rsidRPr="006E3561">
        <w:rPr>
          <w:rFonts w:ascii="Arial Narrow" w:hAnsi="Arial Narrow" w:cs="Times New Roman"/>
          <w:sz w:val="28"/>
          <w:lang w:val="es-ES_tradnl"/>
        </w:rPr>
        <w:t xml:space="preserve">Ensayo que presenta el plan estratégico de trabajo académico e investigativo en Poscosecha y </w:t>
      </w:r>
      <w:bookmarkStart w:id="0" w:name="_Hlk177372994"/>
      <w:r w:rsidRPr="006E3561">
        <w:rPr>
          <w:rFonts w:ascii="Arial Narrow" w:hAnsi="Arial Narrow" w:cs="Times New Roman"/>
          <w:sz w:val="28"/>
          <w:lang w:val="es-ES_tradnl"/>
        </w:rPr>
        <w:t xml:space="preserve">Agroindustria de productos agrícolas </w:t>
      </w:r>
      <w:bookmarkEnd w:id="0"/>
    </w:p>
    <w:p w14:paraId="71B61EFA" w14:textId="77777777" w:rsidR="00764BC9" w:rsidRPr="000F60B8" w:rsidRDefault="00764BC9" w:rsidP="00764BC9">
      <w:pPr>
        <w:spacing w:line="360" w:lineRule="auto"/>
        <w:jc w:val="center"/>
        <w:rPr>
          <w:rFonts w:ascii="Times New Roman" w:hAnsi="Times New Roman" w:cs="Times New Roman"/>
          <w:sz w:val="28"/>
          <w:lang w:val="es-ES_tradnl"/>
        </w:rPr>
      </w:pPr>
    </w:p>
    <w:p w14:paraId="72CF5441" w14:textId="77777777" w:rsidR="00764BC9" w:rsidRDefault="00764BC9" w:rsidP="00764BC9">
      <w:pPr>
        <w:spacing w:line="360" w:lineRule="auto"/>
        <w:jc w:val="center"/>
        <w:rPr>
          <w:rFonts w:ascii="Times New Roman" w:hAnsi="Times New Roman" w:cs="Times New Roman"/>
          <w:sz w:val="28"/>
          <w:lang w:val="es-ES_tradnl"/>
        </w:rPr>
      </w:pPr>
    </w:p>
    <w:p w14:paraId="16E03023" w14:textId="77777777" w:rsidR="00764BC9" w:rsidRDefault="00764BC9" w:rsidP="00764BC9">
      <w:pPr>
        <w:spacing w:line="360" w:lineRule="auto"/>
        <w:jc w:val="center"/>
        <w:rPr>
          <w:rFonts w:ascii="Times New Roman" w:hAnsi="Times New Roman" w:cs="Times New Roman"/>
          <w:sz w:val="28"/>
          <w:lang w:val="es-ES_tradnl"/>
        </w:rPr>
      </w:pPr>
    </w:p>
    <w:p w14:paraId="31A35F32" w14:textId="77777777" w:rsidR="00764BC9" w:rsidRDefault="00764BC9" w:rsidP="00764BC9">
      <w:pPr>
        <w:spacing w:line="360" w:lineRule="auto"/>
        <w:jc w:val="center"/>
        <w:rPr>
          <w:rFonts w:ascii="Times New Roman" w:hAnsi="Times New Roman" w:cs="Times New Roman"/>
          <w:sz w:val="28"/>
          <w:lang w:val="es-ES_tradnl"/>
        </w:rPr>
      </w:pPr>
    </w:p>
    <w:p w14:paraId="6387C8A5" w14:textId="77777777" w:rsidR="00764BC9" w:rsidRDefault="00764BC9" w:rsidP="00764BC9">
      <w:pPr>
        <w:spacing w:line="360" w:lineRule="auto"/>
        <w:jc w:val="center"/>
        <w:rPr>
          <w:rFonts w:ascii="Times New Roman" w:hAnsi="Times New Roman" w:cs="Times New Roman"/>
          <w:sz w:val="28"/>
          <w:lang w:val="es-ES_tradnl"/>
        </w:rPr>
      </w:pPr>
    </w:p>
    <w:p w14:paraId="6B2946B8" w14:textId="77777777" w:rsidR="00764BC9" w:rsidRPr="000F60B8" w:rsidRDefault="00764BC9" w:rsidP="00764BC9">
      <w:pPr>
        <w:spacing w:line="360" w:lineRule="auto"/>
        <w:jc w:val="center"/>
        <w:rPr>
          <w:rFonts w:ascii="Times New Roman" w:hAnsi="Times New Roman" w:cs="Times New Roman"/>
          <w:sz w:val="28"/>
          <w:lang w:val="es-ES_tradnl"/>
        </w:rPr>
      </w:pPr>
    </w:p>
    <w:p w14:paraId="298AE673" w14:textId="77777777" w:rsidR="00764BC9" w:rsidRPr="006E3561" w:rsidRDefault="00764BC9" w:rsidP="00764BC9">
      <w:pPr>
        <w:spacing w:line="276" w:lineRule="auto"/>
        <w:jc w:val="center"/>
        <w:rPr>
          <w:rFonts w:ascii="Arial Narrow" w:hAnsi="Arial Narrow" w:cs="Times New Roman"/>
          <w:sz w:val="28"/>
          <w:lang w:val="es-ES_tradnl"/>
        </w:rPr>
      </w:pPr>
      <w:r w:rsidRPr="006E3561">
        <w:rPr>
          <w:rFonts w:ascii="Arial Narrow" w:hAnsi="Arial Narrow" w:cs="Times New Roman"/>
          <w:sz w:val="28"/>
          <w:lang w:val="es-ES_tradnl"/>
        </w:rPr>
        <w:t>Aspirante:</w:t>
      </w:r>
    </w:p>
    <w:p w14:paraId="50B788F1" w14:textId="77777777" w:rsidR="00764BC9" w:rsidRPr="006E3561" w:rsidRDefault="00764BC9" w:rsidP="00764BC9">
      <w:pPr>
        <w:spacing w:line="276" w:lineRule="auto"/>
        <w:jc w:val="center"/>
        <w:rPr>
          <w:rFonts w:ascii="Arial Narrow" w:hAnsi="Arial Narrow" w:cs="Times New Roman"/>
          <w:sz w:val="28"/>
          <w:lang w:val="es-ES_tradnl"/>
        </w:rPr>
      </w:pPr>
      <w:r w:rsidRPr="006E3561">
        <w:rPr>
          <w:rFonts w:ascii="Arial Narrow" w:hAnsi="Arial Narrow" w:cs="Times New Roman"/>
          <w:sz w:val="28"/>
          <w:lang w:val="es-ES_tradnl"/>
        </w:rPr>
        <w:t>Sandra Patricia Cuervo Andrade</w:t>
      </w:r>
    </w:p>
    <w:p w14:paraId="2C0D641D" w14:textId="77777777" w:rsidR="00764BC9" w:rsidRDefault="00764BC9" w:rsidP="00764BC9">
      <w:pPr>
        <w:spacing w:line="276" w:lineRule="auto"/>
        <w:jc w:val="center"/>
        <w:rPr>
          <w:rFonts w:ascii="Arial Narrow" w:hAnsi="Arial Narrow" w:cs="Times New Roman"/>
          <w:sz w:val="28"/>
          <w:lang w:val="es-ES_tradnl"/>
        </w:rPr>
      </w:pPr>
      <w:r w:rsidRPr="006E3561">
        <w:rPr>
          <w:rFonts w:ascii="Arial Narrow" w:hAnsi="Arial Narrow" w:cs="Times New Roman"/>
          <w:sz w:val="28"/>
          <w:lang w:val="es-ES_tradnl"/>
        </w:rPr>
        <w:t>CC. 51 727 515</w:t>
      </w:r>
    </w:p>
    <w:p w14:paraId="5A9491B5" w14:textId="3E7DC1BE" w:rsidR="001A3A62" w:rsidRPr="001A3A62" w:rsidRDefault="001A3A62" w:rsidP="001A3A62">
      <w:pPr>
        <w:jc w:val="both"/>
        <w:rPr>
          <w:rFonts w:ascii="Arial Narrow" w:hAnsi="Arial Narrow"/>
        </w:rPr>
      </w:pPr>
      <w:r w:rsidRPr="001A3A62">
        <w:rPr>
          <w:rFonts w:ascii="Arial Narrow" w:hAnsi="Arial Narrow"/>
          <w:b/>
          <w:bCs/>
        </w:rPr>
        <w:lastRenderedPageBreak/>
        <w:t>Innovación y Sostenibilidad en Poscosecha y Agroindustria de Productos Agrícolas: Aportes a la Docencia, Investigación y Extensión en la Universidad Nacional de Colombia</w:t>
      </w:r>
    </w:p>
    <w:p w14:paraId="10A6BBF3" w14:textId="77777777" w:rsidR="001A3A62" w:rsidRPr="001A3A62" w:rsidRDefault="001A3A62" w:rsidP="001A3A62">
      <w:pPr>
        <w:jc w:val="both"/>
        <w:rPr>
          <w:rFonts w:ascii="Arial Narrow" w:hAnsi="Arial Narrow"/>
        </w:rPr>
      </w:pPr>
      <w:r w:rsidRPr="001A3A62">
        <w:rPr>
          <w:rFonts w:ascii="Arial Narrow" w:hAnsi="Arial Narrow"/>
          <w:b/>
          <w:bCs/>
        </w:rPr>
        <w:t>Introducción</w:t>
      </w:r>
    </w:p>
    <w:p w14:paraId="67852208" w14:textId="77777777" w:rsidR="001A3A62" w:rsidRPr="001A3A62" w:rsidRDefault="001A3A62" w:rsidP="001A3A62">
      <w:pPr>
        <w:jc w:val="both"/>
        <w:rPr>
          <w:rFonts w:ascii="Arial Narrow" w:hAnsi="Arial Narrow"/>
        </w:rPr>
      </w:pPr>
      <w:r w:rsidRPr="001A3A62">
        <w:rPr>
          <w:rFonts w:ascii="Arial Narrow" w:hAnsi="Arial Narrow"/>
        </w:rPr>
        <w:t>La agroindustria y el manejo poscosecha son componentes esenciales para garantizar la seguridad alimentaria y la sostenibilidad en el contexto actual de cambio climático y la creciente demanda de alimentos. En países en desarrollo como Colombia, la seguridad alimentaria es un desafío urgente y complejo. Se estima que entre el 30% y el 40% de los alimentos producidos en América Latina se pierden en las etapas de poscosecha, procesamiento y distribución (FAO, 2019). Esta situación demanda la adopción de tecnologías avanzadas que optimicen el manejo poscosecha y los procesos agroindustriales, reduciendo las pérdidas y mejorando la eficiencia en el uso de recursos.</w:t>
      </w:r>
    </w:p>
    <w:p w14:paraId="7977750E" w14:textId="77777777" w:rsidR="001A3A62" w:rsidRPr="001A3A62" w:rsidRDefault="001A3A62" w:rsidP="001A3A62">
      <w:pPr>
        <w:jc w:val="both"/>
        <w:rPr>
          <w:rFonts w:ascii="Arial Narrow" w:hAnsi="Arial Narrow"/>
        </w:rPr>
      </w:pPr>
      <w:r w:rsidRPr="001A3A62">
        <w:rPr>
          <w:rFonts w:ascii="Arial Narrow" w:hAnsi="Arial Narrow"/>
        </w:rPr>
        <w:t>El manejo adecuado de los productos agrícolas en la fase de poscosecha no solo garantiza una mayor vida útil y calidad de los alimentos, sino que también es clave para reducir el desperdicio alimentario. En este sentido, la aplicación de tecnologías emergentes, tales como la inteligencia artificial (IA), el Internet de las Cosas (</w:t>
      </w:r>
      <w:proofErr w:type="spellStart"/>
      <w:r w:rsidRPr="001A3A62">
        <w:rPr>
          <w:rFonts w:ascii="Arial Narrow" w:hAnsi="Arial Narrow"/>
        </w:rPr>
        <w:t>IoT</w:t>
      </w:r>
      <w:proofErr w:type="spellEnd"/>
      <w:r w:rsidRPr="001A3A62">
        <w:rPr>
          <w:rFonts w:ascii="Arial Narrow" w:hAnsi="Arial Narrow"/>
        </w:rPr>
        <w:t>) y las energías renovables, ofrece oportunidades sin precedentes para transformar la cadena agroindustrial. Estas herramientas permiten no solo mejorar la eficiencia en el manejo de los productos agrícolas, sino también abordar uno de los mayores desafíos de la agroindustria: la sostenibilidad.</w:t>
      </w:r>
    </w:p>
    <w:p w14:paraId="76D2865B" w14:textId="77777777" w:rsidR="001A3A62" w:rsidRPr="001A3A62" w:rsidRDefault="001A3A62" w:rsidP="001A3A62">
      <w:pPr>
        <w:jc w:val="both"/>
        <w:rPr>
          <w:rFonts w:ascii="Arial Narrow" w:hAnsi="Arial Narrow"/>
        </w:rPr>
      </w:pPr>
      <w:r w:rsidRPr="001A3A62">
        <w:rPr>
          <w:rFonts w:ascii="Arial Narrow" w:hAnsi="Arial Narrow"/>
          <w:b/>
          <w:bCs/>
        </w:rPr>
        <w:t>Justificación</w:t>
      </w:r>
    </w:p>
    <w:p w14:paraId="05793D09" w14:textId="77777777" w:rsidR="001A3A62" w:rsidRPr="001A3A62" w:rsidRDefault="001A3A62" w:rsidP="001A3A62">
      <w:pPr>
        <w:jc w:val="both"/>
        <w:rPr>
          <w:rFonts w:ascii="Arial Narrow" w:hAnsi="Arial Narrow"/>
        </w:rPr>
      </w:pPr>
      <w:r w:rsidRPr="001A3A62">
        <w:rPr>
          <w:rFonts w:ascii="Arial Narrow" w:hAnsi="Arial Narrow"/>
        </w:rPr>
        <w:t>El sector agroindustrial enfrenta múltiples retos que van desde la reducción de recursos naturales, el cambio climático, hasta la necesidad de incrementar la eficiencia en la producción y manejo de productos agrícolas. Las tecnologías emergentes y las energías renovables ofrecen soluciones prometedoras para abordar estos desafíos. El manejo poscosecha y los procesos agroindustriales no solo mejoran la preservación y calidad de los productos, sino que también están estrechamente vinculados con la sostenibilidad, optimizando el uso de recursos, reduciendo los desperdicios y minimizando el impacto ambiental.</w:t>
      </w:r>
    </w:p>
    <w:p w14:paraId="17272C02" w14:textId="77777777" w:rsidR="001A3A62" w:rsidRPr="001A3A62" w:rsidRDefault="001A3A62" w:rsidP="001A3A62">
      <w:pPr>
        <w:jc w:val="both"/>
        <w:rPr>
          <w:rFonts w:ascii="Arial Narrow" w:hAnsi="Arial Narrow"/>
        </w:rPr>
      </w:pPr>
      <w:r w:rsidRPr="001A3A62">
        <w:rPr>
          <w:rFonts w:ascii="Arial Narrow" w:hAnsi="Arial Narrow"/>
        </w:rPr>
        <w:t>Sin embargo, la adopción de tecnologías agroindustriales sostenibles en América Latina y Colombia es limitada, lo que afecta los esfuerzos para lograr la seguridad alimentaria y la competitividad del sector. Según Herrero et al. (2021), la agroindustria sostenible, al reducir las pérdidas y aumentar la productividad, juega un papel crucial en la mejora de la seguridad alimentaria y la calidad de los productos agrícolas. Las prácticas sostenibles no solo reducen los costos a largo plazo, sino que también fortalecen la resiliencia de las comunidades agrícolas frente a los desafíos económicos y ambientales.</w:t>
      </w:r>
    </w:p>
    <w:p w14:paraId="54D002DF" w14:textId="77777777" w:rsidR="001A3A62" w:rsidRPr="001A3A62" w:rsidRDefault="001A3A62" w:rsidP="001A3A62">
      <w:pPr>
        <w:jc w:val="both"/>
        <w:rPr>
          <w:rFonts w:ascii="Arial Narrow" w:hAnsi="Arial Narrow"/>
        </w:rPr>
      </w:pPr>
      <w:r w:rsidRPr="001A3A62">
        <w:rPr>
          <w:rFonts w:ascii="Arial Narrow" w:hAnsi="Arial Narrow"/>
        </w:rPr>
        <w:t>Además, el papel de las instituciones académicas es fundamental en este proceso. La FAO destaca la importancia de un enfoque interdisciplinario y sistémico, que considere aspectos tecnológicos, sociales y ambientales, para enfrentar los retos de la seguridad alimentaria. En este sentido, la academia, y en particular la Universidad Nacional de Colombia, tiene el potencial de liderar este cambio a través de la investigación aplicada, la formación de profesionales capacitados y la transferencia de tecnología al sector productivo. Este ensayo propone un enfoque integral que busca contribuir a la seguridad alimentaria y la sostenibilidad del país mediante la docencia, investigación y extensión en procesos agroindustriales, orientados hacia una agroindustria más innovadora, eficiente y sostenible.</w:t>
      </w:r>
    </w:p>
    <w:p w14:paraId="4B0AFD0D" w14:textId="77777777" w:rsidR="001A3A62" w:rsidRPr="001A3A62" w:rsidRDefault="001A3A62" w:rsidP="001A3A62">
      <w:pPr>
        <w:jc w:val="both"/>
        <w:rPr>
          <w:rFonts w:ascii="Arial Narrow" w:hAnsi="Arial Narrow"/>
        </w:rPr>
      </w:pPr>
      <w:r w:rsidRPr="001A3A62">
        <w:rPr>
          <w:rFonts w:ascii="Arial Narrow" w:hAnsi="Arial Narrow"/>
          <w:b/>
          <w:bCs/>
        </w:rPr>
        <w:t>Objetivos</w:t>
      </w:r>
    </w:p>
    <w:p w14:paraId="7F9AC5F8" w14:textId="77777777" w:rsidR="001A3A62" w:rsidRPr="001A3A62" w:rsidRDefault="001A3A62" w:rsidP="001A3A62">
      <w:pPr>
        <w:numPr>
          <w:ilvl w:val="0"/>
          <w:numId w:val="5"/>
        </w:numPr>
        <w:jc w:val="both"/>
        <w:rPr>
          <w:rFonts w:ascii="Arial Narrow" w:hAnsi="Arial Narrow"/>
        </w:rPr>
      </w:pPr>
      <w:r w:rsidRPr="001A3A62">
        <w:rPr>
          <w:rFonts w:ascii="Arial Narrow" w:hAnsi="Arial Narrow"/>
          <w:b/>
          <w:bCs/>
        </w:rPr>
        <w:t>Docencia:</w:t>
      </w:r>
      <w:r w:rsidRPr="001A3A62">
        <w:rPr>
          <w:rFonts w:ascii="Arial Narrow" w:hAnsi="Arial Narrow"/>
        </w:rPr>
        <w:t xml:space="preserve"> Modernizar y ampliar el currículo académico en las áreas de poscosecha y agroindustria, incluyendo el uso de tecnologías emergentes y energías renovables. Además, fortalecer la formación de estudiantes mediante metodologías de enseñanza innovadoras, centradas en la resolución de problemas reales del sector agroindustrial colombiano.</w:t>
      </w:r>
    </w:p>
    <w:p w14:paraId="6FA9AAA9" w14:textId="77BA640A" w:rsidR="001A3A62" w:rsidRPr="001A3A62" w:rsidRDefault="001A3A62" w:rsidP="001A3A62">
      <w:pPr>
        <w:numPr>
          <w:ilvl w:val="0"/>
          <w:numId w:val="5"/>
        </w:numPr>
        <w:jc w:val="both"/>
        <w:rPr>
          <w:rFonts w:ascii="Arial Narrow" w:hAnsi="Arial Narrow"/>
        </w:rPr>
      </w:pPr>
      <w:r w:rsidRPr="001A3A62">
        <w:rPr>
          <w:rFonts w:ascii="Arial Narrow" w:hAnsi="Arial Narrow"/>
          <w:b/>
          <w:bCs/>
        </w:rPr>
        <w:lastRenderedPageBreak/>
        <w:t>Investigación:</w:t>
      </w:r>
      <w:r w:rsidRPr="001A3A62">
        <w:rPr>
          <w:rFonts w:ascii="Arial Narrow" w:hAnsi="Arial Narrow"/>
        </w:rPr>
        <w:t xml:space="preserve"> Fomentar proyectos de investigación aplicada enfocados en la optimización de procesos agroindustriales, el desarrollo de tecnologías sostenibles y la integración de innovaciones tecnológicas, </w:t>
      </w:r>
      <w:r>
        <w:rPr>
          <w:rFonts w:ascii="Arial Narrow" w:hAnsi="Arial Narrow"/>
        </w:rPr>
        <w:t>la agregación</w:t>
      </w:r>
      <w:r w:rsidRPr="004B46BC">
        <w:rPr>
          <w:rFonts w:ascii="Arial Narrow" w:hAnsi="Arial Narrow"/>
        </w:rPr>
        <w:t xml:space="preserve"> de valor a productos agrícolas</w:t>
      </w:r>
      <w:r>
        <w:rPr>
          <w:rFonts w:ascii="Arial Narrow" w:hAnsi="Arial Narrow"/>
        </w:rPr>
        <w:t xml:space="preserve"> </w:t>
      </w:r>
      <w:r w:rsidRPr="008E49FA">
        <w:rPr>
          <w:rFonts w:ascii="Arial Narrow" w:hAnsi="Arial Narrow"/>
        </w:rPr>
        <w:t xml:space="preserve">y energías renovables en los procesos poscosecha, </w:t>
      </w:r>
      <w:r w:rsidRPr="004B46BC">
        <w:rPr>
          <w:rFonts w:ascii="Arial Narrow" w:hAnsi="Arial Narrow"/>
        </w:rPr>
        <w:t>contribuyendo a la generación de conocimiento y soluciones prácticas</w:t>
      </w:r>
      <w:r w:rsidRPr="008E49FA">
        <w:rPr>
          <w:rFonts w:ascii="Arial Narrow" w:hAnsi="Arial Narrow"/>
        </w:rPr>
        <w:t xml:space="preserve">. </w:t>
      </w:r>
      <w:r w:rsidRPr="001A3A62">
        <w:rPr>
          <w:rFonts w:ascii="Arial Narrow" w:hAnsi="Arial Narrow"/>
        </w:rPr>
        <w:t>contribuyendo al conocimiento y soluciones prácticas en el campo.</w:t>
      </w:r>
    </w:p>
    <w:p w14:paraId="5B050111" w14:textId="77777777" w:rsidR="001A3A62" w:rsidRPr="001A3A62" w:rsidRDefault="001A3A62" w:rsidP="001A3A62">
      <w:pPr>
        <w:numPr>
          <w:ilvl w:val="0"/>
          <w:numId w:val="5"/>
        </w:numPr>
        <w:jc w:val="both"/>
        <w:rPr>
          <w:rFonts w:ascii="Arial Narrow" w:hAnsi="Arial Narrow"/>
        </w:rPr>
      </w:pPr>
      <w:r w:rsidRPr="001A3A62">
        <w:rPr>
          <w:rFonts w:ascii="Arial Narrow" w:hAnsi="Arial Narrow"/>
          <w:b/>
          <w:bCs/>
        </w:rPr>
        <w:t>Extensión:</w:t>
      </w:r>
      <w:r w:rsidRPr="001A3A62">
        <w:rPr>
          <w:rFonts w:ascii="Arial Narrow" w:hAnsi="Arial Narrow"/>
        </w:rPr>
        <w:t xml:space="preserve"> Establecer vínculos sólidos con el sector productivo y comunidades rurales para transferir el conocimiento generado en la Universidad, promoviendo el desarrollo regional y la sostenibilidad agroindustrial.</w:t>
      </w:r>
    </w:p>
    <w:p w14:paraId="6A06C3C3" w14:textId="77777777" w:rsidR="001A3A62" w:rsidRPr="001A3A62" w:rsidRDefault="001A3A62" w:rsidP="001A3A62">
      <w:pPr>
        <w:jc w:val="both"/>
        <w:rPr>
          <w:rFonts w:ascii="Arial Narrow" w:hAnsi="Arial Narrow"/>
        </w:rPr>
      </w:pPr>
      <w:r w:rsidRPr="001A3A62">
        <w:rPr>
          <w:rFonts w:ascii="Arial Narrow" w:hAnsi="Arial Narrow"/>
          <w:b/>
          <w:bCs/>
        </w:rPr>
        <w:t>Propuesta Académica y Plan Estratégico</w:t>
      </w:r>
    </w:p>
    <w:p w14:paraId="209100D5" w14:textId="77777777" w:rsidR="001A3A62" w:rsidRPr="001A3A62" w:rsidRDefault="001A3A62" w:rsidP="001A3A62">
      <w:pPr>
        <w:jc w:val="both"/>
        <w:rPr>
          <w:rFonts w:ascii="Arial Narrow" w:hAnsi="Arial Narrow"/>
        </w:rPr>
      </w:pPr>
      <w:r w:rsidRPr="001A3A62">
        <w:rPr>
          <w:rFonts w:ascii="Arial Narrow" w:hAnsi="Arial Narrow"/>
        </w:rPr>
        <w:t>El plan estratégico en poscosecha y agroindustria de la Universidad Nacional de Colombia se basa en integrar componentes tecnológicos, sociales, económicos y ambientales para mejorar la competitividad agroindustrial, alineándose con los Objetivos de Desarrollo Sostenible (ODS). Este plan aborda tres ejes fundamentales: docencia, investigación y extensión.</w:t>
      </w:r>
    </w:p>
    <w:p w14:paraId="75D9C1EB" w14:textId="77777777" w:rsidR="001A3A62" w:rsidRPr="001A3A62" w:rsidRDefault="001A3A62" w:rsidP="001A3A62">
      <w:pPr>
        <w:jc w:val="both"/>
        <w:rPr>
          <w:rFonts w:ascii="Arial Narrow" w:hAnsi="Arial Narrow"/>
        </w:rPr>
      </w:pPr>
      <w:r w:rsidRPr="001A3A62">
        <w:rPr>
          <w:rFonts w:ascii="Arial Narrow" w:hAnsi="Arial Narrow"/>
          <w:b/>
          <w:bCs/>
        </w:rPr>
        <w:t>Docencia</w:t>
      </w:r>
    </w:p>
    <w:p w14:paraId="3DF14CB5" w14:textId="77777777" w:rsidR="001A3A62" w:rsidRPr="001A3A62" w:rsidRDefault="001A3A62" w:rsidP="001A3A62">
      <w:pPr>
        <w:jc w:val="both"/>
        <w:rPr>
          <w:rFonts w:ascii="Arial Narrow" w:hAnsi="Arial Narrow"/>
        </w:rPr>
      </w:pPr>
      <w:r w:rsidRPr="001A3A62">
        <w:rPr>
          <w:rFonts w:ascii="Arial Narrow" w:hAnsi="Arial Narrow"/>
        </w:rPr>
        <w:t>El desarrollo académico es esencial para formar profesionales capaces de enfrentar los desafíos agroindustriales actuales. Actualizar los programas académicos e incorporar innovaciones tecnológicas y prácticas sostenibles es clave para preparar a los estudiantes para el mercado laboral y fomentar una mentalidad innovadora. La Universidad debe asumir un rol protagónico en la formación de profesionales que lideren la transición hacia una agroindustria más sostenible y tecnológicamente avanzada.</w:t>
      </w:r>
    </w:p>
    <w:p w14:paraId="6D188ACD" w14:textId="77777777" w:rsidR="001A3A62" w:rsidRPr="001A3A62" w:rsidRDefault="001A3A62" w:rsidP="001A3A62">
      <w:pPr>
        <w:jc w:val="both"/>
        <w:rPr>
          <w:rFonts w:ascii="Arial Narrow" w:hAnsi="Arial Narrow"/>
        </w:rPr>
      </w:pPr>
      <w:r w:rsidRPr="001A3A62">
        <w:rPr>
          <w:rFonts w:ascii="Arial Narrow" w:hAnsi="Arial Narrow"/>
        </w:rPr>
        <w:t xml:space="preserve">Para lograr este objetivo, es necesario revisar y modernizar los contenidos de los programas académicos, incluyendo asignaturas relacionadas con las tecnologías emergentes y la sostenibilidad. En particular, se propone la incorporación de módulos dedicados a la inteligencia artificial (IA), el </w:t>
      </w:r>
      <w:proofErr w:type="spellStart"/>
      <w:r w:rsidRPr="001A3A62">
        <w:rPr>
          <w:rFonts w:ascii="Arial Narrow" w:hAnsi="Arial Narrow"/>
        </w:rPr>
        <w:t>blockchain</w:t>
      </w:r>
      <w:proofErr w:type="spellEnd"/>
      <w:r w:rsidRPr="001A3A62">
        <w:rPr>
          <w:rFonts w:ascii="Arial Narrow" w:hAnsi="Arial Narrow"/>
        </w:rPr>
        <w:t>, y la energía renovable aplicada a la agroindustria. Estas tecnologías no solo ofrecen soluciones prácticas para mejorar la eficiencia en la cadena de suministro, sino que también son esenciales para reducir el impacto ambiental de las actividades agroindustriales.</w:t>
      </w:r>
    </w:p>
    <w:p w14:paraId="6191CC83" w14:textId="77777777" w:rsidR="001A3A62" w:rsidRPr="001A3A62" w:rsidRDefault="001A3A62" w:rsidP="001A3A62">
      <w:pPr>
        <w:jc w:val="both"/>
        <w:rPr>
          <w:rFonts w:ascii="Arial Narrow" w:hAnsi="Arial Narrow"/>
        </w:rPr>
      </w:pPr>
      <w:r w:rsidRPr="001A3A62">
        <w:rPr>
          <w:rFonts w:ascii="Arial Narrow" w:hAnsi="Arial Narrow"/>
          <w:b/>
          <w:bCs/>
        </w:rPr>
        <w:t>Componentes Educativos Específicos</w:t>
      </w:r>
    </w:p>
    <w:p w14:paraId="315FA91D" w14:textId="77777777" w:rsidR="001A3A62" w:rsidRPr="001A3A62" w:rsidRDefault="001A3A62" w:rsidP="001A3A62">
      <w:pPr>
        <w:numPr>
          <w:ilvl w:val="0"/>
          <w:numId w:val="6"/>
        </w:numPr>
        <w:jc w:val="both"/>
        <w:rPr>
          <w:rFonts w:ascii="Arial Narrow" w:hAnsi="Arial Narrow"/>
        </w:rPr>
      </w:pPr>
      <w:r w:rsidRPr="001A3A62">
        <w:rPr>
          <w:rFonts w:ascii="Arial Narrow" w:hAnsi="Arial Narrow"/>
          <w:b/>
          <w:bCs/>
        </w:rPr>
        <w:t>Formación en Tecnologías Emergentes:</w:t>
      </w:r>
    </w:p>
    <w:p w14:paraId="3DE78A1D" w14:textId="77777777" w:rsidR="001A3A62" w:rsidRPr="001A3A62" w:rsidRDefault="001A3A62" w:rsidP="001A3A62">
      <w:pPr>
        <w:numPr>
          <w:ilvl w:val="1"/>
          <w:numId w:val="6"/>
        </w:numPr>
        <w:jc w:val="both"/>
        <w:rPr>
          <w:rFonts w:ascii="Arial Narrow" w:hAnsi="Arial Narrow"/>
        </w:rPr>
      </w:pPr>
      <w:r w:rsidRPr="001A3A62">
        <w:rPr>
          <w:rFonts w:ascii="Arial Narrow" w:hAnsi="Arial Narrow"/>
          <w:b/>
          <w:bCs/>
        </w:rPr>
        <w:t>Inteligencia Artificial (IA) y Big Data:</w:t>
      </w:r>
      <w:r w:rsidRPr="001A3A62">
        <w:rPr>
          <w:rFonts w:ascii="Arial Narrow" w:hAnsi="Arial Narrow"/>
        </w:rPr>
        <w:t xml:space="preserve"> Cursos especializados sobre IA y Big Data para mejorar la gestión poscosecha, aplicando algoritmos predictivos para optimizar inventarios y recursos (</w:t>
      </w:r>
      <w:proofErr w:type="spellStart"/>
      <w:r w:rsidRPr="001A3A62">
        <w:rPr>
          <w:rFonts w:ascii="Arial Narrow" w:hAnsi="Arial Narrow"/>
        </w:rPr>
        <w:t>Tsolakis</w:t>
      </w:r>
      <w:proofErr w:type="spellEnd"/>
      <w:r w:rsidRPr="001A3A62">
        <w:rPr>
          <w:rFonts w:ascii="Arial Narrow" w:hAnsi="Arial Narrow"/>
        </w:rPr>
        <w:t xml:space="preserve"> et al., 2014). Estas tecnologías permiten predecir la demanda de productos agrícolas, optimizar el almacenamiento y minimizar las pérdidas.</w:t>
      </w:r>
    </w:p>
    <w:p w14:paraId="76AA466F" w14:textId="77777777" w:rsidR="001A3A62" w:rsidRPr="001A3A62" w:rsidRDefault="001A3A62" w:rsidP="001A3A62">
      <w:pPr>
        <w:numPr>
          <w:ilvl w:val="1"/>
          <w:numId w:val="6"/>
        </w:numPr>
        <w:jc w:val="both"/>
        <w:rPr>
          <w:rFonts w:ascii="Arial Narrow" w:hAnsi="Arial Narrow"/>
        </w:rPr>
      </w:pPr>
      <w:proofErr w:type="spellStart"/>
      <w:r w:rsidRPr="001A3A62">
        <w:rPr>
          <w:rFonts w:ascii="Arial Narrow" w:hAnsi="Arial Narrow"/>
          <w:b/>
          <w:bCs/>
        </w:rPr>
        <w:t>Blockchain</w:t>
      </w:r>
      <w:proofErr w:type="spellEnd"/>
      <w:r w:rsidRPr="001A3A62">
        <w:rPr>
          <w:rFonts w:ascii="Arial Narrow" w:hAnsi="Arial Narrow"/>
          <w:b/>
          <w:bCs/>
        </w:rPr>
        <w:t>:</w:t>
      </w:r>
      <w:r w:rsidRPr="001A3A62">
        <w:rPr>
          <w:rFonts w:ascii="Arial Narrow" w:hAnsi="Arial Narrow"/>
        </w:rPr>
        <w:t xml:space="preserve"> Módulos sobre el uso de </w:t>
      </w:r>
      <w:proofErr w:type="spellStart"/>
      <w:r w:rsidRPr="001A3A62">
        <w:rPr>
          <w:rFonts w:ascii="Arial Narrow" w:hAnsi="Arial Narrow"/>
        </w:rPr>
        <w:t>blockchain</w:t>
      </w:r>
      <w:proofErr w:type="spellEnd"/>
      <w:r w:rsidRPr="001A3A62">
        <w:rPr>
          <w:rFonts w:ascii="Arial Narrow" w:hAnsi="Arial Narrow"/>
        </w:rPr>
        <w:t xml:space="preserve"> para mejorar la trazabilidad y seguridad en la cadena de suministro de alimentos (</w:t>
      </w:r>
      <w:proofErr w:type="spellStart"/>
      <w:r w:rsidRPr="001A3A62">
        <w:rPr>
          <w:rFonts w:ascii="Arial Narrow" w:hAnsi="Arial Narrow"/>
        </w:rPr>
        <w:t>Galvez</w:t>
      </w:r>
      <w:proofErr w:type="spellEnd"/>
      <w:r w:rsidRPr="001A3A62">
        <w:rPr>
          <w:rFonts w:ascii="Arial Narrow" w:hAnsi="Arial Narrow"/>
        </w:rPr>
        <w:t xml:space="preserve"> et al., 2018). El </w:t>
      </w:r>
      <w:proofErr w:type="spellStart"/>
      <w:r w:rsidRPr="001A3A62">
        <w:rPr>
          <w:rFonts w:ascii="Arial Narrow" w:hAnsi="Arial Narrow"/>
        </w:rPr>
        <w:t>blockchain</w:t>
      </w:r>
      <w:proofErr w:type="spellEnd"/>
      <w:r w:rsidRPr="001A3A62">
        <w:rPr>
          <w:rFonts w:ascii="Arial Narrow" w:hAnsi="Arial Narrow"/>
        </w:rPr>
        <w:t xml:space="preserve"> ofrece un registro transparente e inmutable que puede garantizar la autenticidad y calidad de los productos agrícolas a lo largo de la cadena de suministro.</w:t>
      </w:r>
    </w:p>
    <w:p w14:paraId="7D5D1099" w14:textId="77777777" w:rsidR="001A3A62" w:rsidRPr="001A3A62" w:rsidRDefault="001A3A62" w:rsidP="001A3A62">
      <w:pPr>
        <w:numPr>
          <w:ilvl w:val="0"/>
          <w:numId w:val="6"/>
        </w:numPr>
        <w:jc w:val="both"/>
        <w:rPr>
          <w:rFonts w:ascii="Arial Narrow" w:hAnsi="Arial Narrow"/>
        </w:rPr>
      </w:pPr>
      <w:r w:rsidRPr="001A3A62">
        <w:rPr>
          <w:rFonts w:ascii="Arial Narrow" w:hAnsi="Arial Narrow"/>
          <w:b/>
          <w:bCs/>
        </w:rPr>
        <w:t>Innovación en Procesos Poscosecha:</w:t>
      </w:r>
    </w:p>
    <w:p w14:paraId="7652BC95" w14:textId="77777777" w:rsidR="001A3A62" w:rsidRPr="001A3A62" w:rsidRDefault="001A3A62" w:rsidP="001A3A62">
      <w:pPr>
        <w:numPr>
          <w:ilvl w:val="1"/>
          <w:numId w:val="6"/>
        </w:numPr>
        <w:jc w:val="both"/>
        <w:rPr>
          <w:rFonts w:ascii="Arial Narrow" w:hAnsi="Arial Narrow"/>
        </w:rPr>
      </w:pPr>
      <w:r w:rsidRPr="001A3A62">
        <w:rPr>
          <w:rFonts w:ascii="Arial Narrow" w:hAnsi="Arial Narrow"/>
          <w:b/>
          <w:bCs/>
        </w:rPr>
        <w:t>Recubrimientos comestibles y empaques biodegradables:</w:t>
      </w:r>
      <w:r w:rsidRPr="001A3A62">
        <w:rPr>
          <w:rFonts w:ascii="Arial Narrow" w:hAnsi="Arial Narrow"/>
        </w:rPr>
        <w:t xml:space="preserve"> Desarrollo de biopolímeros para reducir el uso de plástico y prolongar la vida útil de productos agrícolas (</w:t>
      </w:r>
      <w:proofErr w:type="spellStart"/>
      <w:r w:rsidRPr="001A3A62">
        <w:rPr>
          <w:rFonts w:ascii="Arial Narrow" w:hAnsi="Arial Narrow"/>
        </w:rPr>
        <w:t>Mahalik</w:t>
      </w:r>
      <w:proofErr w:type="spellEnd"/>
      <w:r w:rsidRPr="001A3A62">
        <w:rPr>
          <w:rFonts w:ascii="Arial Narrow" w:hAnsi="Arial Narrow"/>
        </w:rPr>
        <w:t xml:space="preserve"> &amp; </w:t>
      </w:r>
      <w:proofErr w:type="spellStart"/>
      <w:r w:rsidRPr="001A3A62">
        <w:rPr>
          <w:rFonts w:ascii="Arial Narrow" w:hAnsi="Arial Narrow"/>
        </w:rPr>
        <w:t>Nambiar</w:t>
      </w:r>
      <w:proofErr w:type="spellEnd"/>
      <w:r w:rsidRPr="001A3A62">
        <w:rPr>
          <w:rFonts w:ascii="Arial Narrow" w:hAnsi="Arial Narrow"/>
        </w:rPr>
        <w:t>, 2010). Estas innovaciones son esenciales para reducir el desperdicio de alimentos y el impacto ambiental generado por los empaques tradicionales.</w:t>
      </w:r>
    </w:p>
    <w:p w14:paraId="5F199BD5" w14:textId="77777777" w:rsidR="001A3A62" w:rsidRPr="001A3A62" w:rsidRDefault="001A3A62" w:rsidP="001A3A62">
      <w:pPr>
        <w:numPr>
          <w:ilvl w:val="1"/>
          <w:numId w:val="6"/>
        </w:numPr>
        <w:jc w:val="both"/>
        <w:rPr>
          <w:rFonts w:ascii="Arial Narrow" w:hAnsi="Arial Narrow"/>
        </w:rPr>
      </w:pPr>
      <w:r w:rsidRPr="001A3A62">
        <w:rPr>
          <w:rFonts w:ascii="Arial Narrow" w:hAnsi="Arial Narrow"/>
          <w:b/>
          <w:bCs/>
        </w:rPr>
        <w:lastRenderedPageBreak/>
        <w:t>Sistemas de secado solar:</w:t>
      </w:r>
      <w:r w:rsidRPr="001A3A62">
        <w:rPr>
          <w:rFonts w:ascii="Arial Narrow" w:hAnsi="Arial Narrow"/>
        </w:rPr>
        <w:t xml:space="preserve"> Prototipos de secado solar para conservar mejor los nutrientes de los productos (</w:t>
      </w:r>
      <w:proofErr w:type="spellStart"/>
      <w:r w:rsidRPr="001A3A62">
        <w:rPr>
          <w:rFonts w:ascii="Arial Narrow" w:hAnsi="Arial Narrow"/>
        </w:rPr>
        <w:t>Scarlat</w:t>
      </w:r>
      <w:proofErr w:type="spellEnd"/>
      <w:r w:rsidRPr="001A3A62">
        <w:rPr>
          <w:rFonts w:ascii="Arial Narrow" w:hAnsi="Arial Narrow"/>
        </w:rPr>
        <w:t xml:space="preserve"> et al., 2015). El secado solar es una técnica sostenible que permite preservar la calidad de los alimentos con un bajo costo energético.</w:t>
      </w:r>
    </w:p>
    <w:p w14:paraId="747C3662" w14:textId="77777777" w:rsidR="001A3A62" w:rsidRPr="001A3A62" w:rsidRDefault="001A3A62" w:rsidP="001A3A62">
      <w:pPr>
        <w:numPr>
          <w:ilvl w:val="0"/>
          <w:numId w:val="6"/>
        </w:numPr>
        <w:jc w:val="both"/>
        <w:rPr>
          <w:rFonts w:ascii="Arial Narrow" w:hAnsi="Arial Narrow"/>
        </w:rPr>
      </w:pPr>
      <w:r w:rsidRPr="001A3A62">
        <w:rPr>
          <w:rFonts w:ascii="Arial Narrow" w:hAnsi="Arial Narrow"/>
          <w:b/>
          <w:bCs/>
        </w:rPr>
        <w:t>Energías Renovables:</w:t>
      </w:r>
    </w:p>
    <w:p w14:paraId="5C3F3F0B" w14:textId="77777777" w:rsidR="001A3A62" w:rsidRPr="001A3A62" w:rsidRDefault="001A3A62" w:rsidP="001A3A62">
      <w:pPr>
        <w:numPr>
          <w:ilvl w:val="1"/>
          <w:numId w:val="6"/>
        </w:numPr>
        <w:jc w:val="both"/>
        <w:rPr>
          <w:rFonts w:ascii="Arial Narrow" w:hAnsi="Arial Narrow"/>
        </w:rPr>
      </w:pPr>
      <w:r w:rsidRPr="001A3A62">
        <w:rPr>
          <w:rFonts w:ascii="Arial Narrow" w:hAnsi="Arial Narrow"/>
          <w:b/>
          <w:bCs/>
        </w:rPr>
        <w:t>Cursos y proyectos de integración:</w:t>
      </w:r>
      <w:r w:rsidRPr="001A3A62">
        <w:rPr>
          <w:rFonts w:ascii="Arial Narrow" w:hAnsi="Arial Narrow"/>
        </w:rPr>
        <w:t xml:space="preserve"> Introducción de cursos sobre energía solar, eólica y biomasa aplicadas a la agroindustria, con proyectos enfocados en la implementación de sistemas híbridos en instalaciones agroindustriales (Ramos et al., 2020). La integración de energías renovables es clave para reducir la huella de carbono del sector agroindustrial y mejorar la eficiencia energética en las operaciones.</w:t>
      </w:r>
    </w:p>
    <w:p w14:paraId="01626324" w14:textId="77777777" w:rsidR="001A3A62" w:rsidRPr="001A3A62" w:rsidRDefault="001A3A62" w:rsidP="001A3A62">
      <w:pPr>
        <w:numPr>
          <w:ilvl w:val="0"/>
          <w:numId w:val="6"/>
        </w:numPr>
        <w:jc w:val="both"/>
        <w:rPr>
          <w:rFonts w:ascii="Arial Narrow" w:hAnsi="Arial Narrow"/>
        </w:rPr>
      </w:pPr>
      <w:r w:rsidRPr="001A3A62">
        <w:rPr>
          <w:rFonts w:ascii="Arial Narrow" w:hAnsi="Arial Narrow"/>
          <w:b/>
          <w:bCs/>
        </w:rPr>
        <w:t>Seguridad Alimentaria:</w:t>
      </w:r>
    </w:p>
    <w:p w14:paraId="3681FCE6" w14:textId="77777777" w:rsidR="001A3A62" w:rsidRPr="001A3A62" w:rsidRDefault="001A3A62" w:rsidP="001A3A62">
      <w:pPr>
        <w:numPr>
          <w:ilvl w:val="1"/>
          <w:numId w:val="6"/>
        </w:numPr>
        <w:jc w:val="both"/>
        <w:rPr>
          <w:rFonts w:ascii="Arial Narrow" w:hAnsi="Arial Narrow"/>
        </w:rPr>
      </w:pPr>
      <w:r w:rsidRPr="001A3A62">
        <w:rPr>
          <w:rFonts w:ascii="Arial Narrow" w:hAnsi="Arial Narrow"/>
          <w:b/>
          <w:bCs/>
        </w:rPr>
        <w:t>Currículo transversal:</w:t>
      </w:r>
      <w:r w:rsidRPr="001A3A62">
        <w:rPr>
          <w:rFonts w:ascii="Arial Narrow" w:hAnsi="Arial Narrow"/>
        </w:rPr>
        <w:t xml:space="preserve"> La seguridad alimentaria será un tema transversal, abordando cómo las innovaciones tecnológicas y energías renovables mejoran el acceso a alimentos seguros y nutritivos (FAO, 2019). Los estudiantes deben comprender el vínculo entre tecnología, sostenibilidad y seguridad alimentaria, para poder contribuir a soluciones integrales en su futuro profesional.</w:t>
      </w:r>
    </w:p>
    <w:p w14:paraId="33CFCC76" w14:textId="77777777" w:rsidR="001A3A62" w:rsidRPr="001A3A62" w:rsidRDefault="001A3A62" w:rsidP="001A3A62">
      <w:pPr>
        <w:jc w:val="both"/>
        <w:rPr>
          <w:rFonts w:ascii="Arial Narrow" w:hAnsi="Arial Narrow"/>
        </w:rPr>
      </w:pPr>
      <w:r w:rsidRPr="001A3A62">
        <w:rPr>
          <w:rFonts w:ascii="Arial Narrow" w:hAnsi="Arial Narrow"/>
          <w:b/>
          <w:bCs/>
        </w:rPr>
        <w:t>Propuesta en el Componente de Investigación</w:t>
      </w:r>
    </w:p>
    <w:p w14:paraId="45E3A60E" w14:textId="77777777" w:rsidR="001A3A62" w:rsidRPr="001A3A62" w:rsidRDefault="001A3A62" w:rsidP="001A3A62">
      <w:pPr>
        <w:jc w:val="both"/>
        <w:rPr>
          <w:rFonts w:ascii="Arial Narrow" w:hAnsi="Arial Narrow"/>
        </w:rPr>
      </w:pPr>
      <w:r w:rsidRPr="001A3A62">
        <w:rPr>
          <w:rFonts w:ascii="Arial Narrow" w:hAnsi="Arial Narrow"/>
        </w:rPr>
        <w:t>La investigación es clave para generar conocimiento y desarrollar soluciones tecnológicas en agroindustria. La Universidad Nacional de Colombia debe liderar proyectos que exploren la integración de tecnologías emergentes y energías renovables en los procesos poscosecha. Las líneas de investigación deben enfocarse en las áreas más prometedoras para mejorar la eficiencia y sostenibilidad del sector agroindustrial.</w:t>
      </w:r>
    </w:p>
    <w:p w14:paraId="49664319" w14:textId="77777777" w:rsidR="001A3A62" w:rsidRPr="001A3A62" w:rsidRDefault="001A3A62" w:rsidP="001A3A62">
      <w:pPr>
        <w:jc w:val="both"/>
        <w:rPr>
          <w:rFonts w:ascii="Arial Narrow" w:hAnsi="Arial Narrow"/>
        </w:rPr>
      </w:pPr>
      <w:r w:rsidRPr="001A3A62">
        <w:rPr>
          <w:rFonts w:ascii="Arial Narrow" w:hAnsi="Arial Narrow"/>
        </w:rPr>
        <w:t>Entre las líneas de investigación propuestas se incluyen:</w:t>
      </w:r>
    </w:p>
    <w:p w14:paraId="7328F204" w14:textId="6A472226" w:rsidR="001A3A62" w:rsidRPr="001A3A62" w:rsidRDefault="001A3A62" w:rsidP="001A3A62">
      <w:pPr>
        <w:numPr>
          <w:ilvl w:val="0"/>
          <w:numId w:val="7"/>
        </w:numPr>
        <w:jc w:val="both"/>
        <w:rPr>
          <w:rFonts w:ascii="Arial Narrow" w:hAnsi="Arial Narrow"/>
        </w:rPr>
      </w:pPr>
      <w:r w:rsidRPr="001A3A62">
        <w:rPr>
          <w:rFonts w:ascii="Arial Narrow" w:hAnsi="Arial Narrow"/>
          <w:b/>
          <w:bCs/>
        </w:rPr>
        <w:t>Tecnologías Emergentes y Energías Renovables:</w:t>
      </w:r>
      <w:r w:rsidRPr="001A3A62">
        <w:rPr>
          <w:rFonts w:ascii="Arial Narrow" w:hAnsi="Arial Narrow"/>
        </w:rPr>
        <w:t xml:space="preserve"> Investigaciones sobre el uso de sensores </w:t>
      </w:r>
      <w:proofErr w:type="spellStart"/>
      <w:r w:rsidRPr="001A3A62">
        <w:rPr>
          <w:rFonts w:ascii="Arial Narrow" w:hAnsi="Arial Narrow"/>
        </w:rPr>
        <w:t>IoT</w:t>
      </w:r>
      <w:proofErr w:type="spellEnd"/>
      <w:r w:rsidRPr="001A3A62">
        <w:rPr>
          <w:rFonts w:ascii="Arial Narrow" w:hAnsi="Arial Narrow"/>
        </w:rPr>
        <w:t>, energías renovables y análisis de Big Data para mejorar la eficiencia en almacenamiento y transporte agroindustrial (</w:t>
      </w:r>
      <w:proofErr w:type="spellStart"/>
      <w:r w:rsidRPr="001A3A62">
        <w:rPr>
          <w:rFonts w:ascii="Arial Narrow" w:hAnsi="Arial Narrow"/>
        </w:rPr>
        <w:t>Galvez</w:t>
      </w:r>
      <w:proofErr w:type="spellEnd"/>
      <w:r w:rsidRPr="001A3A62">
        <w:rPr>
          <w:rFonts w:ascii="Arial Narrow" w:hAnsi="Arial Narrow"/>
        </w:rPr>
        <w:t xml:space="preserve"> et al., 2018). Estas tecnologías permiten monitorizar y controlar en tiempo real las condiciones de almacenamiento, mejorando la calidad de los productos</w:t>
      </w:r>
      <w:r w:rsidR="00764BC9">
        <w:rPr>
          <w:rFonts w:ascii="Arial Narrow" w:hAnsi="Arial Narrow"/>
        </w:rPr>
        <w:t xml:space="preserve"> y reducir las pérdidas y desperdicio de productos perecederos</w:t>
      </w:r>
      <w:r w:rsidRPr="001A3A62">
        <w:rPr>
          <w:rFonts w:ascii="Arial Narrow" w:hAnsi="Arial Narrow"/>
        </w:rPr>
        <w:t>.</w:t>
      </w:r>
    </w:p>
    <w:p w14:paraId="04D97ECA" w14:textId="77777777" w:rsidR="001A3A62" w:rsidRPr="001A3A62" w:rsidRDefault="001A3A62" w:rsidP="001A3A62">
      <w:pPr>
        <w:numPr>
          <w:ilvl w:val="0"/>
          <w:numId w:val="7"/>
        </w:numPr>
        <w:jc w:val="both"/>
        <w:rPr>
          <w:rFonts w:ascii="Arial Narrow" w:hAnsi="Arial Narrow"/>
        </w:rPr>
      </w:pPr>
      <w:r w:rsidRPr="001A3A62">
        <w:rPr>
          <w:rFonts w:ascii="Arial Narrow" w:hAnsi="Arial Narrow"/>
          <w:b/>
          <w:bCs/>
        </w:rPr>
        <w:t>Innovaciones en Conservación y Empaque:</w:t>
      </w:r>
      <w:r w:rsidRPr="001A3A62">
        <w:rPr>
          <w:rFonts w:ascii="Arial Narrow" w:hAnsi="Arial Narrow"/>
        </w:rPr>
        <w:t xml:space="preserve"> Estudios sobre empaques inteligentes y recubrimientos comestibles que mejoren la conservación de productos, reduciendo el desperdicio alimentario (</w:t>
      </w:r>
      <w:proofErr w:type="spellStart"/>
      <w:r w:rsidRPr="001A3A62">
        <w:rPr>
          <w:rFonts w:ascii="Arial Narrow" w:hAnsi="Arial Narrow"/>
        </w:rPr>
        <w:t>Mahalik</w:t>
      </w:r>
      <w:proofErr w:type="spellEnd"/>
      <w:r w:rsidRPr="001A3A62">
        <w:rPr>
          <w:rFonts w:ascii="Arial Narrow" w:hAnsi="Arial Narrow"/>
        </w:rPr>
        <w:t xml:space="preserve"> &amp; </w:t>
      </w:r>
      <w:proofErr w:type="spellStart"/>
      <w:r w:rsidRPr="001A3A62">
        <w:rPr>
          <w:rFonts w:ascii="Arial Narrow" w:hAnsi="Arial Narrow"/>
        </w:rPr>
        <w:t>Nambiar</w:t>
      </w:r>
      <w:proofErr w:type="spellEnd"/>
      <w:r w:rsidRPr="001A3A62">
        <w:rPr>
          <w:rFonts w:ascii="Arial Narrow" w:hAnsi="Arial Narrow"/>
        </w:rPr>
        <w:t>, 2010). Los empaques inteligentes pueden incluir sensores que detectan la madurez de los productos o cambios en las condiciones de almacenamiento, alertando a los operadores sobre la necesidad de intervención.</w:t>
      </w:r>
    </w:p>
    <w:p w14:paraId="26E1BE43" w14:textId="77777777" w:rsidR="001A3A62" w:rsidRPr="001A3A62" w:rsidRDefault="001A3A62" w:rsidP="001A3A62">
      <w:pPr>
        <w:numPr>
          <w:ilvl w:val="0"/>
          <w:numId w:val="7"/>
        </w:numPr>
        <w:jc w:val="both"/>
        <w:rPr>
          <w:rFonts w:ascii="Arial Narrow" w:hAnsi="Arial Narrow"/>
        </w:rPr>
      </w:pPr>
      <w:r w:rsidRPr="001A3A62">
        <w:rPr>
          <w:rFonts w:ascii="Arial Narrow" w:hAnsi="Arial Narrow"/>
          <w:b/>
          <w:bCs/>
        </w:rPr>
        <w:t>Impacto en Seguridad Alimentaria:</w:t>
      </w:r>
      <w:r w:rsidRPr="001A3A62">
        <w:rPr>
          <w:rFonts w:ascii="Arial Narrow" w:hAnsi="Arial Narrow"/>
        </w:rPr>
        <w:t xml:space="preserve"> Estudios de caso sobre la aplicación de tecnologías en comunidades vulnerables para mejorar la seguridad alimentaria mediante prácticas sostenibles y energías renovables (FAO, 2019). La investigación debe centrarse en cómo estas tecnologías pueden aplicarse en contextos rurales o de bajos ingresos, donde la infraestructura es limitada.</w:t>
      </w:r>
    </w:p>
    <w:p w14:paraId="3D4CD0A1" w14:textId="7AAD2004" w:rsidR="001A3A62" w:rsidRPr="001A3A62" w:rsidRDefault="001A3A62" w:rsidP="001A3A62">
      <w:pPr>
        <w:jc w:val="both"/>
        <w:rPr>
          <w:rFonts w:ascii="Arial Narrow" w:hAnsi="Arial Narrow"/>
        </w:rPr>
      </w:pPr>
      <w:r>
        <w:rPr>
          <w:rFonts w:ascii="Arial Narrow" w:hAnsi="Arial Narrow"/>
          <w:b/>
          <w:bCs/>
        </w:rPr>
        <w:t xml:space="preserve">Propuesta en el componente de </w:t>
      </w:r>
      <w:r w:rsidRPr="001A3A62">
        <w:rPr>
          <w:rFonts w:ascii="Arial Narrow" w:hAnsi="Arial Narrow"/>
          <w:b/>
          <w:bCs/>
        </w:rPr>
        <w:t>Extensión: Transferencia de Tecnología y Capacitación en el Sector Productivo</w:t>
      </w:r>
    </w:p>
    <w:p w14:paraId="46EC847C" w14:textId="77777777" w:rsidR="001A3A62" w:rsidRPr="001A3A62" w:rsidRDefault="001A3A62" w:rsidP="001A3A62">
      <w:pPr>
        <w:jc w:val="both"/>
        <w:rPr>
          <w:rFonts w:ascii="Arial Narrow" w:hAnsi="Arial Narrow"/>
        </w:rPr>
      </w:pPr>
      <w:r w:rsidRPr="001A3A62">
        <w:rPr>
          <w:rFonts w:ascii="Arial Narrow" w:hAnsi="Arial Narrow"/>
        </w:rPr>
        <w:t xml:space="preserve">La extensión universitaria es esencial para transferir los avances tecnológicos a comunidades rurales y sectores productivos. La Universidad Nacional de Colombia debe fortalecer su relación con el sector productivo y las </w:t>
      </w:r>
      <w:r w:rsidRPr="001A3A62">
        <w:rPr>
          <w:rFonts w:ascii="Arial Narrow" w:hAnsi="Arial Narrow"/>
        </w:rPr>
        <w:lastRenderedPageBreak/>
        <w:t>comunidades rurales para fomentar la adopción de tecnologías sostenibles que mejoren la competitividad agroindustrial y promuevan el desarrollo regional. Las acciones clave incluyen:</w:t>
      </w:r>
    </w:p>
    <w:p w14:paraId="7AA35446" w14:textId="77777777" w:rsidR="001A3A62" w:rsidRPr="001A3A62" w:rsidRDefault="001A3A62" w:rsidP="001A3A62">
      <w:pPr>
        <w:numPr>
          <w:ilvl w:val="0"/>
          <w:numId w:val="8"/>
        </w:numPr>
        <w:jc w:val="both"/>
        <w:rPr>
          <w:rFonts w:ascii="Arial Narrow" w:hAnsi="Arial Narrow"/>
        </w:rPr>
      </w:pPr>
      <w:r w:rsidRPr="001A3A62">
        <w:rPr>
          <w:rFonts w:ascii="Arial Narrow" w:hAnsi="Arial Narrow"/>
          <w:b/>
          <w:bCs/>
        </w:rPr>
        <w:t>Capacitación y formación continua:</w:t>
      </w:r>
      <w:r w:rsidRPr="001A3A62">
        <w:rPr>
          <w:rFonts w:ascii="Arial Narrow" w:hAnsi="Arial Narrow"/>
        </w:rPr>
        <w:t xml:space="preserve"> Talleres sobre energías renovables y tecnologías emergentes para profesionales del sector agroindustrial (McKenzie &amp; Maier, 2015). Estos talleres deben enfocarse en la transferencia de conocimientos prácticos que puedan ser implementados directamente en las operaciones agroindustriales.</w:t>
      </w:r>
    </w:p>
    <w:p w14:paraId="66E4E95A" w14:textId="77777777" w:rsidR="001A3A62" w:rsidRPr="001A3A62" w:rsidRDefault="001A3A62" w:rsidP="001A3A62">
      <w:pPr>
        <w:numPr>
          <w:ilvl w:val="0"/>
          <w:numId w:val="8"/>
        </w:numPr>
        <w:jc w:val="both"/>
        <w:rPr>
          <w:rFonts w:ascii="Arial Narrow" w:hAnsi="Arial Narrow"/>
        </w:rPr>
      </w:pPr>
      <w:r w:rsidRPr="001A3A62">
        <w:rPr>
          <w:rFonts w:ascii="Arial Narrow" w:hAnsi="Arial Narrow"/>
          <w:b/>
          <w:bCs/>
        </w:rPr>
        <w:t>Proyectos piloto y demostrativos:</w:t>
      </w:r>
      <w:r w:rsidRPr="001A3A62">
        <w:rPr>
          <w:rFonts w:ascii="Arial Narrow" w:hAnsi="Arial Narrow"/>
        </w:rPr>
        <w:t xml:space="preserve"> Implementación de sistemas de secado solar y refrigeración ecológica en comunidades agroindustriales, demostrando los beneficios de las tecnologías sostenibles (Morales et al., 2019). Los proyectos piloto son una forma efectiva de mostrar el potencial de las tecnologías emergentes en la práctica.</w:t>
      </w:r>
    </w:p>
    <w:p w14:paraId="76D91F7F" w14:textId="08F5D1DD" w:rsidR="001A3A62" w:rsidRPr="001A3A62" w:rsidRDefault="00866339" w:rsidP="001A3A62">
      <w:pPr>
        <w:numPr>
          <w:ilvl w:val="0"/>
          <w:numId w:val="8"/>
        </w:numPr>
        <w:jc w:val="both"/>
        <w:rPr>
          <w:rFonts w:ascii="Arial Narrow" w:hAnsi="Arial Narrow"/>
        </w:rPr>
      </w:pPr>
      <w:r>
        <w:rPr>
          <w:rFonts w:ascii="Arial Narrow" w:hAnsi="Arial Narrow"/>
          <w:b/>
          <w:bCs/>
        </w:rPr>
        <w:t>Alianzas estratégicas</w:t>
      </w:r>
      <w:r w:rsidR="001A3A62" w:rsidRPr="001A3A62">
        <w:rPr>
          <w:rFonts w:ascii="Arial Narrow" w:hAnsi="Arial Narrow"/>
          <w:b/>
          <w:bCs/>
        </w:rPr>
        <w:t xml:space="preserve"> con instituciones locales:</w:t>
      </w:r>
      <w:r w:rsidR="001A3A62" w:rsidRPr="001A3A62">
        <w:rPr>
          <w:rFonts w:ascii="Arial Narrow" w:hAnsi="Arial Narrow"/>
        </w:rPr>
        <w:t xml:space="preserve"> Establecer alianzas estratégicas con gobiernos, </w:t>
      </w:r>
      <w:proofErr w:type="spellStart"/>
      <w:r w:rsidR="001A3A62" w:rsidRPr="001A3A62">
        <w:rPr>
          <w:rFonts w:ascii="Arial Narrow" w:hAnsi="Arial Narrow"/>
        </w:rPr>
        <w:t>ONGs</w:t>
      </w:r>
      <w:proofErr w:type="spellEnd"/>
      <w:r w:rsidR="001A3A62" w:rsidRPr="001A3A62">
        <w:rPr>
          <w:rFonts w:ascii="Arial Narrow" w:hAnsi="Arial Narrow"/>
        </w:rPr>
        <w:t xml:space="preserve"> y empresas agroindustriales para fomentar la adopción de tecnologías sostenibles (</w:t>
      </w:r>
      <w:proofErr w:type="spellStart"/>
      <w:r w:rsidR="001A3A62" w:rsidRPr="001A3A62">
        <w:rPr>
          <w:rFonts w:ascii="Arial Narrow" w:hAnsi="Arial Narrow"/>
        </w:rPr>
        <w:t>Khosla</w:t>
      </w:r>
      <w:proofErr w:type="spellEnd"/>
      <w:r w:rsidR="001A3A62" w:rsidRPr="001A3A62">
        <w:rPr>
          <w:rFonts w:ascii="Arial Narrow" w:hAnsi="Arial Narrow"/>
        </w:rPr>
        <w:t xml:space="preserve"> et al., 2019). Estas alianzas permiten compartir recursos y conocimientos, facilitando la implementación de proyectos a mayor escala.</w:t>
      </w:r>
    </w:p>
    <w:p w14:paraId="029A4A5E" w14:textId="77777777" w:rsidR="001A3A62" w:rsidRPr="001A3A62" w:rsidRDefault="001A3A62" w:rsidP="001A3A62">
      <w:pPr>
        <w:jc w:val="both"/>
        <w:rPr>
          <w:rFonts w:ascii="Arial Narrow" w:hAnsi="Arial Narrow"/>
        </w:rPr>
      </w:pPr>
      <w:r w:rsidRPr="001A3A62">
        <w:rPr>
          <w:rFonts w:ascii="Arial Narrow" w:hAnsi="Arial Narrow"/>
          <w:b/>
          <w:bCs/>
        </w:rPr>
        <w:t>Conclusión</w:t>
      </w:r>
    </w:p>
    <w:p w14:paraId="7423BC1B" w14:textId="3FC6AAF4" w:rsidR="001A3A62" w:rsidRPr="001A3A62" w:rsidRDefault="001A3A62" w:rsidP="001A3A62">
      <w:pPr>
        <w:jc w:val="both"/>
        <w:rPr>
          <w:rFonts w:ascii="Arial Narrow" w:hAnsi="Arial Narrow"/>
        </w:rPr>
      </w:pPr>
      <w:r w:rsidRPr="001A3A62">
        <w:rPr>
          <w:rFonts w:ascii="Arial Narrow" w:hAnsi="Arial Narrow"/>
        </w:rPr>
        <w:t xml:space="preserve">La innovación y sostenibilidad </w:t>
      </w:r>
      <w:r w:rsidR="00866339">
        <w:rPr>
          <w:rFonts w:ascii="Arial Narrow" w:hAnsi="Arial Narrow"/>
        </w:rPr>
        <w:t xml:space="preserve">en la poscosecha y agroindustria de productos agrícolas </w:t>
      </w:r>
      <w:r w:rsidRPr="001A3A62">
        <w:rPr>
          <w:rFonts w:ascii="Arial Narrow" w:hAnsi="Arial Narrow"/>
        </w:rPr>
        <w:t>son esenciales para enfrentar los desafíos de seguridad alimentaria en Colombia. A través de la docencia, investigación y extensión, la Universidad Nacional de Colombia tiene la oportunidad de liderar el cambio hacia una agroindustria más eficiente, innovadora y sostenible. La formación de profesionales competentes, el desarrollo de investigaciones de alto impacto y la transferencia tecnológica al sector productivo consolidarán la relación Universidad-Empresa-Estado, contribuyendo a la creación de políticas coherentes que respondan a los retos actuales y futuros de la seguridad alimentaria y la sostenibilidad en el país.</w:t>
      </w:r>
    </w:p>
    <w:p w14:paraId="3B2CE1F1" w14:textId="7314CFED" w:rsidR="00BD2967" w:rsidRDefault="00BD2967" w:rsidP="001A3A62">
      <w:pPr>
        <w:jc w:val="both"/>
        <w:rPr>
          <w:rFonts w:ascii="Arial Narrow" w:hAnsi="Arial Narrow"/>
        </w:rPr>
      </w:pPr>
    </w:p>
    <w:p w14:paraId="6DB5FC03" w14:textId="77777777" w:rsidR="00764BC9" w:rsidRPr="00764BC9" w:rsidRDefault="00764BC9" w:rsidP="00764BC9">
      <w:pPr>
        <w:jc w:val="both"/>
        <w:rPr>
          <w:rFonts w:ascii="Arial Narrow" w:hAnsi="Arial Narrow"/>
        </w:rPr>
      </w:pPr>
      <w:r w:rsidRPr="00764BC9">
        <w:rPr>
          <w:rFonts w:ascii="Arial Narrow" w:hAnsi="Arial Narrow"/>
          <w:b/>
          <w:bCs/>
        </w:rPr>
        <w:t>Referencias</w:t>
      </w:r>
    </w:p>
    <w:p w14:paraId="7991FE17" w14:textId="77777777" w:rsidR="00764BC9" w:rsidRPr="00764BC9" w:rsidRDefault="00764BC9" w:rsidP="00764BC9">
      <w:pPr>
        <w:numPr>
          <w:ilvl w:val="0"/>
          <w:numId w:val="9"/>
        </w:numPr>
        <w:jc w:val="both"/>
        <w:rPr>
          <w:rFonts w:ascii="Arial Narrow" w:hAnsi="Arial Narrow"/>
        </w:rPr>
      </w:pPr>
      <w:r w:rsidRPr="00764BC9">
        <w:rPr>
          <w:rFonts w:ascii="Arial Narrow" w:hAnsi="Arial Narrow"/>
          <w:lang w:val="en-US"/>
        </w:rPr>
        <w:t xml:space="preserve">FAO. (2019). </w:t>
      </w:r>
      <w:r w:rsidRPr="00764BC9">
        <w:rPr>
          <w:rFonts w:ascii="Arial Narrow" w:hAnsi="Arial Narrow"/>
          <w:i/>
          <w:iCs/>
          <w:lang w:val="en-US"/>
        </w:rPr>
        <w:t>Food loss and waste and the right to adequate food: Making the connection</w:t>
      </w:r>
      <w:r w:rsidRPr="00764BC9">
        <w:rPr>
          <w:rFonts w:ascii="Arial Narrow" w:hAnsi="Arial Narrow"/>
          <w:lang w:val="en-US"/>
        </w:rPr>
        <w:t xml:space="preserve">. </w:t>
      </w:r>
      <w:proofErr w:type="spellStart"/>
      <w:r w:rsidRPr="00764BC9">
        <w:rPr>
          <w:rFonts w:ascii="Arial Narrow" w:hAnsi="Arial Narrow"/>
        </w:rPr>
        <w:t>Food</w:t>
      </w:r>
      <w:proofErr w:type="spellEnd"/>
      <w:r w:rsidRPr="00764BC9">
        <w:rPr>
          <w:rFonts w:ascii="Arial Narrow" w:hAnsi="Arial Narrow"/>
        </w:rPr>
        <w:t xml:space="preserve"> and </w:t>
      </w:r>
      <w:proofErr w:type="spellStart"/>
      <w:r w:rsidRPr="00764BC9">
        <w:rPr>
          <w:rFonts w:ascii="Arial Narrow" w:hAnsi="Arial Narrow"/>
        </w:rPr>
        <w:t>Agriculture</w:t>
      </w:r>
      <w:proofErr w:type="spellEnd"/>
      <w:r w:rsidRPr="00764BC9">
        <w:rPr>
          <w:rFonts w:ascii="Arial Narrow" w:hAnsi="Arial Narrow"/>
        </w:rPr>
        <w:t xml:space="preserve"> </w:t>
      </w:r>
      <w:proofErr w:type="spellStart"/>
      <w:r w:rsidRPr="00764BC9">
        <w:rPr>
          <w:rFonts w:ascii="Arial Narrow" w:hAnsi="Arial Narrow"/>
        </w:rPr>
        <w:t>Organization</w:t>
      </w:r>
      <w:proofErr w:type="spellEnd"/>
      <w:r w:rsidRPr="00764BC9">
        <w:rPr>
          <w:rFonts w:ascii="Arial Narrow" w:hAnsi="Arial Narrow"/>
        </w:rPr>
        <w:t xml:space="preserve"> </w:t>
      </w:r>
      <w:proofErr w:type="spellStart"/>
      <w:r w:rsidRPr="00764BC9">
        <w:rPr>
          <w:rFonts w:ascii="Arial Narrow" w:hAnsi="Arial Narrow"/>
        </w:rPr>
        <w:t>of</w:t>
      </w:r>
      <w:proofErr w:type="spellEnd"/>
      <w:r w:rsidRPr="00764BC9">
        <w:rPr>
          <w:rFonts w:ascii="Arial Narrow" w:hAnsi="Arial Narrow"/>
        </w:rPr>
        <w:t xml:space="preserve"> </w:t>
      </w:r>
      <w:proofErr w:type="spellStart"/>
      <w:r w:rsidRPr="00764BC9">
        <w:rPr>
          <w:rFonts w:ascii="Arial Narrow" w:hAnsi="Arial Narrow"/>
        </w:rPr>
        <w:t>the</w:t>
      </w:r>
      <w:proofErr w:type="spellEnd"/>
      <w:r w:rsidRPr="00764BC9">
        <w:rPr>
          <w:rFonts w:ascii="Arial Narrow" w:hAnsi="Arial Narrow"/>
        </w:rPr>
        <w:t xml:space="preserve"> </w:t>
      </w:r>
      <w:proofErr w:type="spellStart"/>
      <w:r w:rsidRPr="00764BC9">
        <w:rPr>
          <w:rFonts w:ascii="Arial Narrow" w:hAnsi="Arial Narrow"/>
        </w:rPr>
        <w:t>United</w:t>
      </w:r>
      <w:proofErr w:type="spellEnd"/>
      <w:r w:rsidRPr="00764BC9">
        <w:rPr>
          <w:rFonts w:ascii="Arial Narrow" w:hAnsi="Arial Narrow"/>
        </w:rPr>
        <w:t xml:space="preserve"> </w:t>
      </w:r>
      <w:proofErr w:type="spellStart"/>
      <w:r w:rsidRPr="00764BC9">
        <w:rPr>
          <w:rFonts w:ascii="Arial Narrow" w:hAnsi="Arial Narrow"/>
        </w:rPr>
        <w:t>Nations</w:t>
      </w:r>
      <w:proofErr w:type="spellEnd"/>
      <w:r w:rsidRPr="00764BC9">
        <w:rPr>
          <w:rFonts w:ascii="Arial Narrow" w:hAnsi="Arial Narrow"/>
        </w:rPr>
        <w:t>.</w:t>
      </w:r>
    </w:p>
    <w:p w14:paraId="70CDB40F" w14:textId="77777777" w:rsidR="00764BC9" w:rsidRPr="00764BC9" w:rsidRDefault="00764BC9" w:rsidP="00764BC9">
      <w:pPr>
        <w:numPr>
          <w:ilvl w:val="0"/>
          <w:numId w:val="9"/>
        </w:numPr>
        <w:jc w:val="both"/>
        <w:rPr>
          <w:rFonts w:ascii="Arial Narrow" w:hAnsi="Arial Narrow"/>
        </w:rPr>
      </w:pPr>
      <w:proofErr w:type="spellStart"/>
      <w:r w:rsidRPr="00764BC9">
        <w:rPr>
          <w:rFonts w:ascii="Arial Narrow" w:hAnsi="Arial Narrow"/>
        </w:rPr>
        <w:t>Galvez</w:t>
      </w:r>
      <w:proofErr w:type="spellEnd"/>
      <w:r w:rsidRPr="00764BC9">
        <w:rPr>
          <w:rFonts w:ascii="Arial Narrow" w:hAnsi="Arial Narrow"/>
        </w:rPr>
        <w:t xml:space="preserve">, J. F., </w:t>
      </w:r>
      <w:proofErr w:type="spellStart"/>
      <w:r w:rsidRPr="00764BC9">
        <w:rPr>
          <w:rFonts w:ascii="Arial Narrow" w:hAnsi="Arial Narrow"/>
        </w:rPr>
        <w:t>Mejuto</w:t>
      </w:r>
      <w:proofErr w:type="spellEnd"/>
      <w:r w:rsidRPr="00764BC9">
        <w:rPr>
          <w:rFonts w:ascii="Arial Narrow" w:hAnsi="Arial Narrow"/>
        </w:rPr>
        <w:t xml:space="preserve">, J. C., &amp; </w:t>
      </w:r>
      <w:proofErr w:type="spellStart"/>
      <w:r w:rsidRPr="00764BC9">
        <w:rPr>
          <w:rFonts w:ascii="Arial Narrow" w:hAnsi="Arial Narrow"/>
        </w:rPr>
        <w:t>Simal-Gandara</w:t>
      </w:r>
      <w:proofErr w:type="spellEnd"/>
      <w:r w:rsidRPr="00764BC9">
        <w:rPr>
          <w:rFonts w:ascii="Arial Narrow" w:hAnsi="Arial Narrow"/>
        </w:rPr>
        <w:t xml:space="preserve">, J. (2018). </w:t>
      </w:r>
      <w:r w:rsidRPr="00764BC9">
        <w:rPr>
          <w:rFonts w:ascii="Arial Narrow" w:hAnsi="Arial Narrow"/>
          <w:lang w:val="en-US"/>
        </w:rPr>
        <w:t xml:space="preserve">Future challenges on the use of blockchain for food traceability analysis. </w:t>
      </w:r>
      <w:proofErr w:type="spellStart"/>
      <w:r w:rsidRPr="00764BC9">
        <w:rPr>
          <w:rFonts w:ascii="Arial Narrow" w:hAnsi="Arial Narrow"/>
          <w:i/>
          <w:iCs/>
        </w:rPr>
        <w:t>Trends</w:t>
      </w:r>
      <w:proofErr w:type="spellEnd"/>
      <w:r w:rsidRPr="00764BC9">
        <w:rPr>
          <w:rFonts w:ascii="Arial Narrow" w:hAnsi="Arial Narrow"/>
          <w:i/>
          <w:iCs/>
        </w:rPr>
        <w:t xml:space="preserve"> in </w:t>
      </w:r>
      <w:proofErr w:type="spellStart"/>
      <w:r w:rsidRPr="00764BC9">
        <w:rPr>
          <w:rFonts w:ascii="Arial Narrow" w:hAnsi="Arial Narrow"/>
          <w:i/>
          <w:iCs/>
        </w:rPr>
        <w:t>Analytical</w:t>
      </w:r>
      <w:proofErr w:type="spellEnd"/>
      <w:r w:rsidRPr="00764BC9">
        <w:rPr>
          <w:rFonts w:ascii="Arial Narrow" w:hAnsi="Arial Narrow"/>
          <w:i/>
          <w:iCs/>
        </w:rPr>
        <w:t xml:space="preserve"> </w:t>
      </w:r>
      <w:proofErr w:type="spellStart"/>
      <w:r w:rsidRPr="00764BC9">
        <w:rPr>
          <w:rFonts w:ascii="Arial Narrow" w:hAnsi="Arial Narrow"/>
          <w:i/>
          <w:iCs/>
        </w:rPr>
        <w:t>Chemistry</w:t>
      </w:r>
      <w:proofErr w:type="spellEnd"/>
      <w:r w:rsidRPr="00764BC9">
        <w:rPr>
          <w:rFonts w:ascii="Arial Narrow" w:hAnsi="Arial Narrow"/>
        </w:rPr>
        <w:t>, 107, 222-232. https://doi.org/10.1016/j.trac.2018.08.016</w:t>
      </w:r>
    </w:p>
    <w:p w14:paraId="1E819F75" w14:textId="77777777" w:rsidR="00764BC9" w:rsidRPr="00764BC9" w:rsidRDefault="00764BC9" w:rsidP="00764BC9">
      <w:pPr>
        <w:numPr>
          <w:ilvl w:val="0"/>
          <w:numId w:val="9"/>
        </w:numPr>
        <w:jc w:val="both"/>
        <w:rPr>
          <w:rFonts w:ascii="Arial Narrow" w:hAnsi="Arial Narrow"/>
        </w:rPr>
      </w:pPr>
      <w:r w:rsidRPr="00764BC9">
        <w:rPr>
          <w:rFonts w:ascii="Arial Narrow" w:hAnsi="Arial Narrow"/>
          <w:lang w:val="en-US"/>
        </w:rPr>
        <w:t>Herrero, M., Thornton, P. K., Mason-</w:t>
      </w:r>
      <w:proofErr w:type="spellStart"/>
      <w:r w:rsidRPr="00764BC9">
        <w:rPr>
          <w:rFonts w:ascii="Arial Narrow" w:hAnsi="Arial Narrow"/>
          <w:lang w:val="en-US"/>
        </w:rPr>
        <w:t>D’Croz</w:t>
      </w:r>
      <w:proofErr w:type="spellEnd"/>
      <w:r w:rsidRPr="00764BC9">
        <w:rPr>
          <w:rFonts w:ascii="Arial Narrow" w:hAnsi="Arial Narrow"/>
          <w:lang w:val="en-US"/>
        </w:rPr>
        <w:t xml:space="preserve">, D., Palmer, J., </w:t>
      </w:r>
      <w:proofErr w:type="spellStart"/>
      <w:r w:rsidRPr="00764BC9">
        <w:rPr>
          <w:rFonts w:ascii="Arial Narrow" w:hAnsi="Arial Narrow"/>
          <w:lang w:val="en-US"/>
        </w:rPr>
        <w:t>Bodirsky</w:t>
      </w:r>
      <w:proofErr w:type="spellEnd"/>
      <w:r w:rsidRPr="00764BC9">
        <w:rPr>
          <w:rFonts w:ascii="Arial Narrow" w:hAnsi="Arial Narrow"/>
          <w:lang w:val="en-US"/>
        </w:rPr>
        <w:t xml:space="preserve">, B. L., Pradhan, P., ... &amp; Godfray, H. C. J. (2021). Articulating the effect of food systems innovation on the Sustainable Development Goals. </w:t>
      </w:r>
      <w:proofErr w:type="spellStart"/>
      <w:r w:rsidRPr="00764BC9">
        <w:rPr>
          <w:rFonts w:ascii="Arial Narrow" w:hAnsi="Arial Narrow"/>
          <w:i/>
          <w:iCs/>
        </w:rPr>
        <w:t>Nature</w:t>
      </w:r>
      <w:proofErr w:type="spellEnd"/>
      <w:r w:rsidRPr="00764BC9">
        <w:rPr>
          <w:rFonts w:ascii="Arial Narrow" w:hAnsi="Arial Narrow"/>
          <w:i/>
          <w:iCs/>
        </w:rPr>
        <w:t xml:space="preserve"> </w:t>
      </w:r>
      <w:proofErr w:type="spellStart"/>
      <w:r w:rsidRPr="00764BC9">
        <w:rPr>
          <w:rFonts w:ascii="Arial Narrow" w:hAnsi="Arial Narrow"/>
          <w:i/>
          <w:iCs/>
        </w:rPr>
        <w:t>Food</w:t>
      </w:r>
      <w:proofErr w:type="spellEnd"/>
      <w:r w:rsidRPr="00764BC9">
        <w:rPr>
          <w:rFonts w:ascii="Arial Narrow" w:hAnsi="Arial Narrow"/>
        </w:rPr>
        <w:t>, 2(4), 252-260. https://doi.org/10.1038/s43016-021-00356-3</w:t>
      </w:r>
    </w:p>
    <w:p w14:paraId="6DCF16A8" w14:textId="77777777" w:rsidR="00764BC9" w:rsidRPr="00764BC9" w:rsidRDefault="00764BC9" w:rsidP="00764BC9">
      <w:pPr>
        <w:numPr>
          <w:ilvl w:val="0"/>
          <w:numId w:val="9"/>
        </w:numPr>
        <w:jc w:val="both"/>
        <w:rPr>
          <w:rFonts w:ascii="Arial Narrow" w:hAnsi="Arial Narrow"/>
        </w:rPr>
      </w:pPr>
      <w:r w:rsidRPr="00764BC9">
        <w:rPr>
          <w:rFonts w:ascii="Arial Narrow" w:hAnsi="Arial Narrow"/>
          <w:lang w:val="de-DE"/>
        </w:rPr>
        <w:t xml:space="preserve">Khosla, R., van der Hoff, R., Drost, M., &amp; Pachauri, S. (2019). </w:t>
      </w:r>
      <w:r w:rsidRPr="00764BC9">
        <w:rPr>
          <w:rFonts w:ascii="Arial Narrow" w:hAnsi="Arial Narrow"/>
          <w:lang w:val="en-US"/>
        </w:rPr>
        <w:t xml:space="preserve">The role of energy policies in achieving universal access. </w:t>
      </w:r>
      <w:r w:rsidRPr="00764BC9">
        <w:rPr>
          <w:rFonts w:ascii="Arial Narrow" w:hAnsi="Arial Narrow"/>
          <w:i/>
          <w:iCs/>
        </w:rPr>
        <w:t xml:space="preserve">Energy </w:t>
      </w:r>
      <w:proofErr w:type="spellStart"/>
      <w:r w:rsidRPr="00764BC9">
        <w:rPr>
          <w:rFonts w:ascii="Arial Narrow" w:hAnsi="Arial Narrow"/>
          <w:i/>
          <w:iCs/>
        </w:rPr>
        <w:t>Policy</w:t>
      </w:r>
      <w:proofErr w:type="spellEnd"/>
      <w:r w:rsidRPr="00764BC9">
        <w:rPr>
          <w:rFonts w:ascii="Arial Narrow" w:hAnsi="Arial Narrow"/>
        </w:rPr>
        <w:t>, 133, 110889. https://doi.org/10.1016/j.enpol.2019.110889</w:t>
      </w:r>
    </w:p>
    <w:p w14:paraId="3CA50BFD" w14:textId="77777777" w:rsidR="00764BC9" w:rsidRPr="00764BC9" w:rsidRDefault="00764BC9" w:rsidP="00764BC9">
      <w:pPr>
        <w:numPr>
          <w:ilvl w:val="0"/>
          <w:numId w:val="9"/>
        </w:numPr>
        <w:jc w:val="both"/>
        <w:rPr>
          <w:rFonts w:ascii="Arial Narrow" w:hAnsi="Arial Narrow"/>
          <w:lang w:val="en-US"/>
        </w:rPr>
      </w:pPr>
      <w:proofErr w:type="spellStart"/>
      <w:r w:rsidRPr="00764BC9">
        <w:rPr>
          <w:rFonts w:ascii="Arial Narrow" w:hAnsi="Arial Narrow"/>
        </w:rPr>
        <w:t>Mahalik</w:t>
      </w:r>
      <w:proofErr w:type="spellEnd"/>
      <w:r w:rsidRPr="00764BC9">
        <w:rPr>
          <w:rFonts w:ascii="Arial Narrow" w:hAnsi="Arial Narrow"/>
        </w:rPr>
        <w:t xml:space="preserve">, N. P., &amp; </w:t>
      </w:r>
      <w:proofErr w:type="spellStart"/>
      <w:r w:rsidRPr="00764BC9">
        <w:rPr>
          <w:rFonts w:ascii="Arial Narrow" w:hAnsi="Arial Narrow"/>
        </w:rPr>
        <w:t>Nambiar</w:t>
      </w:r>
      <w:proofErr w:type="spellEnd"/>
      <w:r w:rsidRPr="00764BC9">
        <w:rPr>
          <w:rFonts w:ascii="Arial Narrow" w:hAnsi="Arial Narrow"/>
        </w:rPr>
        <w:t xml:space="preserve">, A. N. (2010). </w:t>
      </w:r>
      <w:r w:rsidRPr="00764BC9">
        <w:rPr>
          <w:rFonts w:ascii="Arial Narrow" w:hAnsi="Arial Narrow"/>
          <w:lang w:val="en-US"/>
        </w:rPr>
        <w:t xml:space="preserve">Trends in food packaging and manufacturing systems and technology. </w:t>
      </w:r>
      <w:r w:rsidRPr="00764BC9">
        <w:rPr>
          <w:rFonts w:ascii="Arial Narrow" w:hAnsi="Arial Narrow"/>
          <w:i/>
          <w:iCs/>
          <w:lang w:val="en-US"/>
        </w:rPr>
        <w:t>Trends in Food Science &amp; Technology</w:t>
      </w:r>
      <w:r w:rsidRPr="00764BC9">
        <w:rPr>
          <w:rFonts w:ascii="Arial Narrow" w:hAnsi="Arial Narrow"/>
          <w:lang w:val="en-US"/>
        </w:rPr>
        <w:t>, 21(3), 117-128. https://doi.org/10.1016/j.tifs.2009.11.002</w:t>
      </w:r>
    </w:p>
    <w:p w14:paraId="22C9C48D" w14:textId="77777777" w:rsidR="00764BC9" w:rsidRPr="00764BC9" w:rsidRDefault="00764BC9" w:rsidP="00764BC9">
      <w:pPr>
        <w:numPr>
          <w:ilvl w:val="0"/>
          <w:numId w:val="9"/>
        </w:numPr>
        <w:jc w:val="both"/>
        <w:rPr>
          <w:rFonts w:ascii="Arial Narrow" w:hAnsi="Arial Narrow"/>
        </w:rPr>
      </w:pPr>
      <w:r w:rsidRPr="00764BC9">
        <w:rPr>
          <w:rFonts w:ascii="Arial Narrow" w:hAnsi="Arial Narrow"/>
        </w:rPr>
        <w:t xml:space="preserve">Morales, A., García, A., &amp; Ruiz, P. (2019). </w:t>
      </w:r>
      <w:r w:rsidRPr="00764BC9">
        <w:rPr>
          <w:rFonts w:ascii="Arial Narrow" w:hAnsi="Arial Narrow"/>
          <w:lang w:val="en-US"/>
        </w:rPr>
        <w:t xml:space="preserve">Evaluation of the use of solar energy in food processing in small-scale agro-industries in Latin America. </w:t>
      </w:r>
      <w:proofErr w:type="spellStart"/>
      <w:r w:rsidRPr="00764BC9">
        <w:rPr>
          <w:rFonts w:ascii="Arial Narrow" w:hAnsi="Arial Narrow"/>
          <w:i/>
          <w:iCs/>
        </w:rPr>
        <w:t>Renewable</w:t>
      </w:r>
      <w:proofErr w:type="spellEnd"/>
      <w:r w:rsidRPr="00764BC9">
        <w:rPr>
          <w:rFonts w:ascii="Arial Narrow" w:hAnsi="Arial Narrow"/>
          <w:i/>
          <w:iCs/>
        </w:rPr>
        <w:t xml:space="preserve"> Energy</w:t>
      </w:r>
      <w:r w:rsidRPr="00764BC9">
        <w:rPr>
          <w:rFonts w:ascii="Arial Narrow" w:hAnsi="Arial Narrow"/>
        </w:rPr>
        <w:t>, 134, 1453-1461. https://doi.org/10.1016/j.renene.2018.11.037</w:t>
      </w:r>
    </w:p>
    <w:p w14:paraId="31860E52" w14:textId="77777777" w:rsidR="00764BC9" w:rsidRPr="00764BC9" w:rsidRDefault="00764BC9" w:rsidP="00764BC9">
      <w:pPr>
        <w:numPr>
          <w:ilvl w:val="0"/>
          <w:numId w:val="9"/>
        </w:numPr>
        <w:jc w:val="both"/>
        <w:rPr>
          <w:rFonts w:ascii="Arial Narrow" w:hAnsi="Arial Narrow"/>
        </w:rPr>
      </w:pPr>
      <w:r w:rsidRPr="00764BC9">
        <w:rPr>
          <w:rFonts w:ascii="Arial Narrow" w:hAnsi="Arial Narrow"/>
        </w:rPr>
        <w:lastRenderedPageBreak/>
        <w:t xml:space="preserve">Ramos, M. A., Silva, T. L., &amp; Sousa, R. M. (2020). </w:t>
      </w:r>
      <w:r w:rsidRPr="00764BC9">
        <w:rPr>
          <w:rFonts w:ascii="Arial Narrow" w:hAnsi="Arial Narrow"/>
          <w:lang w:val="en-US"/>
        </w:rPr>
        <w:t xml:space="preserve">Hybrid renewable energy systems for small-scale rural </w:t>
      </w:r>
      <w:proofErr w:type="spellStart"/>
      <w:r w:rsidRPr="00764BC9">
        <w:rPr>
          <w:rFonts w:ascii="Arial Narrow" w:hAnsi="Arial Narrow"/>
          <w:lang w:val="en-US"/>
        </w:rPr>
        <w:t>agroindustries</w:t>
      </w:r>
      <w:proofErr w:type="spellEnd"/>
      <w:r w:rsidRPr="00764BC9">
        <w:rPr>
          <w:rFonts w:ascii="Arial Narrow" w:hAnsi="Arial Narrow"/>
          <w:lang w:val="en-US"/>
        </w:rPr>
        <w:t xml:space="preserve">: A case study in Colombia. </w:t>
      </w:r>
      <w:proofErr w:type="spellStart"/>
      <w:r w:rsidRPr="00764BC9">
        <w:rPr>
          <w:rFonts w:ascii="Arial Narrow" w:hAnsi="Arial Narrow"/>
          <w:i/>
          <w:iCs/>
        </w:rPr>
        <w:t>Renewable</w:t>
      </w:r>
      <w:proofErr w:type="spellEnd"/>
      <w:r w:rsidRPr="00764BC9">
        <w:rPr>
          <w:rFonts w:ascii="Arial Narrow" w:hAnsi="Arial Narrow"/>
          <w:i/>
          <w:iCs/>
        </w:rPr>
        <w:t xml:space="preserve"> Energy</w:t>
      </w:r>
      <w:r w:rsidRPr="00764BC9">
        <w:rPr>
          <w:rFonts w:ascii="Arial Narrow" w:hAnsi="Arial Narrow"/>
        </w:rPr>
        <w:t>, 146, 1527-1539. https://doi.org/10.1016/j.renene.2019.07.085</w:t>
      </w:r>
    </w:p>
    <w:p w14:paraId="7EE022FF" w14:textId="77777777" w:rsidR="00764BC9" w:rsidRPr="00764BC9" w:rsidRDefault="00764BC9" w:rsidP="00764BC9">
      <w:pPr>
        <w:numPr>
          <w:ilvl w:val="0"/>
          <w:numId w:val="9"/>
        </w:numPr>
        <w:jc w:val="both"/>
        <w:rPr>
          <w:rFonts w:ascii="Arial Narrow" w:hAnsi="Arial Narrow"/>
          <w:lang w:val="en-US"/>
        </w:rPr>
      </w:pPr>
      <w:proofErr w:type="spellStart"/>
      <w:r w:rsidRPr="00764BC9">
        <w:rPr>
          <w:rFonts w:ascii="Arial Narrow" w:hAnsi="Arial Narrow"/>
        </w:rPr>
        <w:t>Scarlat</w:t>
      </w:r>
      <w:proofErr w:type="spellEnd"/>
      <w:r w:rsidRPr="00764BC9">
        <w:rPr>
          <w:rFonts w:ascii="Arial Narrow" w:hAnsi="Arial Narrow"/>
        </w:rPr>
        <w:t xml:space="preserve">, N., </w:t>
      </w:r>
      <w:proofErr w:type="spellStart"/>
      <w:r w:rsidRPr="00764BC9">
        <w:rPr>
          <w:rFonts w:ascii="Arial Narrow" w:hAnsi="Arial Narrow"/>
        </w:rPr>
        <w:t>Dallemand</w:t>
      </w:r>
      <w:proofErr w:type="spellEnd"/>
      <w:r w:rsidRPr="00764BC9">
        <w:rPr>
          <w:rFonts w:ascii="Arial Narrow" w:hAnsi="Arial Narrow"/>
        </w:rPr>
        <w:t xml:space="preserve">, J. F., </w:t>
      </w:r>
      <w:proofErr w:type="spellStart"/>
      <w:r w:rsidRPr="00764BC9">
        <w:rPr>
          <w:rFonts w:ascii="Arial Narrow" w:hAnsi="Arial Narrow"/>
        </w:rPr>
        <w:t>Monforti-Ferrario</w:t>
      </w:r>
      <w:proofErr w:type="spellEnd"/>
      <w:r w:rsidRPr="00764BC9">
        <w:rPr>
          <w:rFonts w:ascii="Arial Narrow" w:hAnsi="Arial Narrow"/>
        </w:rPr>
        <w:t xml:space="preserve">, F., &amp; </w:t>
      </w:r>
      <w:proofErr w:type="spellStart"/>
      <w:r w:rsidRPr="00764BC9">
        <w:rPr>
          <w:rFonts w:ascii="Arial Narrow" w:hAnsi="Arial Narrow"/>
        </w:rPr>
        <w:t>Banja</w:t>
      </w:r>
      <w:proofErr w:type="spellEnd"/>
      <w:r w:rsidRPr="00764BC9">
        <w:rPr>
          <w:rFonts w:ascii="Arial Narrow" w:hAnsi="Arial Narrow"/>
        </w:rPr>
        <w:t xml:space="preserve">, M. (2015). </w:t>
      </w:r>
      <w:r w:rsidRPr="00764BC9">
        <w:rPr>
          <w:rFonts w:ascii="Arial Narrow" w:hAnsi="Arial Narrow"/>
          <w:lang w:val="en-US"/>
        </w:rPr>
        <w:t xml:space="preserve">Renewable energy policy framework and bioenergy contribution in the European Union – An overview from National Renewable Energy Action Plans and Progress Reports. </w:t>
      </w:r>
      <w:r w:rsidRPr="00764BC9">
        <w:rPr>
          <w:rFonts w:ascii="Arial Narrow" w:hAnsi="Arial Narrow"/>
          <w:i/>
          <w:iCs/>
          <w:lang w:val="en-US"/>
        </w:rPr>
        <w:t>Renewable and Sustainable Energy Reviews</w:t>
      </w:r>
      <w:r w:rsidRPr="00764BC9">
        <w:rPr>
          <w:rFonts w:ascii="Arial Narrow" w:hAnsi="Arial Narrow"/>
          <w:lang w:val="en-US"/>
        </w:rPr>
        <w:t>, 51, 969-985. https://doi.org/10.1016/j.rser.2015.06.005</w:t>
      </w:r>
    </w:p>
    <w:p w14:paraId="77AB8E37" w14:textId="77777777" w:rsidR="00764BC9" w:rsidRPr="00764BC9" w:rsidRDefault="00764BC9" w:rsidP="00764BC9">
      <w:pPr>
        <w:numPr>
          <w:ilvl w:val="0"/>
          <w:numId w:val="9"/>
        </w:numPr>
        <w:jc w:val="both"/>
        <w:rPr>
          <w:rFonts w:ascii="Arial Narrow" w:hAnsi="Arial Narrow"/>
        </w:rPr>
      </w:pPr>
      <w:r w:rsidRPr="00764BC9">
        <w:rPr>
          <w:rFonts w:ascii="Arial Narrow" w:hAnsi="Arial Narrow"/>
          <w:lang w:val="en-US"/>
        </w:rPr>
        <w:t xml:space="preserve">Tsolakis, N., </w:t>
      </w:r>
      <w:proofErr w:type="spellStart"/>
      <w:r w:rsidRPr="00764BC9">
        <w:rPr>
          <w:rFonts w:ascii="Arial Narrow" w:hAnsi="Arial Narrow"/>
          <w:lang w:val="en-US"/>
        </w:rPr>
        <w:t>Keramydas</w:t>
      </w:r>
      <w:proofErr w:type="spellEnd"/>
      <w:r w:rsidRPr="00764BC9">
        <w:rPr>
          <w:rFonts w:ascii="Arial Narrow" w:hAnsi="Arial Narrow"/>
          <w:lang w:val="en-US"/>
        </w:rPr>
        <w:t xml:space="preserve">, C. A., Toka, A. K., </w:t>
      </w:r>
      <w:proofErr w:type="spellStart"/>
      <w:r w:rsidRPr="00764BC9">
        <w:rPr>
          <w:rFonts w:ascii="Arial Narrow" w:hAnsi="Arial Narrow"/>
          <w:lang w:val="en-US"/>
        </w:rPr>
        <w:t>Aidonis</w:t>
      </w:r>
      <w:proofErr w:type="spellEnd"/>
      <w:r w:rsidRPr="00764BC9">
        <w:rPr>
          <w:rFonts w:ascii="Arial Narrow" w:hAnsi="Arial Narrow"/>
          <w:lang w:val="en-US"/>
        </w:rPr>
        <w:t xml:space="preserve">, D., &amp; Iakovou, E. T. (2014). Agrifood supply chain management: A comprehensive hierarchical decision-making framework and a critical taxonomy. </w:t>
      </w:r>
      <w:proofErr w:type="spellStart"/>
      <w:r w:rsidRPr="00764BC9">
        <w:rPr>
          <w:rFonts w:ascii="Arial Narrow" w:hAnsi="Arial Narrow"/>
          <w:i/>
          <w:iCs/>
        </w:rPr>
        <w:t>Biosystems</w:t>
      </w:r>
      <w:proofErr w:type="spellEnd"/>
      <w:r w:rsidRPr="00764BC9">
        <w:rPr>
          <w:rFonts w:ascii="Arial Narrow" w:hAnsi="Arial Narrow"/>
          <w:i/>
          <w:iCs/>
        </w:rPr>
        <w:t xml:space="preserve"> </w:t>
      </w:r>
      <w:proofErr w:type="spellStart"/>
      <w:r w:rsidRPr="00764BC9">
        <w:rPr>
          <w:rFonts w:ascii="Arial Narrow" w:hAnsi="Arial Narrow"/>
          <w:i/>
          <w:iCs/>
        </w:rPr>
        <w:t>Engineering</w:t>
      </w:r>
      <w:proofErr w:type="spellEnd"/>
      <w:r w:rsidRPr="00764BC9">
        <w:rPr>
          <w:rFonts w:ascii="Arial Narrow" w:hAnsi="Arial Narrow"/>
        </w:rPr>
        <w:t>, 120, 47-64. https://doi.org/10.1016/j.biosystemseng.2014.02.009</w:t>
      </w:r>
    </w:p>
    <w:p w14:paraId="1E40E43F" w14:textId="77777777" w:rsidR="00764BC9" w:rsidRPr="001A3A62" w:rsidRDefault="00764BC9" w:rsidP="001A3A62">
      <w:pPr>
        <w:jc w:val="both"/>
        <w:rPr>
          <w:rFonts w:ascii="Arial Narrow" w:hAnsi="Arial Narrow"/>
        </w:rPr>
      </w:pPr>
    </w:p>
    <w:sectPr w:rsidR="00764BC9" w:rsidRPr="001A3A6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953C0"/>
    <w:multiLevelType w:val="multilevel"/>
    <w:tmpl w:val="802C98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C77CB9"/>
    <w:multiLevelType w:val="multilevel"/>
    <w:tmpl w:val="48069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664179"/>
    <w:multiLevelType w:val="multilevel"/>
    <w:tmpl w:val="F2D8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73855"/>
    <w:multiLevelType w:val="multilevel"/>
    <w:tmpl w:val="B7F0E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0B590F"/>
    <w:multiLevelType w:val="multilevel"/>
    <w:tmpl w:val="DDA6EB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1F75D4"/>
    <w:multiLevelType w:val="multilevel"/>
    <w:tmpl w:val="34DA0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9549DE"/>
    <w:multiLevelType w:val="multilevel"/>
    <w:tmpl w:val="FEF47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4A4874"/>
    <w:multiLevelType w:val="multilevel"/>
    <w:tmpl w:val="BE9AB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F82AD3"/>
    <w:multiLevelType w:val="multilevel"/>
    <w:tmpl w:val="370C1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5006550">
    <w:abstractNumId w:val="7"/>
  </w:num>
  <w:num w:numId="2" w16cid:durableId="1362707494">
    <w:abstractNumId w:val="0"/>
  </w:num>
  <w:num w:numId="3" w16cid:durableId="477185094">
    <w:abstractNumId w:val="3"/>
  </w:num>
  <w:num w:numId="4" w16cid:durableId="724377146">
    <w:abstractNumId w:val="6"/>
  </w:num>
  <w:num w:numId="5" w16cid:durableId="534201767">
    <w:abstractNumId w:val="1"/>
  </w:num>
  <w:num w:numId="6" w16cid:durableId="743258454">
    <w:abstractNumId w:val="4"/>
  </w:num>
  <w:num w:numId="7" w16cid:durableId="1103964045">
    <w:abstractNumId w:val="5"/>
  </w:num>
  <w:num w:numId="8" w16cid:durableId="1222449059">
    <w:abstractNumId w:val="8"/>
  </w:num>
  <w:num w:numId="9" w16cid:durableId="11649741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0B0"/>
    <w:rsid w:val="001A3A62"/>
    <w:rsid w:val="003A50B0"/>
    <w:rsid w:val="00626DAC"/>
    <w:rsid w:val="00764BC9"/>
    <w:rsid w:val="00866339"/>
    <w:rsid w:val="00BD2967"/>
    <w:rsid w:val="00D35C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59BD8"/>
  <w15:chartTrackingRefBased/>
  <w15:docId w15:val="{3BA2CAE9-8455-41D6-B333-D47187AE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A50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A50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A50B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A50B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A50B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A50B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A50B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A50B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A50B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50B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A50B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A50B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A50B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A50B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A50B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A50B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A50B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A50B0"/>
    <w:rPr>
      <w:rFonts w:eastAsiaTheme="majorEastAsia" w:cstheme="majorBidi"/>
      <w:color w:val="272727" w:themeColor="text1" w:themeTint="D8"/>
    </w:rPr>
  </w:style>
  <w:style w:type="paragraph" w:styleId="Ttulo">
    <w:name w:val="Title"/>
    <w:basedOn w:val="Normal"/>
    <w:next w:val="Normal"/>
    <w:link w:val="TtuloCar"/>
    <w:uiPriority w:val="10"/>
    <w:qFormat/>
    <w:rsid w:val="003A50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A50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A50B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A50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A50B0"/>
    <w:pPr>
      <w:spacing w:before="160"/>
      <w:jc w:val="center"/>
    </w:pPr>
    <w:rPr>
      <w:i/>
      <w:iCs/>
      <w:color w:val="404040" w:themeColor="text1" w:themeTint="BF"/>
    </w:rPr>
  </w:style>
  <w:style w:type="character" w:customStyle="1" w:styleId="CitaCar">
    <w:name w:val="Cita Car"/>
    <w:basedOn w:val="Fuentedeprrafopredeter"/>
    <w:link w:val="Cita"/>
    <w:uiPriority w:val="29"/>
    <w:rsid w:val="003A50B0"/>
    <w:rPr>
      <w:i/>
      <w:iCs/>
      <w:color w:val="404040" w:themeColor="text1" w:themeTint="BF"/>
    </w:rPr>
  </w:style>
  <w:style w:type="paragraph" w:styleId="Prrafodelista">
    <w:name w:val="List Paragraph"/>
    <w:basedOn w:val="Normal"/>
    <w:uiPriority w:val="34"/>
    <w:qFormat/>
    <w:rsid w:val="003A50B0"/>
    <w:pPr>
      <w:ind w:left="720"/>
      <w:contextualSpacing/>
    </w:pPr>
  </w:style>
  <w:style w:type="character" w:styleId="nfasisintenso">
    <w:name w:val="Intense Emphasis"/>
    <w:basedOn w:val="Fuentedeprrafopredeter"/>
    <w:uiPriority w:val="21"/>
    <w:qFormat/>
    <w:rsid w:val="003A50B0"/>
    <w:rPr>
      <w:i/>
      <w:iCs/>
      <w:color w:val="2F5496" w:themeColor="accent1" w:themeShade="BF"/>
    </w:rPr>
  </w:style>
  <w:style w:type="paragraph" w:styleId="Citadestacada">
    <w:name w:val="Intense Quote"/>
    <w:basedOn w:val="Normal"/>
    <w:next w:val="Normal"/>
    <w:link w:val="CitadestacadaCar"/>
    <w:uiPriority w:val="30"/>
    <w:qFormat/>
    <w:rsid w:val="003A50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A50B0"/>
    <w:rPr>
      <w:i/>
      <w:iCs/>
      <w:color w:val="2F5496" w:themeColor="accent1" w:themeShade="BF"/>
    </w:rPr>
  </w:style>
  <w:style w:type="character" w:styleId="Referenciaintensa">
    <w:name w:val="Intense Reference"/>
    <w:basedOn w:val="Fuentedeprrafopredeter"/>
    <w:uiPriority w:val="32"/>
    <w:qFormat/>
    <w:rsid w:val="003A50B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7557628">
      <w:bodyDiv w:val="1"/>
      <w:marLeft w:val="0"/>
      <w:marRight w:val="0"/>
      <w:marTop w:val="0"/>
      <w:marBottom w:val="0"/>
      <w:divBdr>
        <w:top w:val="none" w:sz="0" w:space="0" w:color="auto"/>
        <w:left w:val="none" w:sz="0" w:space="0" w:color="auto"/>
        <w:bottom w:val="none" w:sz="0" w:space="0" w:color="auto"/>
        <w:right w:val="none" w:sz="0" w:space="0" w:color="auto"/>
      </w:divBdr>
    </w:div>
    <w:div w:id="1576278040">
      <w:bodyDiv w:val="1"/>
      <w:marLeft w:val="0"/>
      <w:marRight w:val="0"/>
      <w:marTop w:val="0"/>
      <w:marBottom w:val="0"/>
      <w:divBdr>
        <w:top w:val="none" w:sz="0" w:space="0" w:color="auto"/>
        <w:left w:val="none" w:sz="0" w:space="0" w:color="auto"/>
        <w:bottom w:val="none" w:sz="0" w:space="0" w:color="auto"/>
        <w:right w:val="none" w:sz="0" w:space="0" w:color="auto"/>
      </w:divBdr>
    </w:div>
    <w:div w:id="1883439544">
      <w:bodyDiv w:val="1"/>
      <w:marLeft w:val="0"/>
      <w:marRight w:val="0"/>
      <w:marTop w:val="0"/>
      <w:marBottom w:val="0"/>
      <w:divBdr>
        <w:top w:val="none" w:sz="0" w:space="0" w:color="auto"/>
        <w:left w:val="none" w:sz="0" w:space="0" w:color="auto"/>
        <w:bottom w:val="none" w:sz="0" w:space="0" w:color="auto"/>
        <w:right w:val="none" w:sz="0" w:space="0" w:color="auto"/>
      </w:divBdr>
      <w:divsChild>
        <w:div w:id="1112092871">
          <w:marLeft w:val="0"/>
          <w:marRight w:val="0"/>
          <w:marTop w:val="0"/>
          <w:marBottom w:val="0"/>
          <w:divBdr>
            <w:top w:val="none" w:sz="0" w:space="0" w:color="auto"/>
            <w:left w:val="none" w:sz="0" w:space="0" w:color="auto"/>
            <w:bottom w:val="none" w:sz="0" w:space="0" w:color="auto"/>
            <w:right w:val="none" w:sz="0" w:space="0" w:color="auto"/>
          </w:divBdr>
          <w:divsChild>
            <w:div w:id="960528291">
              <w:marLeft w:val="0"/>
              <w:marRight w:val="0"/>
              <w:marTop w:val="0"/>
              <w:marBottom w:val="0"/>
              <w:divBdr>
                <w:top w:val="none" w:sz="0" w:space="0" w:color="auto"/>
                <w:left w:val="none" w:sz="0" w:space="0" w:color="auto"/>
                <w:bottom w:val="none" w:sz="0" w:space="0" w:color="auto"/>
                <w:right w:val="none" w:sz="0" w:space="0" w:color="auto"/>
              </w:divBdr>
              <w:divsChild>
                <w:div w:id="223875578">
                  <w:marLeft w:val="0"/>
                  <w:marRight w:val="0"/>
                  <w:marTop w:val="0"/>
                  <w:marBottom w:val="0"/>
                  <w:divBdr>
                    <w:top w:val="none" w:sz="0" w:space="0" w:color="auto"/>
                    <w:left w:val="none" w:sz="0" w:space="0" w:color="auto"/>
                    <w:bottom w:val="none" w:sz="0" w:space="0" w:color="auto"/>
                    <w:right w:val="none" w:sz="0" w:space="0" w:color="auto"/>
                  </w:divBdr>
                  <w:divsChild>
                    <w:div w:id="1288776671">
                      <w:marLeft w:val="0"/>
                      <w:marRight w:val="0"/>
                      <w:marTop w:val="0"/>
                      <w:marBottom w:val="0"/>
                      <w:divBdr>
                        <w:top w:val="none" w:sz="0" w:space="0" w:color="auto"/>
                        <w:left w:val="none" w:sz="0" w:space="0" w:color="auto"/>
                        <w:bottom w:val="none" w:sz="0" w:space="0" w:color="auto"/>
                        <w:right w:val="none" w:sz="0" w:space="0" w:color="auto"/>
                      </w:divBdr>
                      <w:divsChild>
                        <w:div w:id="584340146">
                          <w:marLeft w:val="0"/>
                          <w:marRight w:val="0"/>
                          <w:marTop w:val="0"/>
                          <w:marBottom w:val="0"/>
                          <w:divBdr>
                            <w:top w:val="none" w:sz="0" w:space="0" w:color="auto"/>
                            <w:left w:val="none" w:sz="0" w:space="0" w:color="auto"/>
                            <w:bottom w:val="none" w:sz="0" w:space="0" w:color="auto"/>
                            <w:right w:val="none" w:sz="0" w:space="0" w:color="auto"/>
                          </w:divBdr>
                          <w:divsChild>
                            <w:div w:id="428813870">
                              <w:marLeft w:val="0"/>
                              <w:marRight w:val="0"/>
                              <w:marTop w:val="0"/>
                              <w:marBottom w:val="0"/>
                              <w:divBdr>
                                <w:top w:val="none" w:sz="0" w:space="0" w:color="auto"/>
                                <w:left w:val="none" w:sz="0" w:space="0" w:color="auto"/>
                                <w:bottom w:val="none" w:sz="0" w:space="0" w:color="auto"/>
                                <w:right w:val="none" w:sz="0" w:space="0" w:color="auto"/>
                              </w:divBdr>
                              <w:divsChild>
                                <w:div w:id="479033383">
                                  <w:marLeft w:val="0"/>
                                  <w:marRight w:val="0"/>
                                  <w:marTop w:val="0"/>
                                  <w:marBottom w:val="0"/>
                                  <w:divBdr>
                                    <w:top w:val="none" w:sz="0" w:space="0" w:color="auto"/>
                                    <w:left w:val="none" w:sz="0" w:space="0" w:color="auto"/>
                                    <w:bottom w:val="none" w:sz="0" w:space="0" w:color="auto"/>
                                    <w:right w:val="none" w:sz="0" w:space="0" w:color="auto"/>
                                  </w:divBdr>
                                  <w:divsChild>
                                    <w:div w:id="158001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091888">
                          <w:marLeft w:val="0"/>
                          <w:marRight w:val="0"/>
                          <w:marTop w:val="0"/>
                          <w:marBottom w:val="0"/>
                          <w:divBdr>
                            <w:top w:val="none" w:sz="0" w:space="0" w:color="auto"/>
                            <w:left w:val="none" w:sz="0" w:space="0" w:color="auto"/>
                            <w:bottom w:val="none" w:sz="0" w:space="0" w:color="auto"/>
                            <w:right w:val="none" w:sz="0" w:space="0" w:color="auto"/>
                          </w:divBdr>
                          <w:divsChild>
                            <w:div w:id="1975484274">
                              <w:marLeft w:val="0"/>
                              <w:marRight w:val="0"/>
                              <w:marTop w:val="0"/>
                              <w:marBottom w:val="0"/>
                              <w:divBdr>
                                <w:top w:val="none" w:sz="0" w:space="0" w:color="auto"/>
                                <w:left w:val="none" w:sz="0" w:space="0" w:color="auto"/>
                                <w:bottom w:val="none" w:sz="0" w:space="0" w:color="auto"/>
                                <w:right w:val="none" w:sz="0" w:space="0" w:color="auto"/>
                              </w:divBdr>
                              <w:divsChild>
                                <w:div w:id="661733797">
                                  <w:marLeft w:val="0"/>
                                  <w:marRight w:val="0"/>
                                  <w:marTop w:val="0"/>
                                  <w:marBottom w:val="0"/>
                                  <w:divBdr>
                                    <w:top w:val="none" w:sz="0" w:space="0" w:color="auto"/>
                                    <w:left w:val="none" w:sz="0" w:space="0" w:color="auto"/>
                                    <w:bottom w:val="none" w:sz="0" w:space="0" w:color="auto"/>
                                    <w:right w:val="none" w:sz="0" w:space="0" w:color="auto"/>
                                  </w:divBdr>
                                  <w:divsChild>
                                    <w:div w:id="4768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328240">
          <w:marLeft w:val="0"/>
          <w:marRight w:val="0"/>
          <w:marTop w:val="0"/>
          <w:marBottom w:val="0"/>
          <w:divBdr>
            <w:top w:val="none" w:sz="0" w:space="0" w:color="auto"/>
            <w:left w:val="none" w:sz="0" w:space="0" w:color="auto"/>
            <w:bottom w:val="none" w:sz="0" w:space="0" w:color="auto"/>
            <w:right w:val="none" w:sz="0" w:space="0" w:color="auto"/>
          </w:divBdr>
          <w:divsChild>
            <w:div w:id="615869222">
              <w:marLeft w:val="0"/>
              <w:marRight w:val="0"/>
              <w:marTop w:val="0"/>
              <w:marBottom w:val="0"/>
              <w:divBdr>
                <w:top w:val="none" w:sz="0" w:space="0" w:color="auto"/>
                <w:left w:val="none" w:sz="0" w:space="0" w:color="auto"/>
                <w:bottom w:val="none" w:sz="0" w:space="0" w:color="auto"/>
                <w:right w:val="none" w:sz="0" w:space="0" w:color="auto"/>
              </w:divBdr>
              <w:divsChild>
                <w:div w:id="1673608040">
                  <w:marLeft w:val="0"/>
                  <w:marRight w:val="0"/>
                  <w:marTop w:val="0"/>
                  <w:marBottom w:val="0"/>
                  <w:divBdr>
                    <w:top w:val="none" w:sz="0" w:space="0" w:color="auto"/>
                    <w:left w:val="none" w:sz="0" w:space="0" w:color="auto"/>
                    <w:bottom w:val="none" w:sz="0" w:space="0" w:color="auto"/>
                    <w:right w:val="none" w:sz="0" w:space="0" w:color="auto"/>
                  </w:divBdr>
                  <w:divsChild>
                    <w:div w:id="1782720174">
                      <w:marLeft w:val="0"/>
                      <w:marRight w:val="0"/>
                      <w:marTop w:val="0"/>
                      <w:marBottom w:val="0"/>
                      <w:divBdr>
                        <w:top w:val="none" w:sz="0" w:space="0" w:color="auto"/>
                        <w:left w:val="none" w:sz="0" w:space="0" w:color="auto"/>
                        <w:bottom w:val="none" w:sz="0" w:space="0" w:color="auto"/>
                        <w:right w:val="none" w:sz="0" w:space="0" w:color="auto"/>
                      </w:divBdr>
                      <w:divsChild>
                        <w:div w:id="557057284">
                          <w:marLeft w:val="0"/>
                          <w:marRight w:val="0"/>
                          <w:marTop w:val="0"/>
                          <w:marBottom w:val="0"/>
                          <w:divBdr>
                            <w:top w:val="none" w:sz="0" w:space="0" w:color="auto"/>
                            <w:left w:val="none" w:sz="0" w:space="0" w:color="auto"/>
                            <w:bottom w:val="none" w:sz="0" w:space="0" w:color="auto"/>
                            <w:right w:val="none" w:sz="0" w:space="0" w:color="auto"/>
                          </w:divBdr>
                          <w:divsChild>
                            <w:div w:id="1510101796">
                              <w:marLeft w:val="0"/>
                              <w:marRight w:val="0"/>
                              <w:marTop w:val="0"/>
                              <w:marBottom w:val="0"/>
                              <w:divBdr>
                                <w:top w:val="none" w:sz="0" w:space="0" w:color="auto"/>
                                <w:left w:val="none" w:sz="0" w:space="0" w:color="auto"/>
                                <w:bottom w:val="none" w:sz="0" w:space="0" w:color="auto"/>
                                <w:right w:val="none" w:sz="0" w:space="0" w:color="auto"/>
                              </w:divBdr>
                              <w:divsChild>
                                <w:div w:id="851340508">
                                  <w:marLeft w:val="0"/>
                                  <w:marRight w:val="0"/>
                                  <w:marTop w:val="0"/>
                                  <w:marBottom w:val="0"/>
                                  <w:divBdr>
                                    <w:top w:val="none" w:sz="0" w:space="0" w:color="auto"/>
                                    <w:left w:val="none" w:sz="0" w:space="0" w:color="auto"/>
                                    <w:bottom w:val="none" w:sz="0" w:space="0" w:color="auto"/>
                                    <w:right w:val="none" w:sz="0" w:space="0" w:color="auto"/>
                                  </w:divBdr>
                                  <w:divsChild>
                                    <w:div w:id="1809861125">
                                      <w:marLeft w:val="0"/>
                                      <w:marRight w:val="0"/>
                                      <w:marTop w:val="0"/>
                                      <w:marBottom w:val="0"/>
                                      <w:divBdr>
                                        <w:top w:val="none" w:sz="0" w:space="0" w:color="auto"/>
                                        <w:left w:val="none" w:sz="0" w:space="0" w:color="auto"/>
                                        <w:bottom w:val="none" w:sz="0" w:space="0" w:color="auto"/>
                                        <w:right w:val="none" w:sz="0" w:space="0" w:color="auto"/>
                                      </w:divBdr>
                                      <w:divsChild>
                                        <w:div w:id="124691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0876195">
          <w:marLeft w:val="0"/>
          <w:marRight w:val="0"/>
          <w:marTop w:val="0"/>
          <w:marBottom w:val="0"/>
          <w:divBdr>
            <w:top w:val="none" w:sz="0" w:space="0" w:color="auto"/>
            <w:left w:val="none" w:sz="0" w:space="0" w:color="auto"/>
            <w:bottom w:val="none" w:sz="0" w:space="0" w:color="auto"/>
            <w:right w:val="none" w:sz="0" w:space="0" w:color="auto"/>
          </w:divBdr>
          <w:divsChild>
            <w:div w:id="1240216973">
              <w:marLeft w:val="0"/>
              <w:marRight w:val="0"/>
              <w:marTop w:val="0"/>
              <w:marBottom w:val="0"/>
              <w:divBdr>
                <w:top w:val="none" w:sz="0" w:space="0" w:color="auto"/>
                <w:left w:val="none" w:sz="0" w:space="0" w:color="auto"/>
                <w:bottom w:val="none" w:sz="0" w:space="0" w:color="auto"/>
                <w:right w:val="none" w:sz="0" w:space="0" w:color="auto"/>
              </w:divBdr>
              <w:divsChild>
                <w:div w:id="178131350">
                  <w:marLeft w:val="0"/>
                  <w:marRight w:val="0"/>
                  <w:marTop w:val="0"/>
                  <w:marBottom w:val="0"/>
                  <w:divBdr>
                    <w:top w:val="none" w:sz="0" w:space="0" w:color="auto"/>
                    <w:left w:val="none" w:sz="0" w:space="0" w:color="auto"/>
                    <w:bottom w:val="none" w:sz="0" w:space="0" w:color="auto"/>
                    <w:right w:val="none" w:sz="0" w:space="0" w:color="auto"/>
                  </w:divBdr>
                  <w:divsChild>
                    <w:div w:id="2064788857">
                      <w:marLeft w:val="0"/>
                      <w:marRight w:val="0"/>
                      <w:marTop w:val="0"/>
                      <w:marBottom w:val="0"/>
                      <w:divBdr>
                        <w:top w:val="none" w:sz="0" w:space="0" w:color="auto"/>
                        <w:left w:val="none" w:sz="0" w:space="0" w:color="auto"/>
                        <w:bottom w:val="none" w:sz="0" w:space="0" w:color="auto"/>
                        <w:right w:val="none" w:sz="0" w:space="0" w:color="auto"/>
                      </w:divBdr>
                      <w:divsChild>
                        <w:div w:id="1690447925">
                          <w:marLeft w:val="0"/>
                          <w:marRight w:val="0"/>
                          <w:marTop w:val="0"/>
                          <w:marBottom w:val="0"/>
                          <w:divBdr>
                            <w:top w:val="none" w:sz="0" w:space="0" w:color="auto"/>
                            <w:left w:val="none" w:sz="0" w:space="0" w:color="auto"/>
                            <w:bottom w:val="none" w:sz="0" w:space="0" w:color="auto"/>
                            <w:right w:val="none" w:sz="0" w:space="0" w:color="auto"/>
                          </w:divBdr>
                          <w:divsChild>
                            <w:div w:id="1622960268">
                              <w:marLeft w:val="0"/>
                              <w:marRight w:val="0"/>
                              <w:marTop w:val="0"/>
                              <w:marBottom w:val="0"/>
                              <w:divBdr>
                                <w:top w:val="none" w:sz="0" w:space="0" w:color="auto"/>
                                <w:left w:val="none" w:sz="0" w:space="0" w:color="auto"/>
                                <w:bottom w:val="none" w:sz="0" w:space="0" w:color="auto"/>
                                <w:right w:val="none" w:sz="0" w:space="0" w:color="auto"/>
                              </w:divBdr>
                              <w:divsChild>
                                <w:div w:id="154097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088549">
                  <w:marLeft w:val="0"/>
                  <w:marRight w:val="0"/>
                  <w:marTop w:val="0"/>
                  <w:marBottom w:val="0"/>
                  <w:divBdr>
                    <w:top w:val="none" w:sz="0" w:space="0" w:color="auto"/>
                    <w:left w:val="none" w:sz="0" w:space="0" w:color="auto"/>
                    <w:bottom w:val="none" w:sz="0" w:space="0" w:color="auto"/>
                    <w:right w:val="none" w:sz="0" w:space="0" w:color="auto"/>
                  </w:divBdr>
                  <w:divsChild>
                    <w:div w:id="1636597758">
                      <w:marLeft w:val="0"/>
                      <w:marRight w:val="0"/>
                      <w:marTop w:val="0"/>
                      <w:marBottom w:val="0"/>
                      <w:divBdr>
                        <w:top w:val="none" w:sz="0" w:space="0" w:color="auto"/>
                        <w:left w:val="none" w:sz="0" w:space="0" w:color="auto"/>
                        <w:bottom w:val="none" w:sz="0" w:space="0" w:color="auto"/>
                        <w:right w:val="none" w:sz="0" w:space="0" w:color="auto"/>
                      </w:divBdr>
                      <w:divsChild>
                        <w:div w:id="473714366">
                          <w:marLeft w:val="0"/>
                          <w:marRight w:val="0"/>
                          <w:marTop w:val="0"/>
                          <w:marBottom w:val="0"/>
                          <w:divBdr>
                            <w:top w:val="none" w:sz="0" w:space="0" w:color="auto"/>
                            <w:left w:val="none" w:sz="0" w:space="0" w:color="auto"/>
                            <w:bottom w:val="none" w:sz="0" w:space="0" w:color="auto"/>
                            <w:right w:val="none" w:sz="0" w:space="0" w:color="auto"/>
                          </w:divBdr>
                          <w:divsChild>
                            <w:div w:id="47264986">
                              <w:marLeft w:val="0"/>
                              <w:marRight w:val="0"/>
                              <w:marTop w:val="0"/>
                              <w:marBottom w:val="0"/>
                              <w:divBdr>
                                <w:top w:val="none" w:sz="0" w:space="0" w:color="auto"/>
                                <w:left w:val="none" w:sz="0" w:space="0" w:color="auto"/>
                                <w:bottom w:val="none" w:sz="0" w:space="0" w:color="auto"/>
                                <w:right w:val="none" w:sz="0" w:space="0" w:color="auto"/>
                              </w:divBdr>
                              <w:divsChild>
                                <w:div w:id="647132492">
                                  <w:marLeft w:val="0"/>
                                  <w:marRight w:val="0"/>
                                  <w:marTop w:val="0"/>
                                  <w:marBottom w:val="0"/>
                                  <w:divBdr>
                                    <w:top w:val="none" w:sz="0" w:space="0" w:color="auto"/>
                                    <w:left w:val="none" w:sz="0" w:space="0" w:color="auto"/>
                                    <w:bottom w:val="none" w:sz="0" w:space="0" w:color="auto"/>
                                    <w:right w:val="none" w:sz="0" w:space="0" w:color="auto"/>
                                  </w:divBdr>
                                  <w:divsChild>
                                    <w:div w:id="211786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4338266">
      <w:bodyDiv w:val="1"/>
      <w:marLeft w:val="0"/>
      <w:marRight w:val="0"/>
      <w:marTop w:val="0"/>
      <w:marBottom w:val="0"/>
      <w:divBdr>
        <w:top w:val="none" w:sz="0" w:space="0" w:color="auto"/>
        <w:left w:val="none" w:sz="0" w:space="0" w:color="auto"/>
        <w:bottom w:val="none" w:sz="0" w:space="0" w:color="auto"/>
        <w:right w:val="none" w:sz="0" w:space="0" w:color="auto"/>
      </w:divBdr>
      <w:divsChild>
        <w:div w:id="280578069">
          <w:marLeft w:val="0"/>
          <w:marRight w:val="0"/>
          <w:marTop w:val="0"/>
          <w:marBottom w:val="0"/>
          <w:divBdr>
            <w:top w:val="none" w:sz="0" w:space="0" w:color="auto"/>
            <w:left w:val="none" w:sz="0" w:space="0" w:color="auto"/>
            <w:bottom w:val="none" w:sz="0" w:space="0" w:color="auto"/>
            <w:right w:val="none" w:sz="0" w:space="0" w:color="auto"/>
          </w:divBdr>
          <w:divsChild>
            <w:div w:id="1407607832">
              <w:marLeft w:val="0"/>
              <w:marRight w:val="0"/>
              <w:marTop w:val="0"/>
              <w:marBottom w:val="0"/>
              <w:divBdr>
                <w:top w:val="none" w:sz="0" w:space="0" w:color="auto"/>
                <w:left w:val="none" w:sz="0" w:space="0" w:color="auto"/>
                <w:bottom w:val="none" w:sz="0" w:space="0" w:color="auto"/>
                <w:right w:val="none" w:sz="0" w:space="0" w:color="auto"/>
              </w:divBdr>
              <w:divsChild>
                <w:div w:id="78329678">
                  <w:marLeft w:val="0"/>
                  <w:marRight w:val="0"/>
                  <w:marTop w:val="0"/>
                  <w:marBottom w:val="0"/>
                  <w:divBdr>
                    <w:top w:val="none" w:sz="0" w:space="0" w:color="auto"/>
                    <w:left w:val="none" w:sz="0" w:space="0" w:color="auto"/>
                    <w:bottom w:val="none" w:sz="0" w:space="0" w:color="auto"/>
                    <w:right w:val="none" w:sz="0" w:space="0" w:color="auto"/>
                  </w:divBdr>
                  <w:divsChild>
                    <w:div w:id="2062091124">
                      <w:marLeft w:val="0"/>
                      <w:marRight w:val="0"/>
                      <w:marTop w:val="0"/>
                      <w:marBottom w:val="0"/>
                      <w:divBdr>
                        <w:top w:val="none" w:sz="0" w:space="0" w:color="auto"/>
                        <w:left w:val="none" w:sz="0" w:space="0" w:color="auto"/>
                        <w:bottom w:val="none" w:sz="0" w:space="0" w:color="auto"/>
                        <w:right w:val="none" w:sz="0" w:space="0" w:color="auto"/>
                      </w:divBdr>
                      <w:divsChild>
                        <w:div w:id="1585413049">
                          <w:marLeft w:val="0"/>
                          <w:marRight w:val="0"/>
                          <w:marTop w:val="0"/>
                          <w:marBottom w:val="0"/>
                          <w:divBdr>
                            <w:top w:val="none" w:sz="0" w:space="0" w:color="auto"/>
                            <w:left w:val="none" w:sz="0" w:space="0" w:color="auto"/>
                            <w:bottom w:val="none" w:sz="0" w:space="0" w:color="auto"/>
                            <w:right w:val="none" w:sz="0" w:space="0" w:color="auto"/>
                          </w:divBdr>
                          <w:divsChild>
                            <w:div w:id="1438018853">
                              <w:marLeft w:val="0"/>
                              <w:marRight w:val="0"/>
                              <w:marTop w:val="0"/>
                              <w:marBottom w:val="0"/>
                              <w:divBdr>
                                <w:top w:val="none" w:sz="0" w:space="0" w:color="auto"/>
                                <w:left w:val="none" w:sz="0" w:space="0" w:color="auto"/>
                                <w:bottom w:val="none" w:sz="0" w:space="0" w:color="auto"/>
                                <w:right w:val="none" w:sz="0" w:space="0" w:color="auto"/>
                              </w:divBdr>
                              <w:divsChild>
                                <w:div w:id="314145950">
                                  <w:marLeft w:val="0"/>
                                  <w:marRight w:val="0"/>
                                  <w:marTop w:val="0"/>
                                  <w:marBottom w:val="0"/>
                                  <w:divBdr>
                                    <w:top w:val="none" w:sz="0" w:space="0" w:color="auto"/>
                                    <w:left w:val="none" w:sz="0" w:space="0" w:color="auto"/>
                                    <w:bottom w:val="none" w:sz="0" w:space="0" w:color="auto"/>
                                    <w:right w:val="none" w:sz="0" w:space="0" w:color="auto"/>
                                  </w:divBdr>
                                  <w:divsChild>
                                    <w:div w:id="17133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766403">
                          <w:marLeft w:val="0"/>
                          <w:marRight w:val="0"/>
                          <w:marTop w:val="0"/>
                          <w:marBottom w:val="0"/>
                          <w:divBdr>
                            <w:top w:val="none" w:sz="0" w:space="0" w:color="auto"/>
                            <w:left w:val="none" w:sz="0" w:space="0" w:color="auto"/>
                            <w:bottom w:val="none" w:sz="0" w:space="0" w:color="auto"/>
                            <w:right w:val="none" w:sz="0" w:space="0" w:color="auto"/>
                          </w:divBdr>
                          <w:divsChild>
                            <w:div w:id="1615870683">
                              <w:marLeft w:val="0"/>
                              <w:marRight w:val="0"/>
                              <w:marTop w:val="0"/>
                              <w:marBottom w:val="0"/>
                              <w:divBdr>
                                <w:top w:val="none" w:sz="0" w:space="0" w:color="auto"/>
                                <w:left w:val="none" w:sz="0" w:space="0" w:color="auto"/>
                                <w:bottom w:val="none" w:sz="0" w:space="0" w:color="auto"/>
                                <w:right w:val="none" w:sz="0" w:space="0" w:color="auto"/>
                              </w:divBdr>
                              <w:divsChild>
                                <w:div w:id="2016033615">
                                  <w:marLeft w:val="0"/>
                                  <w:marRight w:val="0"/>
                                  <w:marTop w:val="0"/>
                                  <w:marBottom w:val="0"/>
                                  <w:divBdr>
                                    <w:top w:val="none" w:sz="0" w:space="0" w:color="auto"/>
                                    <w:left w:val="none" w:sz="0" w:space="0" w:color="auto"/>
                                    <w:bottom w:val="none" w:sz="0" w:space="0" w:color="auto"/>
                                    <w:right w:val="none" w:sz="0" w:space="0" w:color="auto"/>
                                  </w:divBdr>
                                  <w:divsChild>
                                    <w:div w:id="20907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7767297">
          <w:marLeft w:val="0"/>
          <w:marRight w:val="0"/>
          <w:marTop w:val="0"/>
          <w:marBottom w:val="0"/>
          <w:divBdr>
            <w:top w:val="none" w:sz="0" w:space="0" w:color="auto"/>
            <w:left w:val="none" w:sz="0" w:space="0" w:color="auto"/>
            <w:bottom w:val="none" w:sz="0" w:space="0" w:color="auto"/>
            <w:right w:val="none" w:sz="0" w:space="0" w:color="auto"/>
          </w:divBdr>
          <w:divsChild>
            <w:div w:id="764033256">
              <w:marLeft w:val="0"/>
              <w:marRight w:val="0"/>
              <w:marTop w:val="0"/>
              <w:marBottom w:val="0"/>
              <w:divBdr>
                <w:top w:val="none" w:sz="0" w:space="0" w:color="auto"/>
                <w:left w:val="none" w:sz="0" w:space="0" w:color="auto"/>
                <w:bottom w:val="none" w:sz="0" w:space="0" w:color="auto"/>
                <w:right w:val="none" w:sz="0" w:space="0" w:color="auto"/>
              </w:divBdr>
              <w:divsChild>
                <w:div w:id="611401256">
                  <w:marLeft w:val="0"/>
                  <w:marRight w:val="0"/>
                  <w:marTop w:val="0"/>
                  <w:marBottom w:val="0"/>
                  <w:divBdr>
                    <w:top w:val="none" w:sz="0" w:space="0" w:color="auto"/>
                    <w:left w:val="none" w:sz="0" w:space="0" w:color="auto"/>
                    <w:bottom w:val="none" w:sz="0" w:space="0" w:color="auto"/>
                    <w:right w:val="none" w:sz="0" w:space="0" w:color="auto"/>
                  </w:divBdr>
                  <w:divsChild>
                    <w:div w:id="516625577">
                      <w:marLeft w:val="0"/>
                      <w:marRight w:val="0"/>
                      <w:marTop w:val="0"/>
                      <w:marBottom w:val="0"/>
                      <w:divBdr>
                        <w:top w:val="none" w:sz="0" w:space="0" w:color="auto"/>
                        <w:left w:val="none" w:sz="0" w:space="0" w:color="auto"/>
                        <w:bottom w:val="none" w:sz="0" w:space="0" w:color="auto"/>
                        <w:right w:val="none" w:sz="0" w:space="0" w:color="auto"/>
                      </w:divBdr>
                      <w:divsChild>
                        <w:div w:id="186142649">
                          <w:marLeft w:val="0"/>
                          <w:marRight w:val="0"/>
                          <w:marTop w:val="0"/>
                          <w:marBottom w:val="0"/>
                          <w:divBdr>
                            <w:top w:val="none" w:sz="0" w:space="0" w:color="auto"/>
                            <w:left w:val="none" w:sz="0" w:space="0" w:color="auto"/>
                            <w:bottom w:val="none" w:sz="0" w:space="0" w:color="auto"/>
                            <w:right w:val="none" w:sz="0" w:space="0" w:color="auto"/>
                          </w:divBdr>
                          <w:divsChild>
                            <w:div w:id="347609303">
                              <w:marLeft w:val="0"/>
                              <w:marRight w:val="0"/>
                              <w:marTop w:val="0"/>
                              <w:marBottom w:val="0"/>
                              <w:divBdr>
                                <w:top w:val="none" w:sz="0" w:space="0" w:color="auto"/>
                                <w:left w:val="none" w:sz="0" w:space="0" w:color="auto"/>
                                <w:bottom w:val="none" w:sz="0" w:space="0" w:color="auto"/>
                                <w:right w:val="none" w:sz="0" w:space="0" w:color="auto"/>
                              </w:divBdr>
                              <w:divsChild>
                                <w:div w:id="17707225">
                                  <w:marLeft w:val="0"/>
                                  <w:marRight w:val="0"/>
                                  <w:marTop w:val="0"/>
                                  <w:marBottom w:val="0"/>
                                  <w:divBdr>
                                    <w:top w:val="none" w:sz="0" w:space="0" w:color="auto"/>
                                    <w:left w:val="none" w:sz="0" w:space="0" w:color="auto"/>
                                    <w:bottom w:val="none" w:sz="0" w:space="0" w:color="auto"/>
                                    <w:right w:val="none" w:sz="0" w:space="0" w:color="auto"/>
                                  </w:divBdr>
                                  <w:divsChild>
                                    <w:div w:id="352341454">
                                      <w:marLeft w:val="0"/>
                                      <w:marRight w:val="0"/>
                                      <w:marTop w:val="0"/>
                                      <w:marBottom w:val="0"/>
                                      <w:divBdr>
                                        <w:top w:val="none" w:sz="0" w:space="0" w:color="auto"/>
                                        <w:left w:val="none" w:sz="0" w:space="0" w:color="auto"/>
                                        <w:bottom w:val="none" w:sz="0" w:space="0" w:color="auto"/>
                                        <w:right w:val="none" w:sz="0" w:space="0" w:color="auto"/>
                                      </w:divBdr>
                                      <w:divsChild>
                                        <w:div w:id="209069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203673">
          <w:marLeft w:val="0"/>
          <w:marRight w:val="0"/>
          <w:marTop w:val="0"/>
          <w:marBottom w:val="0"/>
          <w:divBdr>
            <w:top w:val="none" w:sz="0" w:space="0" w:color="auto"/>
            <w:left w:val="none" w:sz="0" w:space="0" w:color="auto"/>
            <w:bottom w:val="none" w:sz="0" w:space="0" w:color="auto"/>
            <w:right w:val="none" w:sz="0" w:space="0" w:color="auto"/>
          </w:divBdr>
          <w:divsChild>
            <w:div w:id="2070298321">
              <w:marLeft w:val="0"/>
              <w:marRight w:val="0"/>
              <w:marTop w:val="0"/>
              <w:marBottom w:val="0"/>
              <w:divBdr>
                <w:top w:val="none" w:sz="0" w:space="0" w:color="auto"/>
                <w:left w:val="none" w:sz="0" w:space="0" w:color="auto"/>
                <w:bottom w:val="none" w:sz="0" w:space="0" w:color="auto"/>
                <w:right w:val="none" w:sz="0" w:space="0" w:color="auto"/>
              </w:divBdr>
              <w:divsChild>
                <w:div w:id="99373071">
                  <w:marLeft w:val="0"/>
                  <w:marRight w:val="0"/>
                  <w:marTop w:val="0"/>
                  <w:marBottom w:val="0"/>
                  <w:divBdr>
                    <w:top w:val="none" w:sz="0" w:space="0" w:color="auto"/>
                    <w:left w:val="none" w:sz="0" w:space="0" w:color="auto"/>
                    <w:bottom w:val="none" w:sz="0" w:space="0" w:color="auto"/>
                    <w:right w:val="none" w:sz="0" w:space="0" w:color="auto"/>
                  </w:divBdr>
                  <w:divsChild>
                    <w:div w:id="1929386483">
                      <w:marLeft w:val="0"/>
                      <w:marRight w:val="0"/>
                      <w:marTop w:val="0"/>
                      <w:marBottom w:val="0"/>
                      <w:divBdr>
                        <w:top w:val="none" w:sz="0" w:space="0" w:color="auto"/>
                        <w:left w:val="none" w:sz="0" w:space="0" w:color="auto"/>
                        <w:bottom w:val="none" w:sz="0" w:space="0" w:color="auto"/>
                        <w:right w:val="none" w:sz="0" w:space="0" w:color="auto"/>
                      </w:divBdr>
                      <w:divsChild>
                        <w:div w:id="1178346071">
                          <w:marLeft w:val="0"/>
                          <w:marRight w:val="0"/>
                          <w:marTop w:val="0"/>
                          <w:marBottom w:val="0"/>
                          <w:divBdr>
                            <w:top w:val="none" w:sz="0" w:space="0" w:color="auto"/>
                            <w:left w:val="none" w:sz="0" w:space="0" w:color="auto"/>
                            <w:bottom w:val="none" w:sz="0" w:space="0" w:color="auto"/>
                            <w:right w:val="none" w:sz="0" w:space="0" w:color="auto"/>
                          </w:divBdr>
                          <w:divsChild>
                            <w:div w:id="1263150758">
                              <w:marLeft w:val="0"/>
                              <w:marRight w:val="0"/>
                              <w:marTop w:val="0"/>
                              <w:marBottom w:val="0"/>
                              <w:divBdr>
                                <w:top w:val="none" w:sz="0" w:space="0" w:color="auto"/>
                                <w:left w:val="none" w:sz="0" w:space="0" w:color="auto"/>
                                <w:bottom w:val="none" w:sz="0" w:space="0" w:color="auto"/>
                                <w:right w:val="none" w:sz="0" w:space="0" w:color="auto"/>
                              </w:divBdr>
                              <w:divsChild>
                                <w:div w:id="206571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741912">
                  <w:marLeft w:val="0"/>
                  <w:marRight w:val="0"/>
                  <w:marTop w:val="0"/>
                  <w:marBottom w:val="0"/>
                  <w:divBdr>
                    <w:top w:val="none" w:sz="0" w:space="0" w:color="auto"/>
                    <w:left w:val="none" w:sz="0" w:space="0" w:color="auto"/>
                    <w:bottom w:val="none" w:sz="0" w:space="0" w:color="auto"/>
                    <w:right w:val="none" w:sz="0" w:space="0" w:color="auto"/>
                  </w:divBdr>
                  <w:divsChild>
                    <w:div w:id="1525049524">
                      <w:marLeft w:val="0"/>
                      <w:marRight w:val="0"/>
                      <w:marTop w:val="0"/>
                      <w:marBottom w:val="0"/>
                      <w:divBdr>
                        <w:top w:val="none" w:sz="0" w:space="0" w:color="auto"/>
                        <w:left w:val="none" w:sz="0" w:space="0" w:color="auto"/>
                        <w:bottom w:val="none" w:sz="0" w:space="0" w:color="auto"/>
                        <w:right w:val="none" w:sz="0" w:space="0" w:color="auto"/>
                      </w:divBdr>
                      <w:divsChild>
                        <w:div w:id="1350065071">
                          <w:marLeft w:val="0"/>
                          <w:marRight w:val="0"/>
                          <w:marTop w:val="0"/>
                          <w:marBottom w:val="0"/>
                          <w:divBdr>
                            <w:top w:val="none" w:sz="0" w:space="0" w:color="auto"/>
                            <w:left w:val="none" w:sz="0" w:space="0" w:color="auto"/>
                            <w:bottom w:val="none" w:sz="0" w:space="0" w:color="auto"/>
                            <w:right w:val="none" w:sz="0" w:space="0" w:color="auto"/>
                          </w:divBdr>
                          <w:divsChild>
                            <w:div w:id="1425372951">
                              <w:marLeft w:val="0"/>
                              <w:marRight w:val="0"/>
                              <w:marTop w:val="0"/>
                              <w:marBottom w:val="0"/>
                              <w:divBdr>
                                <w:top w:val="none" w:sz="0" w:space="0" w:color="auto"/>
                                <w:left w:val="none" w:sz="0" w:space="0" w:color="auto"/>
                                <w:bottom w:val="none" w:sz="0" w:space="0" w:color="auto"/>
                                <w:right w:val="none" w:sz="0" w:space="0" w:color="auto"/>
                              </w:divBdr>
                              <w:divsChild>
                                <w:div w:id="1364863081">
                                  <w:marLeft w:val="0"/>
                                  <w:marRight w:val="0"/>
                                  <w:marTop w:val="0"/>
                                  <w:marBottom w:val="0"/>
                                  <w:divBdr>
                                    <w:top w:val="none" w:sz="0" w:space="0" w:color="auto"/>
                                    <w:left w:val="none" w:sz="0" w:space="0" w:color="auto"/>
                                    <w:bottom w:val="none" w:sz="0" w:space="0" w:color="auto"/>
                                    <w:right w:val="none" w:sz="0" w:space="0" w:color="auto"/>
                                  </w:divBdr>
                                  <w:divsChild>
                                    <w:div w:id="182473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2017</Words>
  <Characters>12566</Characters>
  <Application>Microsoft Office Word</Application>
  <DocSecurity>0</DocSecurity>
  <Lines>172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2024-09-16T18:06:00Z</dcterms:created>
  <dcterms:modified xsi:type="dcterms:W3CDTF">2024-09-16T19:29:00Z</dcterms:modified>
</cp:coreProperties>
</file>