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37E7B" w14:textId="4B2EA545" w:rsidR="00C13DD5" w:rsidRPr="00606E05" w:rsidRDefault="00353FC6"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Water Resources Analysis, Future Planning and Optimization Under Deep Uncertainty</w:t>
      </w:r>
    </w:p>
    <w:p w14:paraId="7A2168CC" w14:textId="07A2318D" w:rsidR="0062647E" w:rsidRPr="00606E05" w:rsidRDefault="0062647E"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Santiago Sandoval </w:t>
      </w:r>
      <w:r w:rsidR="00C60E77" w:rsidRPr="00606E05">
        <w:rPr>
          <w:rFonts w:ascii="Arial Narrow" w:hAnsi="Arial Narrow" w:cs="Arial"/>
          <w:sz w:val="22"/>
          <w:szCs w:val="22"/>
          <w:lang w:val="en-US"/>
        </w:rPr>
        <w:t>Ph.D.</w:t>
      </w:r>
    </w:p>
    <w:p w14:paraId="72AE1866" w14:textId="32FBE856" w:rsidR="00276083" w:rsidRPr="00606E05" w:rsidRDefault="002865BB"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1. CONTEXT AND JUSTIFICATION</w:t>
      </w:r>
    </w:p>
    <w:p w14:paraId="35965C30" w14:textId="77777777" w:rsidR="00E067F5" w:rsidRPr="00606E05" w:rsidRDefault="00E067F5"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Water resources management is entering a phase of unprecedented challenges driven by accelerating climate change, rapid urbanization, land-use transformation, and sectoral competition (Fletcher et al., 2013; Salvadore et al., 2015; Pons et al., 2023; Ali et al., 2025). In Colombia, these pressures manifest through recurrent floods and droughts, chronic water-quality degradation, and increasing tensions between supply reliability, ecosystem preservation, and economic development. These challenges are not merely hydrological; they are socio-hydrological: infrastructures, institutions, and collective choices co-evolve with the physical water cycle, producing </w:t>
      </w:r>
      <w:proofErr w:type="gramStart"/>
      <w:r w:rsidRPr="00606E05">
        <w:rPr>
          <w:rFonts w:ascii="Arial Narrow" w:hAnsi="Arial Narrow" w:cs="Arial"/>
          <w:sz w:val="22"/>
          <w:szCs w:val="22"/>
          <w:lang w:val="en-US"/>
        </w:rPr>
        <w:t>feedbacks</w:t>
      </w:r>
      <w:proofErr w:type="gramEnd"/>
      <w:r w:rsidRPr="00606E05">
        <w:rPr>
          <w:rFonts w:ascii="Arial Narrow" w:hAnsi="Arial Narrow" w:cs="Arial"/>
          <w:sz w:val="22"/>
          <w:szCs w:val="22"/>
          <w:lang w:val="en-US"/>
        </w:rPr>
        <w:t xml:space="preserve"> that reshape both risks and opportunities (Blair &amp; </w:t>
      </w:r>
      <w:proofErr w:type="spellStart"/>
      <w:r w:rsidRPr="00606E05">
        <w:rPr>
          <w:rFonts w:ascii="Arial Narrow" w:hAnsi="Arial Narrow" w:cs="Arial"/>
          <w:sz w:val="22"/>
          <w:szCs w:val="22"/>
          <w:lang w:val="en-US"/>
        </w:rPr>
        <w:t>Buytaert</w:t>
      </w:r>
      <w:proofErr w:type="spellEnd"/>
      <w:r w:rsidRPr="00606E05">
        <w:rPr>
          <w:rFonts w:ascii="Arial Narrow" w:hAnsi="Arial Narrow" w:cs="Arial"/>
          <w:sz w:val="22"/>
          <w:szCs w:val="22"/>
          <w:lang w:val="en-US"/>
        </w:rPr>
        <w:t>, 2016).</w:t>
      </w:r>
    </w:p>
    <w:p w14:paraId="329C0F3E" w14:textId="32E6D373" w:rsidR="00276083" w:rsidRPr="00606E05" w:rsidRDefault="00E067F5"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For decades, planning has relied on relatively static system representations, sparse monitoring networks, and predominantly deterministic design frameworks (Lerer et al., 2015). While these approaches have supported infrastructure development to date, they are increasingly inadequate under deep climatic and socio-economic uncertainty (Cook et al., 2020; Teku, 2025). </w:t>
      </w:r>
      <w:r w:rsidR="00276083" w:rsidRPr="00606E05">
        <w:rPr>
          <w:rFonts w:ascii="Arial Narrow" w:hAnsi="Arial Narrow" w:cs="Arial"/>
          <w:sz w:val="22"/>
          <w:szCs w:val="22"/>
          <w:lang w:val="en-US"/>
        </w:rPr>
        <w:t>Decision-makers now confront rapidly evolving systems, heterogeneous and high-frequency data streams, and models whose structural and parametric uncertainties are often insufficiently characterized. Three persistent gaps weaken decision processes: (</w:t>
      </w:r>
      <w:proofErr w:type="spellStart"/>
      <w:r w:rsidR="00276083" w:rsidRPr="00606E05">
        <w:rPr>
          <w:rFonts w:ascii="Arial Narrow" w:hAnsi="Arial Narrow" w:cs="Arial"/>
          <w:sz w:val="22"/>
          <w:szCs w:val="22"/>
          <w:lang w:val="en-US"/>
        </w:rPr>
        <w:t>i</w:t>
      </w:r>
      <w:proofErr w:type="spellEnd"/>
      <w:r w:rsidR="00276083" w:rsidRPr="00606E05">
        <w:rPr>
          <w:rFonts w:ascii="Arial Narrow" w:hAnsi="Arial Narrow" w:cs="Arial"/>
          <w:sz w:val="22"/>
          <w:szCs w:val="22"/>
          <w:lang w:val="en-US"/>
        </w:rPr>
        <w:t>) the gap between data abundance and interpretability; (ii) the gap between model sophistication and reliability; (iii) the gap between scientific evidence and decision-ready comparison of alternatives.</w:t>
      </w:r>
    </w:p>
    <w:p w14:paraId="6ABDEF6D" w14:textId="096FE6FA" w:rsidR="00B93433" w:rsidRPr="00606E05" w:rsidRDefault="00B93433"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At the same time, water systems are undergoing structural transformations. In urban and peri-urban contexts, centralized grey infrastructures are progressively complemented</w:t>
      </w:r>
      <w:r w:rsidR="00497248" w:rsidRPr="00606E05">
        <w:rPr>
          <w:rFonts w:ascii="Arial Narrow" w:hAnsi="Arial Narrow" w:cs="Arial"/>
          <w:sz w:val="22"/>
          <w:szCs w:val="22"/>
          <w:lang w:val="en-US"/>
        </w:rPr>
        <w:t xml:space="preserve"> </w:t>
      </w:r>
      <w:r w:rsidRPr="00606E05">
        <w:rPr>
          <w:rFonts w:ascii="Arial Narrow" w:hAnsi="Arial Narrow" w:cs="Arial"/>
          <w:sz w:val="22"/>
          <w:szCs w:val="22"/>
          <w:lang w:val="en-US"/>
        </w:rPr>
        <w:t xml:space="preserve">by distributed and </w:t>
      </w:r>
      <w:r w:rsidR="00535803" w:rsidRPr="00606E05">
        <w:rPr>
          <w:rFonts w:ascii="Arial Narrow" w:hAnsi="Arial Narrow" w:cs="Arial"/>
          <w:sz w:val="22"/>
          <w:szCs w:val="22"/>
          <w:lang w:val="en-US"/>
        </w:rPr>
        <w:t>N</w:t>
      </w:r>
      <w:r w:rsidRPr="00606E05">
        <w:rPr>
          <w:rFonts w:ascii="Arial Narrow" w:hAnsi="Arial Narrow" w:cs="Arial"/>
          <w:sz w:val="22"/>
          <w:szCs w:val="22"/>
          <w:lang w:val="en-US"/>
        </w:rPr>
        <w:t>ature-</w:t>
      </w:r>
      <w:r w:rsidR="00535803" w:rsidRPr="00606E05">
        <w:rPr>
          <w:rFonts w:ascii="Arial Narrow" w:hAnsi="Arial Narrow" w:cs="Arial"/>
          <w:sz w:val="22"/>
          <w:szCs w:val="22"/>
          <w:lang w:val="en-US"/>
        </w:rPr>
        <w:t>B</w:t>
      </w:r>
      <w:r w:rsidRPr="00606E05">
        <w:rPr>
          <w:rFonts w:ascii="Arial Narrow" w:hAnsi="Arial Narrow" w:cs="Arial"/>
          <w:sz w:val="22"/>
          <w:szCs w:val="22"/>
          <w:lang w:val="en-US"/>
        </w:rPr>
        <w:t xml:space="preserve">ased </w:t>
      </w:r>
      <w:r w:rsidR="00535803" w:rsidRPr="00606E05">
        <w:rPr>
          <w:rFonts w:ascii="Arial Narrow" w:hAnsi="Arial Narrow" w:cs="Arial"/>
          <w:sz w:val="22"/>
          <w:szCs w:val="22"/>
          <w:lang w:val="en-US"/>
        </w:rPr>
        <w:t>S</w:t>
      </w:r>
      <w:r w:rsidRPr="00606E05">
        <w:rPr>
          <w:rFonts w:ascii="Arial Narrow" w:hAnsi="Arial Narrow" w:cs="Arial"/>
          <w:sz w:val="22"/>
          <w:szCs w:val="22"/>
          <w:lang w:val="en-US"/>
        </w:rPr>
        <w:t>olutions</w:t>
      </w:r>
      <w:r w:rsidR="00535803" w:rsidRPr="00606E05">
        <w:rPr>
          <w:rFonts w:ascii="Arial Narrow" w:hAnsi="Arial Narrow" w:cs="Arial"/>
          <w:sz w:val="22"/>
          <w:szCs w:val="22"/>
          <w:lang w:val="en-US"/>
        </w:rPr>
        <w:t xml:space="preserve"> (NBS)</w:t>
      </w:r>
      <w:r w:rsidRPr="00606E05">
        <w:rPr>
          <w:rFonts w:ascii="Arial Narrow" w:hAnsi="Arial Narrow" w:cs="Arial"/>
          <w:sz w:val="22"/>
          <w:szCs w:val="22"/>
          <w:lang w:val="en-US"/>
        </w:rPr>
        <w:t xml:space="preserve"> (Jarden et al., 2016; Jones et al., 2022). Yet critical reviews show that their large-scale performance remains difficult to predict reliably (Bonhomme &amp; Petrucci, 2017; Pons et al., 2023). How robust are these systems under non-stationary climate conditions? At which spatial and temporal scales can their effects be detected and attributed?</w:t>
      </w:r>
    </w:p>
    <w:p w14:paraId="69553FCE" w14:textId="794E23E5" w:rsidR="00B93433" w:rsidRPr="00606E05" w:rsidRDefault="00A60812"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In recent years, I have addressed these questions through the study of climate adaptation strategies in urban </w:t>
      </w:r>
      <w:proofErr w:type="spellStart"/>
      <w:r w:rsidRPr="00606E05">
        <w:rPr>
          <w:rFonts w:ascii="Arial Narrow" w:hAnsi="Arial Narrow" w:cs="Arial"/>
          <w:sz w:val="22"/>
          <w:szCs w:val="22"/>
          <w:lang w:val="en-US"/>
        </w:rPr>
        <w:t>hydrosystems</w:t>
      </w:r>
      <w:proofErr w:type="spellEnd"/>
      <w:r w:rsidRPr="00606E05">
        <w:rPr>
          <w:rFonts w:ascii="Arial Narrow" w:hAnsi="Arial Narrow" w:cs="Arial"/>
          <w:sz w:val="22"/>
          <w:szCs w:val="22"/>
          <w:lang w:val="en-US"/>
        </w:rPr>
        <w:t xml:space="preserve">. </w:t>
      </w:r>
      <w:r w:rsidR="00B93433" w:rsidRPr="00606E05">
        <w:rPr>
          <w:rFonts w:ascii="Arial Narrow" w:hAnsi="Arial Narrow" w:cs="Arial"/>
          <w:sz w:val="22"/>
          <w:szCs w:val="22"/>
          <w:lang w:val="en-US"/>
        </w:rPr>
        <w:t xml:space="preserve">My work has shown that structural model simplifications can </w:t>
      </w:r>
      <w:r w:rsidR="00B61938" w:rsidRPr="00606E05">
        <w:rPr>
          <w:rFonts w:ascii="Arial Narrow" w:hAnsi="Arial Narrow" w:cs="Arial"/>
          <w:sz w:val="22"/>
          <w:szCs w:val="22"/>
          <w:lang w:val="en-US"/>
        </w:rPr>
        <w:t>distort the representation of</w:t>
      </w:r>
      <w:r w:rsidR="00B93433" w:rsidRPr="00606E05">
        <w:rPr>
          <w:rFonts w:ascii="Arial Narrow" w:hAnsi="Arial Narrow" w:cs="Arial"/>
          <w:sz w:val="22"/>
          <w:szCs w:val="22"/>
          <w:lang w:val="en-US"/>
        </w:rPr>
        <w:t xml:space="preserve"> </w:t>
      </w:r>
      <w:r w:rsidR="008E03B8" w:rsidRPr="00606E05">
        <w:rPr>
          <w:rFonts w:ascii="Arial Narrow" w:hAnsi="Arial Narrow" w:cs="Arial"/>
          <w:sz w:val="22"/>
          <w:szCs w:val="22"/>
          <w:lang w:val="en-US"/>
        </w:rPr>
        <w:t xml:space="preserve">fundamental </w:t>
      </w:r>
      <w:r w:rsidR="00B93433" w:rsidRPr="00606E05">
        <w:rPr>
          <w:rFonts w:ascii="Arial Narrow" w:hAnsi="Arial Narrow" w:cs="Arial"/>
          <w:sz w:val="22"/>
          <w:szCs w:val="22"/>
          <w:lang w:val="en-US"/>
        </w:rPr>
        <w:t>processes at catchment scale (Sandoval et al., 2018b</w:t>
      </w:r>
      <w:r w:rsidR="00D4108E" w:rsidRPr="00606E05">
        <w:rPr>
          <w:rFonts w:ascii="Arial Narrow" w:hAnsi="Arial Narrow" w:cs="Arial"/>
          <w:sz w:val="22"/>
          <w:szCs w:val="22"/>
          <w:lang w:val="en-US"/>
        </w:rPr>
        <w:t>*</w:t>
      </w:r>
      <w:r w:rsidR="00B93433" w:rsidRPr="00606E05">
        <w:rPr>
          <w:rFonts w:ascii="Arial Narrow" w:hAnsi="Arial Narrow" w:cs="Arial"/>
          <w:sz w:val="22"/>
          <w:szCs w:val="22"/>
          <w:lang w:val="en-US"/>
        </w:rPr>
        <w:t>; Bonhomme &amp; Petrucci, 2017). Building on this foundation, my objective is to extend this research beyond urban contexts toward an integrated framework for water resources analysis across systems and scales.</w:t>
      </w:r>
    </w:p>
    <w:p w14:paraId="5C76EAFC" w14:textId="74369D9C" w:rsidR="00276083" w:rsidRPr="00606E05" w:rsidRDefault="00276083"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The central premise of my work is that monitoring, modeling, and planning must </w:t>
      </w:r>
      <w:r w:rsidR="00AC5963" w:rsidRPr="00606E05">
        <w:rPr>
          <w:rFonts w:ascii="Arial Narrow" w:hAnsi="Arial Narrow" w:cs="Arial"/>
          <w:sz w:val="22"/>
          <w:szCs w:val="22"/>
          <w:lang w:val="en-US"/>
        </w:rPr>
        <w:t xml:space="preserve">form </w:t>
      </w:r>
      <w:r w:rsidRPr="00606E05">
        <w:rPr>
          <w:rFonts w:ascii="Arial Narrow" w:hAnsi="Arial Narrow" w:cs="Arial"/>
          <w:sz w:val="22"/>
          <w:szCs w:val="22"/>
          <w:lang w:val="en-US"/>
        </w:rPr>
        <w:t xml:space="preserve">a continuous learning chain rather than separate activities. Data </w:t>
      </w:r>
      <w:proofErr w:type="gramStart"/>
      <w:r w:rsidRPr="00606E05">
        <w:rPr>
          <w:rFonts w:ascii="Arial Narrow" w:hAnsi="Arial Narrow" w:cs="Arial"/>
          <w:sz w:val="22"/>
          <w:szCs w:val="22"/>
          <w:lang w:val="en-US"/>
        </w:rPr>
        <w:t>inform</w:t>
      </w:r>
      <w:proofErr w:type="gramEnd"/>
      <w:r w:rsidRPr="00606E05">
        <w:rPr>
          <w:rFonts w:ascii="Arial Narrow" w:hAnsi="Arial Narrow" w:cs="Arial"/>
          <w:sz w:val="22"/>
          <w:szCs w:val="22"/>
          <w:lang w:val="en-US"/>
        </w:rPr>
        <w:t xml:space="preserve"> models; models structure scenarios; scenarios guide decisions; decisions reshape the system and generate new data</w:t>
      </w:r>
      <w:r w:rsidR="00B93433" w:rsidRPr="00606E05">
        <w:rPr>
          <w:rFonts w:ascii="Arial Narrow" w:hAnsi="Arial Narrow" w:cs="Arial"/>
          <w:sz w:val="22"/>
          <w:szCs w:val="22"/>
          <w:lang w:val="en-US"/>
        </w:rPr>
        <w:t xml:space="preserve"> (</w:t>
      </w:r>
      <w:proofErr w:type="spellStart"/>
      <w:r w:rsidR="00B93433" w:rsidRPr="00606E05">
        <w:rPr>
          <w:rFonts w:ascii="Arial Narrow" w:hAnsi="Arial Narrow" w:cs="Arial"/>
          <w:sz w:val="22"/>
          <w:szCs w:val="22"/>
          <w:lang w:val="en-US"/>
        </w:rPr>
        <w:t>Kavetski</w:t>
      </w:r>
      <w:proofErr w:type="spellEnd"/>
      <w:r w:rsidR="00B93433" w:rsidRPr="00606E05">
        <w:rPr>
          <w:rFonts w:ascii="Arial Narrow" w:hAnsi="Arial Narrow" w:cs="Arial"/>
          <w:sz w:val="22"/>
          <w:szCs w:val="22"/>
          <w:lang w:val="en-US"/>
        </w:rPr>
        <w:t xml:space="preserve"> et al., 2006; Renard et al., 2010; </w:t>
      </w:r>
      <w:proofErr w:type="spellStart"/>
      <w:r w:rsidR="00B93433" w:rsidRPr="00606E05">
        <w:rPr>
          <w:rFonts w:ascii="Arial Narrow" w:hAnsi="Arial Narrow" w:cs="Arial"/>
          <w:sz w:val="22"/>
          <w:szCs w:val="22"/>
          <w:lang w:val="en-US"/>
        </w:rPr>
        <w:t>Vrugt</w:t>
      </w:r>
      <w:proofErr w:type="spellEnd"/>
      <w:r w:rsidR="00B93433" w:rsidRPr="00606E05">
        <w:rPr>
          <w:rFonts w:ascii="Arial Narrow" w:hAnsi="Arial Narrow" w:cs="Arial"/>
          <w:sz w:val="22"/>
          <w:szCs w:val="22"/>
          <w:lang w:val="en-US"/>
        </w:rPr>
        <w:t xml:space="preserve"> &amp; Beven, 2018)</w:t>
      </w:r>
      <w:r w:rsidRPr="00606E05">
        <w:rPr>
          <w:rFonts w:ascii="Arial Narrow" w:hAnsi="Arial Narrow" w:cs="Arial"/>
          <w:sz w:val="22"/>
          <w:szCs w:val="22"/>
          <w:lang w:val="en-US"/>
        </w:rPr>
        <w:t>. Making this loop explicit and uncertainty-aware is, in my view, one of the key scientific and institutional challenges for water resources management.</w:t>
      </w:r>
    </w:p>
    <w:p w14:paraId="7DF97596" w14:textId="7B26FB4E" w:rsidR="00F27BB6" w:rsidRPr="00606E05" w:rsidRDefault="00F27BB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Over the past decade, through academic appointments in France, Switzerland, and Colombia, I have developed </w:t>
      </w:r>
      <w:r w:rsidR="0016626A" w:rsidRPr="00606E05">
        <w:rPr>
          <w:rFonts w:ascii="Arial Narrow" w:hAnsi="Arial Narrow" w:cs="Arial"/>
          <w:sz w:val="22"/>
          <w:szCs w:val="22"/>
          <w:lang w:val="en-US"/>
        </w:rPr>
        <w:t xml:space="preserve">deep </w:t>
      </w:r>
      <w:r w:rsidRPr="00606E05">
        <w:rPr>
          <w:rFonts w:ascii="Arial Narrow" w:hAnsi="Arial Narrow" w:cs="Arial"/>
          <w:sz w:val="22"/>
          <w:szCs w:val="22"/>
          <w:lang w:val="en-US"/>
        </w:rPr>
        <w:t>expertise in environmental metrology</w:t>
      </w:r>
      <w:r w:rsidR="00E47303" w:rsidRPr="00606E05">
        <w:rPr>
          <w:rFonts w:ascii="Arial Narrow" w:hAnsi="Arial Narrow" w:cs="Arial"/>
          <w:sz w:val="22"/>
          <w:szCs w:val="22"/>
          <w:lang w:val="en-US"/>
        </w:rPr>
        <w:t xml:space="preserve"> and</w:t>
      </w:r>
      <w:r w:rsidRPr="00606E05">
        <w:rPr>
          <w:rFonts w:ascii="Arial Narrow" w:hAnsi="Arial Narrow" w:cs="Arial"/>
          <w:sz w:val="22"/>
          <w:szCs w:val="22"/>
          <w:lang w:val="en-US"/>
        </w:rPr>
        <w:t xml:space="preserve"> hydrological and water-quality modeling. My work has relied extensively on continuous monitoring datasets (</w:t>
      </w:r>
      <w:proofErr w:type="spellStart"/>
      <w:r w:rsidR="00C15BDF" w:rsidRPr="00606E05">
        <w:rPr>
          <w:rFonts w:ascii="Arial Narrow" w:hAnsi="Arial Narrow" w:cs="Arial"/>
          <w:sz w:val="22"/>
          <w:szCs w:val="22"/>
          <w:lang w:val="en-US"/>
        </w:rPr>
        <w:t>Métadier</w:t>
      </w:r>
      <w:proofErr w:type="spellEnd"/>
      <w:r w:rsidR="00C15BDF" w:rsidRPr="00606E05">
        <w:rPr>
          <w:rFonts w:ascii="Arial Narrow" w:hAnsi="Arial Narrow" w:cs="Arial"/>
          <w:sz w:val="22"/>
          <w:szCs w:val="22"/>
          <w:lang w:val="en-US"/>
        </w:rPr>
        <w:t xml:space="preserve"> &amp; Bertrand-Krajewski, 2012; </w:t>
      </w:r>
      <w:r w:rsidRPr="00606E05">
        <w:rPr>
          <w:rFonts w:ascii="Arial Narrow" w:hAnsi="Arial Narrow" w:cs="Arial"/>
          <w:sz w:val="22"/>
          <w:szCs w:val="22"/>
          <w:lang w:val="en-US"/>
        </w:rPr>
        <w:t>Sandoval &amp; Bertrand-Krajewski, 2016</w:t>
      </w:r>
      <w:r w:rsidR="00D4108E" w:rsidRPr="00606E05">
        <w:rPr>
          <w:rFonts w:ascii="Arial Narrow" w:hAnsi="Arial Narrow" w:cs="Arial"/>
          <w:sz w:val="22"/>
          <w:szCs w:val="22"/>
          <w:lang w:val="en-US"/>
        </w:rPr>
        <w:t>*</w:t>
      </w:r>
      <w:r w:rsidRPr="00606E05">
        <w:rPr>
          <w:rFonts w:ascii="Arial Narrow" w:hAnsi="Arial Narrow" w:cs="Arial"/>
          <w:sz w:val="22"/>
          <w:szCs w:val="22"/>
          <w:lang w:val="en-US"/>
        </w:rPr>
        <w:t>; Sandoval et al., 2018a</w:t>
      </w:r>
      <w:r w:rsidR="00D4108E" w:rsidRPr="00606E05">
        <w:rPr>
          <w:rFonts w:ascii="Arial Narrow" w:hAnsi="Arial Narrow" w:cs="Arial"/>
          <w:sz w:val="22"/>
          <w:szCs w:val="22"/>
          <w:lang w:val="en-US"/>
        </w:rPr>
        <w:t>*</w:t>
      </w:r>
      <w:r w:rsidRPr="00606E05">
        <w:rPr>
          <w:rFonts w:ascii="Arial Narrow" w:hAnsi="Arial Narrow" w:cs="Arial"/>
          <w:sz w:val="22"/>
          <w:szCs w:val="22"/>
          <w:lang w:val="en-US"/>
        </w:rPr>
        <w:t>), inverse modeling (</w:t>
      </w:r>
      <w:r w:rsidR="00C15BDF" w:rsidRPr="00606E05">
        <w:rPr>
          <w:rFonts w:ascii="Arial Narrow" w:hAnsi="Arial Narrow" w:cs="Arial"/>
          <w:sz w:val="22"/>
          <w:szCs w:val="22"/>
          <w:lang w:val="en-US"/>
        </w:rPr>
        <w:t xml:space="preserve">Del Giudice et al., 2016; </w:t>
      </w:r>
      <w:r w:rsidRPr="00606E05">
        <w:rPr>
          <w:rFonts w:ascii="Arial Narrow" w:hAnsi="Arial Narrow" w:cs="Arial"/>
          <w:sz w:val="22"/>
          <w:szCs w:val="22"/>
          <w:lang w:val="en-US"/>
        </w:rPr>
        <w:t>Sandoval et al., 2018b</w:t>
      </w:r>
      <w:r w:rsidR="00D4108E" w:rsidRPr="00606E05">
        <w:rPr>
          <w:rFonts w:ascii="Arial Narrow" w:hAnsi="Arial Narrow" w:cs="Arial"/>
          <w:sz w:val="22"/>
          <w:szCs w:val="22"/>
          <w:lang w:val="en-US"/>
        </w:rPr>
        <w:t>*</w:t>
      </w:r>
      <w:r w:rsidRPr="00606E05">
        <w:rPr>
          <w:rFonts w:ascii="Arial Narrow" w:hAnsi="Arial Narrow" w:cs="Arial"/>
          <w:sz w:val="22"/>
          <w:szCs w:val="22"/>
          <w:lang w:val="en-US"/>
        </w:rPr>
        <w:t>), and uncertainty quantification (Peña-Heredia et al., 2021</w:t>
      </w:r>
      <w:r w:rsidR="00D4108E" w:rsidRPr="00606E05">
        <w:rPr>
          <w:rFonts w:ascii="Arial Narrow" w:hAnsi="Arial Narrow" w:cs="Arial"/>
          <w:sz w:val="22"/>
          <w:szCs w:val="22"/>
          <w:lang w:val="en-US"/>
        </w:rPr>
        <w:t>*</w:t>
      </w:r>
      <w:r w:rsidRPr="00606E05">
        <w:rPr>
          <w:rFonts w:ascii="Arial Narrow" w:hAnsi="Arial Narrow" w:cs="Arial"/>
          <w:sz w:val="22"/>
          <w:szCs w:val="22"/>
          <w:lang w:val="en-US"/>
        </w:rPr>
        <w:t>; Bacci et al., 2022).</w:t>
      </w:r>
    </w:p>
    <w:p w14:paraId="7D5EE2EE" w14:textId="0E6895A7" w:rsidR="00276083" w:rsidRPr="00606E05" w:rsidRDefault="0016626A"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In parallel, I have contributed to operational water-management tools through the</w:t>
      </w:r>
      <w:r w:rsidR="009076F6" w:rsidRPr="00606E05">
        <w:rPr>
          <w:rFonts w:ascii="Arial Narrow" w:hAnsi="Arial Narrow" w:cs="Arial"/>
          <w:sz w:val="22"/>
          <w:szCs w:val="22"/>
          <w:lang w:val="en-US"/>
        </w:rPr>
        <w:t xml:space="preserve"> </w:t>
      </w:r>
      <w:r w:rsidRPr="00606E05">
        <w:rPr>
          <w:rFonts w:ascii="Arial Narrow" w:hAnsi="Arial Narrow" w:cs="Arial"/>
          <w:sz w:val="22"/>
          <w:szCs w:val="22"/>
          <w:lang w:val="en-US"/>
        </w:rPr>
        <w:t>development of the open-source software Urbis (</w:t>
      </w:r>
      <w:r w:rsidR="00DF1F35" w:rsidRPr="00606E05">
        <w:rPr>
          <w:rFonts w:ascii="Arial Narrow" w:hAnsi="Arial Narrow" w:cs="Arial"/>
          <w:sz w:val="22"/>
          <w:szCs w:val="22"/>
          <w:lang w:val="en-US"/>
        </w:rPr>
        <w:t>Sandoval et al., 2019</w:t>
      </w:r>
      <w:r w:rsidR="00D4108E" w:rsidRPr="00606E05">
        <w:rPr>
          <w:rFonts w:ascii="Arial Narrow" w:hAnsi="Arial Narrow" w:cs="Arial"/>
          <w:sz w:val="22"/>
          <w:szCs w:val="22"/>
          <w:lang w:val="en-US"/>
        </w:rPr>
        <w:t>*</w:t>
      </w:r>
      <w:r w:rsidR="008B4010" w:rsidRPr="00606E05">
        <w:rPr>
          <w:rFonts w:ascii="Arial Narrow" w:hAnsi="Arial Narrow" w:cs="Arial"/>
          <w:sz w:val="22"/>
          <w:szCs w:val="22"/>
          <w:lang w:val="en-US"/>
        </w:rPr>
        <w:t>; Urbis, 2024*</w:t>
      </w:r>
      <w:r w:rsidRPr="00606E05">
        <w:rPr>
          <w:rFonts w:ascii="Arial Narrow" w:hAnsi="Arial Narrow" w:cs="Arial"/>
          <w:sz w:val="22"/>
          <w:szCs w:val="22"/>
          <w:lang w:val="en-US"/>
        </w:rPr>
        <w:t xml:space="preserve">), designed for simplified but robust simulation of </w:t>
      </w:r>
      <w:r w:rsidR="00535803" w:rsidRPr="00606E05">
        <w:rPr>
          <w:rFonts w:ascii="Arial Narrow" w:hAnsi="Arial Narrow" w:cs="Arial"/>
          <w:sz w:val="22"/>
          <w:szCs w:val="22"/>
          <w:lang w:val="en-US"/>
        </w:rPr>
        <w:t>NBS</w:t>
      </w:r>
      <w:r w:rsidRPr="00606E05">
        <w:rPr>
          <w:rFonts w:ascii="Arial Narrow" w:hAnsi="Arial Narrow" w:cs="Arial"/>
          <w:sz w:val="22"/>
          <w:szCs w:val="22"/>
          <w:lang w:val="en-US"/>
        </w:rPr>
        <w:t>, aligned with sustainable drainage evaluation frameworks (Wang et al., 2017).</w:t>
      </w:r>
      <w:r w:rsidR="0043394D" w:rsidRPr="00606E05">
        <w:rPr>
          <w:rFonts w:ascii="Arial Narrow" w:hAnsi="Arial Narrow" w:cs="Arial"/>
          <w:sz w:val="22"/>
          <w:szCs w:val="22"/>
          <w:lang w:val="en-US"/>
        </w:rPr>
        <w:t xml:space="preserve"> </w:t>
      </w:r>
      <w:r w:rsidR="00276083" w:rsidRPr="00606E05">
        <w:rPr>
          <w:rFonts w:ascii="Arial Narrow" w:hAnsi="Arial Narrow" w:cs="Arial"/>
          <w:sz w:val="22"/>
          <w:szCs w:val="22"/>
          <w:lang w:val="en-US"/>
        </w:rPr>
        <w:t xml:space="preserve">Since 2024, as Project Manager and R&amp;D Expert in a French engineering consulting firm, I have led applied studies for major public actors, including the City of Paris, within the Seine River remediation program for the Paris 2024 Olympic Games. These projects involve </w:t>
      </w:r>
      <w:r w:rsidR="00276083" w:rsidRPr="00606E05">
        <w:rPr>
          <w:rFonts w:ascii="Arial Narrow" w:hAnsi="Arial Narrow" w:cs="Arial"/>
          <w:sz w:val="22"/>
          <w:szCs w:val="22"/>
          <w:lang w:val="en-US"/>
        </w:rPr>
        <w:lastRenderedPageBreak/>
        <w:t>urban drainage, stormwater management, environmental monitoring, AI-assisted data analysis, uncertainty assessment, and hydraulic modeling under real regulatory and institutional constraints.</w:t>
      </w:r>
    </w:p>
    <w:p w14:paraId="73A500E8" w14:textId="59C0EFC4" w:rsidR="004F5256" w:rsidRPr="00606E05" w:rsidRDefault="004F525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This dual academic and engineering trajectory has led me to </w:t>
      </w:r>
      <w:r w:rsidR="001E5643" w:rsidRPr="00606E05">
        <w:rPr>
          <w:rFonts w:ascii="Arial Narrow" w:hAnsi="Arial Narrow" w:cs="Arial"/>
          <w:sz w:val="22"/>
          <w:szCs w:val="22"/>
          <w:lang w:val="en-US"/>
        </w:rPr>
        <w:t>conclude</w:t>
      </w:r>
      <w:r w:rsidR="003C77FF" w:rsidRPr="00606E05">
        <w:rPr>
          <w:rFonts w:ascii="Arial Narrow" w:hAnsi="Arial Narrow" w:cs="Arial"/>
          <w:sz w:val="22"/>
          <w:szCs w:val="22"/>
          <w:lang w:val="en-US"/>
        </w:rPr>
        <w:t xml:space="preserve"> that</w:t>
      </w:r>
      <w:r w:rsidRPr="00606E05">
        <w:rPr>
          <w:rFonts w:ascii="Arial Narrow" w:hAnsi="Arial Narrow" w:cs="Arial"/>
          <w:sz w:val="22"/>
          <w:szCs w:val="22"/>
          <w:lang w:val="en-US"/>
        </w:rPr>
        <w:t xml:space="preserve"> the primary bottleneck in contemporary water management is not the absence of models or data, but the lack of integrated, uncertainty-explicit frameworks that connect observation, modeling, and decision-making across scales. My research agenda is structured to address this bottleneck.</w:t>
      </w:r>
    </w:p>
    <w:p w14:paraId="0212AC0D" w14:textId="5D2763B7" w:rsidR="00A81DE8" w:rsidRPr="00606E05" w:rsidRDefault="002865BB"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2. OBJECTIVES</w:t>
      </w:r>
    </w:p>
    <w:p w14:paraId="07230BCA" w14:textId="77777777" w:rsidR="00293B59" w:rsidRPr="00606E05" w:rsidRDefault="00293B59"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General Objective</w:t>
      </w:r>
    </w:p>
    <w:p w14:paraId="4236759E" w14:textId="5464643A" w:rsidR="00C0702E" w:rsidRPr="00606E05" w:rsidRDefault="00C0702E"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My research seeks to renew the analysis and planning of water resources systems under climatic and socio-environmental change by developing an integrated, uncertainty-prioritized approach in which process understanding, model development, and decision support form a coherent chain from observation to action.</w:t>
      </w:r>
    </w:p>
    <w:p w14:paraId="09172647" w14:textId="00F4964B" w:rsidR="00293B59" w:rsidRPr="00606E05" w:rsidRDefault="00293B59"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Specific Objectives</w:t>
      </w:r>
    </w:p>
    <w:p w14:paraId="0F2761FA" w14:textId="77777777" w:rsidR="00C0702E" w:rsidRPr="00606E05" w:rsidRDefault="00C0702E"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This program is structured around three closely connected objectives:</w:t>
      </w:r>
    </w:p>
    <w:p w14:paraId="74E66293" w14:textId="30A3AD01" w:rsidR="00C0702E" w:rsidRPr="00606E05" w:rsidRDefault="00C0702E" w:rsidP="00606E05">
      <w:pPr>
        <w:numPr>
          <w:ilvl w:val="0"/>
          <w:numId w:val="6"/>
        </w:numPr>
        <w:tabs>
          <w:tab w:val="clear" w:pos="360"/>
          <w:tab w:val="num" w:pos="720"/>
        </w:tabs>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Advance the understanding and representation of </w:t>
      </w:r>
      <w:proofErr w:type="spellStart"/>
      <w:r w:rsidRPr="00606E05">
        <w:rPr>
          <w:rFonts w:ascii="Arial Narrow" w:hAnsi="Arial Narrow" w:cs="Arial"/>
          <w:sz w:val="22"/>
          <w:szCs w:val="22"/>
          <w:lang w:val="en-US"/>
        </w:rPr>
        <w:t>hydrosystem</w:t>
      </w:r>
      <w:proofErr w:type="spellEnd"/>
      <w:r w:rsidRPr="00606E05">
        <w:rPr>
          <w:rFonts w:ascii="Arial Narrow" w:hAnsi="Arial Narrow" w:cs="Arial"/>
          <w:sz w:val="22"/>
          <w:szCs w:val="22"/>
          <w:lang w:val="en-US"/>
        </w:rPr>
        <w:t xml:space="preserve"> processes under change, including runoff generation, storage dynamics, exchanges with soils and substrates, transport and transformation of matter, and scale-transition mechanisms, through tight coupling between observation, modeling, and inverse inference.</w:t>
      </w:r>
    </w:p>
    <w:p w14:paraId="45609F6F" w14:textId="77777777" w:rsidR="00C0702E" w:rsidRPr="00606E05" w:rsidRDefault="00C0702E" w:rsidP="00606E05">
      <w:pPr>
        <w:numPr>
          <w:ilvl w:val="0"/>
          <w:numId w:val="6"/>
        </w:numPr>
        <w:tabs>
          <w:tab w:val="clear" w:pos="360"/>
          <w:tab w:val="num" w:pos="720"/>
        </w:tabs>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Develop operational modeling frameworks and digital tools that transform scientific knowledge into simplified yet robust representations, reproducible workflows, and uncertainty-aware analyses usable in planning and management contexts.</w:t>
      </w:r>
    </w:p>
    <w:p w14:paraId="26D12CE2" w14:textId="77777777" w:rsidR="00C0702E" w:rsidRPr="00606E05" w:rsidRDefault="00C0702E" w:rsidP="00606E05">
      <w:pPr>
        <w:numPr>
          <w:ilvl w:val="0"/>
          <w:numId w:val="6"/>
        </w:numPr>
        <w:tabs>
          <w:tab w:val="clear" w:pos="360"/>
          <w:tab w:val="num" w:pos="720"/>
        </w:tabs>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Strengthen the role of models in decision-making under deep uncertainty by developing methods to compare strategies and portfolios of actions, analyze trade-offs and vulnerabilities, and support the design of credible and adaptable pathways across scales and sectors.</w:t>
      </w:r>
    </w:p>
    <w:p w14:paraId="18BE952B" w14:textId="0C835207" w:rsidR="00C13DD5" w:rsidRPr="00606E05" w:rsidRDefault="002865BB"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3. RESEARCH PROPOSAL</w:t>
      </w:r>
    </w:p>
    <w:p w14:paraId="42A7C7C8" w14:textId="77777777" w:rsidR="00C0702E" w:rsidRPr="00606E05" w:rsidRDefault="00C0702E"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This agenda is organized around three complementary axes addressing </w:t>
      </w:r>
      <w:proofErr w:type="spellStart"/>
      <w:r w:rsidRPr="00606E05">
        <w:rPr>
          <w:rFonts w:ascii="Arial Narrow" w:hAnsi="Arial Narrow" w:cs="Arial"/>
          <w:sz w:val="22"/>
          <w:szCs w:val="22"/>
          <w:lang w:val="en-US"/>
        </w:rPr>
        <w:t>hydrosystems</w:t>
      </w:r>
      <w:proofErr w:type="spellEnd"/>
      <w:r w:rsidRPr="00606E05">
        <w:rPr>
          <w:rFonts w:ascii="Arial Narrow" w:hAnsi="Arial Narrow" w:cs="Arial"/>
          <w:sz w:val="22"/>
          <w:szCs w:val="22"/>
          <w:lang w:val="en-US"/>
        </w:rPr>
        <w:t xml:space="preserve"> under climatic and socio-environmental change.</w:t>
      </w:r>
    </w:p>
    <w:p w14:paraId="626D547B" w14:textId="4E4B87DB" w:rsidR="00C13DD5" w:rsidRPr="00606E05" w:rsidRDefault="00C13DD5"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 xml:space="preserve">Axis 1 — Fundamental Processes in </w:t>
      </w:r>
      <w:proofErr w:type="spellStart"/>
      <w:r w:rsidRPr="00606E05">
        <w:rPr>
          <w:rFonts w:ascii="Arial Narrow" w:hAnsi="Arial Narrow" w:cs="Arial"/>
          <w:b/>
          <w:bCs/>
          <w:sz w:val="22"/>
          <w:szCs w:val="22"/>
          <w:lang w:val="en-US"/>
        </w:rPr>
        <w:t>Hydrosystems</w:t>
      </w:r>
      <w:proofErr w:type="spellEnd"/>
      <w:r w:rsidRPr="00606E05">
        <w:rPr>
          <w:rFonts w:ascii="Arial Narrow" w:hAnsi="Arial Narrow" w:cs="Arial"/>
          <w:b/>
          <w:bCs/>
          <w:sz w:val="22"/>
          <w:szCs w:val="22"/>
          <w:lang w:val="en-US"/>
        </w:rPr>
        <w:t xml:space="preserve"> and Climate Adaptation Measures</w:t>
      </w:r>
    </w:p>
    <w:p w14:paraId="201BFB4D" w14:textId="287ECA96" w:rsidR="00E729C2" w:rsidRPr="00606E05" w:rsidRDefault="00E729C2"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This axis investigates </w:t>
      </w:r>
      <w:proofErr w:type="spellStart"/>
      <w:r w:rsidRPr="00606E05">
        <w:rPr>
          <w:rFonts w:ascii="Arial Narrow" w:hAnsi="Arial Narrow" w:cs="Arial"/>
          <w:sz w:val="22"/>
          <w:szCs w:val="22"/>
          <w:lang w:val="en-US"/>
        </w:rPr>
        <w:t>hydrosystems</w:t>
      </w:r>
      <w:proofErr w:type="spellEnd"/>
      <w:r w:rsidRPr="00606E05">
        <w:rPr>
          <w:rFonts w:ascii="Arial Narrow" w:hAnsi="Arial Narrow" w:cs="Arial"/>
          <w:sz w:val="22"/>
          <w:szCs w:val="22"/>
          <w:lang w:val="en-US"/>
        </w:rPr>
        <w:t xml:space="preserve"> as coupled hydrological–biogeochemical systems, whose functioning emerges from interacting processes across spatial and temporal scales (Fletcher et al., 2013; Salvadore et al., 2015). Under climate adaptation measures—such as </w:t>
      </w:r>
      <w:r w:rsidR="00263D03" w:rsidRPr="00606E05">
        <w:rPr>
          <w:rFonts w:ascii="Arial Narrow" w:hAnsi="Arial Narrow" w:cs="Arial"/>
          <w:sz w:val="22"/>
          <w:szCs w:val="22"/>
          <w:lang w:val="en-US"/>
        </w:rPr>
        <w:t>N</w:t>
      </w:r>
      <w:r w:rsidR="00535803" w:rsidRPr="00606E05">
        <w:rPr>
          <w:rFonts w:ascii="Arial Narrow" w:hAnsi="Arial Narrow" w:cs="Arial"/>
          <w:sz w:val="22"/>
          <w:szCs w:val="22"/>
          <w:lang w:val="en-US"/>
        </w:rPr>
        <w:t>ature-</w:t>
      </w:r>
      <w:r w:rsidR="00263D03" w:rsidRPr="00606E05">
        <w:rPr>
          <w:rFonts w:ascii="Arial Narrow" w:hAnsi="Arial Narrow" w:cs="Arial"/>
          <w:sz w:val="22"/>
          <w:szCs w:val="22"/>
          <w:lang w:val="en-US"/>
        </w:rPr>
        <w:t>B</w:t>
      </w:r>
      <w:r w:rsidR="00535803" w:rsidRPr="00606E05">
        <w:rPr>
          <w:rFonts w:ascii="Arial Narrow" w:hAnsi="Arial Narrow" w:cs="Arial"/>
          <w:sz w:val="22"/>
          <w:szCs w:val="22"/>
          <w:lang w:val="en-US"/>
        </w:rPr>
        <w:t xml:space="preserve">ased </w:t>
      </w:r>
      <w:r w:rsidR="00263D03" w:rsidRPr="00606E05">
        <w:rPr>
          <w:rFonts w:ascii="Arial Narrow" w:hAnsi="Arial Narrow" w:cs="Arial"/>
          <w:sz w:val="22"/>
          <w:szCs w:val="22"/>
          <w:lang w:val="en-US"/>
        </w:rPr>
        <w:t>S</w:t>
      </w:r>
      <w:r w:rsidR="00535803" w:rsidRPr="00606E05">
        <w:rPr>
          <w:rFonts w:ascii="Arial Narrow" w:hAnsi="Arial Narrow" w:cs="Arial"/>
          <w:sz w:val="22"/>
          <w:szCs w:val="22"/>
          <w:lang w:val="en-US"/>
        </w:rPr>
        <w:t>olutions</w:t>
      </w:r>
      <w:r w:rsidR="00483B69" w:rsidRPr="00606E05">
        <w:rPr>
          <w:rFonts w:ascii="Arial Narrow" w:hAnsi="Arial Narrow" w:cs="Arial"/>
          <w:sz w:val="22"/>
          <w:szCs w:val="22"/>
          <w:lang w:val="en-US"/>
        </w:rPr>
        <w:t xml:space="preserve"> (NBS)</w:t>
      </w:r>
      <w:r w:rsidRPr="00606E05">
        <w:rPr>
          <w:rFonts w:ascii="Arial Narrow" w:hAnsi="Arial Narrow" w:cs="Arial"/>
          <w:sz w:val="22"/>
          <w:szCs w:val="22"/>
          <w:lang w:val="en-US"/>
        </w:rPr>
        <w:t>, managed infiltration systems</w:t>
      </w:r>
      <w:r w:rsidR="001D45B6" w:rsidRPr="00606E05">
        <w:rPr>
          <w:rFonts w:ascii="Arial Narrow" w:hAnsi="Arial Narrow" w:cs="Arial"/>
          <w:sz w:val="22"/>
          <w:szCs w:val="22"/>
          <w:lang w:val="en-US"/>
        </w:rPr>
        <w:t xml:space="preserve"> and</w:t>
      </w:r>
      <w:r w:rsidRPr="00606E05">
        <w:rPr>
          <w:rFonts w:ascii="Arial Narrow" w:hAnsi="Arial Narrow" w:cs="Arial"/>
          <w:sz w:val="22"/>
          <w:szCs w:val="22"/>
          <w:lang w:val="en-US"/>
        </w:rPr>
        <w:t xml:space="preserve"> water reuse schemes—these dynamics are profoundly reconfigured (Jarden et al., 2016; Pons et al., 2023). Flow regimes are redistributed in space and time; hydraulic connectivity is altered; new interfaces between water and solid media are created; and boundary conditions become non-stationary. </w:t>
      </w:r>
      <w:r w:rsidR="00DB1482" w:rsidRPr="00606E05">
        <w:rPr>
          <w:rFonts w:ascii="Arial Narrow" w:hAnsi="Arial Narrow" w:cs="Arial"/>
          <w:sz w:val="22"/>
          <w:szCs w:val="22"/>
          <w:lang w:val="en-US"/>
        </w:rPr>
        <w:t xml:space="preserve">These modifications lead to system representations that are characterized by evolving parameters </w:t>
      </w:r>
      <w:r w:rsidRPr="00606E05">
        <w:rPr>
          <w:rFonts w:ascii="Arial Narrow" w:hAnsi="Arial Narrow" w:cs="Arial"/>
          <w:sz w:val="22"/>
          <w:szCs w:val="22"/>
          <w:lang w:val="en-US"/>
        </w:rPr>
        <w:t>(Thyer et al., 2009; Bacci et al., 2022), partial observability, and strong equifinality (</w:t>
      </w:r>
      <w:proofErr w:type="spellStart"/>
      <w:r w:rsidRPr="00606E05">
        <w:rPr>
          <w:rFonts w:ascii="Arial Narrow" w:hAnsi="Arial Narrow" w:cs="Arial"/>
          <w:sz w:val="22"/>
          <w:szCs w:val="22"/>
          <w:lang w:val="en-US"/>
        </w:rPr>
        <w:t>Vrugt</w:t>
      </w:r>
      <w:proofErr w:type="spellEnd"/>
      <w:r w:rsidRPr="00606E05">
        <w:rPr>
          <w:rFonts w:ascii="Arial Narrow" w:hAnsi="Arial Narrow" w:cs="Arial"/>
          <w:sz w:val="22"/>
          <w:szCs w:val="22"/>
          <w:lang w:val="en-US"/>
        </w:rPr>
        <w:t xml:space="preserve"> &amp; Beven, 2018</w:t>
      </w:r>
      <w:r w:rsidR="001E5F1F" w:rsidRPr="00606E05">
        <w:rPr>
          <w:rFonts w:ascii="Arial Narrow" w:hAnsi="Arial Narrow" w:cs="Arial"/>
          <w:sz w:val="22"/>
          <w:szCs w:val="22"/>
          <w:lang w:val="en-US"/>
        </w:rPr>
        <w:t>; Sandoval &amp; Bertrand-Krajewski, 2019</w:t>
      </w:r>
      <w:r w:rsidRPr="00606E05">
        <w:rPr>
          <w:rFonts w:ascii="Arial Narrow" w:hAnsi="Arial Narrow" w:cs="Arial"/>
          <w:sz w:val="22"/>
          <w:szCs w:val="22"/>
          <w:lang w:val="en-US"/>
        </w:rPr>
        <w:t>). Simplified representations are often insufficient to capture their behavior at urban catchment scale (Bonhomme &amp; Petrucci, 2017).</w:t>
      </w:r>
    </w:p>
    <w:p w14:paraId="33A0BDB3" w14:textId="6E11F1C1" w:rsidR="0033618E" w:rsidRPr="00606E05" w:rsidRDefault="00E729C2"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The methodological core of this axis is the explicit integration of observation and modeling as a single inferential process. Monitoring is not treated as </w:t>
      </w:r>
      <w:r w:rsidR="00C16F3D" w:rsidRPr="00606E05">
        <w:rPr>
          <w:rFonts w:ascii="Arial Narrow" w:hAnsi="Arial Narrow" w:cs="Arial"/>
          <w:sz w:val="22"/>
          <w:szCs w:val="22"/>
          <w:lang w:val="en-US"/>
        </w:rPr>
        <w:t>mere</w:t>
      </w:r>
      <w:r w:rsidRPr="00606E05">
        <w:rPr>
          <w:rFonts w:ascii="Arial Narrow" w:hAnsi="Arial Narrow" w:cs="Arial"/>
          <w:sz w:val="22"/>
          <w:szCs w:val="22"/>
          <w:lang w:val="en-US"/>
        </w:rPr>
        <w:t xml:space="preserve"> data collection (</w:t>
      </w:r>
      <w:proofErr w:type="spellStart"/>
      <w:r w:rsidRPr="00606E05">
        <w:rPr>
          <w:rFonts w:ascii="Arial Narrow" w:hAnsi="Arial Narrow" w:cs="Arial"/>
          <w:sz w:val="22"/>
          <w:szCs w:val="22"/>
          <w:lang w:val="en-US"/>
        </w:rPr>
        <w:t>Métadier</w:t>
      </w:r>
      <w:proofErr w:type="spellEnd"/>
      <w:r w:rsidRPr="00606E05">
        <w:rPr>
          <w:rFonts w:ascii="Arial Narrow" w:hAnsi="Arial Narrow" w:cs="Arial"/>
          <w:sz w:val="22"/>
          <w:szCs w:val="22"/>
          <w:lang w:val="en-US"/>
        </w:rPr>
        <w:t xml:space="preserve"> &amp; Bertrand-Krajewski, 2012; </w:t>
      </w:r>
      <w:proofErr w:type="spellStart"/>
      <w:r w:rsidRPr="00606E05">
        <w:rPr>
          <w:rFonts w:ascii="Arial Narrow" w:hAnsi="Arial Narrow" w:cs="Arial"/>
          <w:sz w:val="22"/>
          <w:szCs w:val="22"/>
          <w:lang w:val="en-US"/>
        </w:rPr>
        <w:t>Lepot</w:t>
      </w:r>
      <w:proofErr w:type="spellEnd"/>
      <w:r w:rsidRPr="00606E05">
        <w:rPr>
          <w:rFonts w:ascii="Arial Narrow" w:hAnsi="Arial Narrow" w:cs="Arial"/>
          <w:sz w:val="22"/>
          <w:szCs w:val="22"/>
          <w:lang w:val="en-US"/>
        </w:rPr>
        <w:t xml:space="preserve"> et al., 2016), and modeling is not reduced to forward simulation. Instead, physically based and conceptual models are confronted </w:t>
      </w:r>
      <w:r w:rsidRPr="00606E05">
        <w:rPr>
          <w:rFonts w:ascii="Arial Narrow" w:hAnsi="Arial Narrow" w:cs="Arial"/>
          <w:sz w:val="22"/>
          <w:szCs w:val="22"/>
          <w:lang w:val="en-US"/>
        </w:rPr>
        <w:lastRenderedPageBreak/>
        <w:t>with high-frequency field data through optimization, inverse modeling, and Bayesian inference frameworks (</w:t>
      </w:r>
      <w:proofErr w:type="spellStart"/>
      <w:r w:rsidRPr="00606E05">
        <w:rPr>
          <w:rFonts w:ascii="Arial Narrow" w:hAnsi="Arial Narrow" w:cs="Arial"/>
          <w:sz w:val="22"/>
          <w:szCs w:val="22"/>
          <w:lang w:val="en-US"/>
        </w:rPr>
        <w:t>Kavetski</w:t>
      </w:r>
      <w:proofErr w:type="spellEnd"/>
      <w:r w:rsidRPr="00606E05">
        <w:rPr>
          <w:rFonts w:ascii="Arial Narrow" w:hAnsi="Arial Narrow" w:cs="Arial"/>
          <w:sz w:val="22"/>
          <w:szCs w:val="22"/>
          <w:lang w:val="en-US"/>
        </w:rPr>
        <w:t xml:space="preserve"> et al., 2006; Renard et al., 2010; Del Giudice et al., 2016). </w:t>
      </w:r>
    </w:p>
    <w:p w14:paraId="3365F9BB" w14:textId="19B0EDD5" w:rsidR="00E729C2" w:rsidRPr="00606E05" w:rsidRDefault="00E729C2"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In this perspective:</w:t>
      </w:r>
    </w:p>
    <w:p w14:paraId="6A2A3BE5" w14:textId="557F77FC" w:rsidR="00E729C2" w:rsidRPr="00606E05" w:rsidRDefault="00E729C2" w:rsidP="00606E05">
      <w:pPr>
        <w:spacing w:line="276" w:lineRule="auto"/>
        <w:rPr>
          <w:rFonts w:ascii="Arial Narrow" w:hAnsi="Arial Narrow" w:cs="Arial"/>
          <w:sz w:val="22"/>
          <w:szCs w:val="22"/>
          <w:lang w:val="en-US"/>
        </w:rPr>
      </w:pPr>
      <w:r w:rsidRPr="00606E05">
        <w:rPr>
          <w:rFonts w:ascii="Arial Narrow" w:hAnsi="Arial Narrow" w:cs="Arial"/>
          <w:sz w:val="22"/>
          <w:szCs w:val="22"/>
          <w:lang w:val="en-US"/>
        </w:rPr>
        <w:t>• Inverse modeling becomes an extension of observation, enabling inference of non-directly measurable states and fluxes (Sandoval et al., 2018b</w:t>
      </w:r>
      <w:r w:rsidR="00B77401" w:rsidRPr="00606E05">
        <w:rPr>
          <w:rFonts w:ascii="Arial Narrow" w:hAnsi="Arial Narrow" w:cs="Arial"/>
          <w:sz w:val="22"/>
          <w:szCs w:val="22"/>
          <w:lang w:val="en-US"/>
        </w:rPr>
        <w:t>*</w:t>
      </w:r>
      <w:r w:rsidRPr="00606E05">
        <w:rPr>
          <w:rFonts w:ascii="Arial Narrow" w:hAnsi="Arial Narrow" w:cs="Arial"/>
          <w:sz w:val="22"/>
          <w:szCs w:val="22"/>
          <w:lang w:val="en-US"/>
        </w:rPr>
        <w:t>)</w:t>
      </w:r>
      <w:r w:rsidR="00945A31">
        <w:rPr>
          <w:rFonts w:ascii="Arial Narrow" w:hAnsi="Arial Narrow" w:cs="Arial"/>
          <w:sz w:val="22"/>
          <w:szCs w:val="22"/>
          <w:lang w:val="en-US"/>
        </w:rPr>
        <w:t>.</w:t>
      </w:r>
      <w:r w:rsidRPr="00606E05">
        <w:rPr>
          <w:rFonts w:ascii="Arial Narrow" w:hAnsi="Arial Narrow" w:cs="Arial"/>
          <w:sz w:val="22"/>
          <w:szCs w:val="22"/>
          <w:lang w:val="en-US"/>
        </w:rPr>
        <w:br/>
        <w:t>• Model–data confrontation is used to test competing process hypotheses (Del Giudice et al., 2016</w:t>
      </w:r>
      <w:r w:rsidR="00930150" w:rsidRPr="00606E05">
        <w:rPr>
          <w:rFonts w:ascii="Arial Narrow" w:hAnsi="Arial Narrow" w:cs="Arial"/>
          <w:sz w:val="22"/>
          <w:szCs w:val="22"/>
          <w:lang w:val="en-US"/>
        </w:rPr>
        <w:t>; Sandoval et al., 2018b</w:t>
      </w:r>
      <w:r w:rsidR="00B77401" w:rsidRPr="00606E05">
        <w:rPr>
          <w:rFonts w:ascii="Arial Narrow" w:hAnsi="Arial Narrow" w:cs="Arial"/>
          <w:sz w:val="22"/>
          <w:szCs w:val="22"/>
          <w:lang w:val="en-US"/>
        </w:rPr>
        <w:t>*</w:t>
      </w:r>
      <w:r w:rsidR="00930150" w:rsidRPr="00606E05">
        <w:rPr>
          <w:rFonts w:ascii="Arial Narrow" w:hAnsi="Arial Narrow" w:cs="Arial"/>
          <w:sz w:val="22"/>
          <w:szCs w:val="22"/>
          <w:lang w:val="en-US"/>
        </w:rPr>
        <w:t>)</w:t>
      </w:r>
      <w:r w:rsidR="00945A31">
        <w:rPr>
          <w:rFonts w:ascii="Arial Narrow" w:hAnsi="Arial Narrow" w:cs="Arial"/>
          <w:sz w:val="22"/>
          <w:szCs w:val="22"/>
          <w:lang w:val="en-US"/>
        </w:rPr>
        <w:t>.</w:t>
      </w:r>
      <w:r w:rsidRPr="00606E05">
        <w:rPr>
          <w:rFonts w:ascii="Arial Narrow" w:hAnsi="Arial Narrow" w:cs="Arial"/>
          <w:sz w:val="22"/>
          <w:szCs w:val="22"/>
          <w:lang w:val="en-US"/>
        </w:rPr>
        <w:br/>
        <w:t>• Structural inadequacies are identified explicitly rather than absorbed into calibration parameters (Bonhomme &amp; Petrucci, 2017)</w:t>
      </w:r>
      <w:r w:rsidR="00945A31">
        <w:rPr>
          <w:rFonts w:ascii="Arial Narrow" w:hAnsi="Arial Narrow" w:cs="Arial"/>
          <w:sz w:val="22"/>
          <w:szCs w:val="22"/>
          <w:lang w:val="en-US"/>
        </w:rPr>
        <w:t>.</w:t>
      </w:r>
      <w:r w:rsidRPr="00606E05">
        <w:rPr>
          <w:rFonts w:ascii="Arial Narrow" w:hAnsi="Arial Narrow" w:cs="Arial"/>
          <w:sz w:val="22"/>
          <w:szCs w:val="22"/>
          <w:lang w:val="en-US"/>
        </w:rPr>
        <w:br/>
        <w:t>• Uncertainty is quantified and propagated as a diagnostic tool rather than merely reported as an output (Bacci et al., 2022; Peña-Heredia et al., 2021</w:t>
      </w:r>
      <w:r w:rsidR="00B77401" w:rsidRPr="00606E05">
        <w:rPr>
          <w:rFonts w:ascii="Arial Narrow" w:hAnsi="Arial Narrow" w:cs="Arial"/>
          <w:sz w:val="22"/>
          <w:szCs w:val="22"/>
          <w:lang w:val="en-US"/>
        </w:rPr>
        <w:t>*</w:t>
      </w:r>
      <w:r w:rsidRPr="00606E05">
        <w:rPr>
          <w:rFonts w:ascii="Arial Narrow" w:hAnsi="Arial Narrow" w:cs="Arial"/>
          <w:sz w:val="22"/>
          <w:szCs w:val="22"/>
          <w:lang w:val="en-US"/>
        </w:rPr>
        <w:t>)</w:t>
      </w:r>
      <w:r w:rsidR="00945A31">
        <w:rPr>
          <w:rFonts w:ascii="Arial Narrow" w:hAnsi="Arial Narrow" w:cs="Arial"/>
          <w:sz w:val="22"/>
          <w:szCs w:val="22"/>
          <w:lang w:val="en-US"/>
        </w:rPr>
        <w:t>.</w:t>
      </w:r>
    </w:p>
    <w:p w14:paraId="0C0FF6A3" w14:textId="77777777" w:rsidR="00E729C2" w:rsidRPr="00606E05" w:rsidRDefault="00E729C2"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Three central scientific questions guide this work:</w:t>
      </w:r>
    </w:p>
    <w:p w14:paraId="5B759039" w14:textId="77777777" w:rsidR="00E729C2" w:rsidRPr="00606E05" w:rsidRDefault="00E729C2" w:rsidP="00606E05">
      <w:pPr>
        <w:numPr>
          <w:ilvl w:val="0"/>
          <w:numId w:val="12"/>
        </w:numPr>
        <w:tabs>
          <w:tab w:val="clear" w:pos="360"/>
          <w:tab w:val="num" w:pos="720"/>
        </w:tabs>
        <w:spacing w:line="276" w:lineRule="auto"/>
        <w:rPr>
          <w:rFonts w:ascii="Arial Narrow" w:hAnsi="Arial Narrow" w:cs="Arial"/>
          <w:sz w:val="22"/>
          <w:szCs w:val="22"/>
          <w:lang w:val="en-US"/>
        </w:rPr>
      </w:pPr>
      <w:r w:rsidRPr="00606E05">
        <w:rPr>
          <w:rFonts w:ascii="Arial Narrow" w:hAnsi="Arial Narrow" w:cs="Arial"/>
          <w:sz w:val="22"/>
          <w:szCs w:val="22"/>
          <w:lang w:val="en-US"/>
        </w:rPr>
        <w:t>How do human-induced modifications reshape hydrological connectivity and storage dynamics from local flow paths to catchment-scale responses?</w:t>
      </w:r>
    </w:p>
    <w:p w14:paraId="482ABFB6" w14:textId="77777777" w:rsidR="00E729C2" w:rsidRPr="00606E05" w:rsidRDefault="00E729C2" w:rsidP="00606E05">
      <w:pPr>
        <w:numPr>
          <w:ilvl w:val="0"/>
          <w:numId w:val="12"/>
        </w:numPr>
        <w:tabs>
          <w:tab w:val="clear" w:pos="360"/>
          <w:tab w:val="num" w:pos="720"/>
        </w:tabs>
        <w:spacing w:line="276" w:lineRule="auto"/>
        <w:rPr>
          <w:rFonts w:ascii="Arial Narrow" w:hAnsi="Arial Narrow" w:cs="Arial"/>
          <w:sz w:val="22"/>
          <w:szCs w:val="22"/>
          <w:lang w:val="en-US"/>
        </w:rPr>
      </w:pPr>
      <w:r w:rsidRPr="00606E05">
        <w:rPr>
          <w:rFonts w:ascii="Arial Narrow" w:hAnsi="Arial Narrow" w:cs="Arial"/>
          <w:sz w:val="22"/>
          <w:szCs w:val="22"/>
          <w:lang w:val="en-US"/>
        </w:rPr>
        <w:t xml:space="preserve">How do these </w:t>
      </w:r>
      <w:proofErr w:type="gramStart"/>
      <w:r w:rsidRPr="00606E05">
        <w:rPr>
          <w:rFonts w:ascii="Arial Narrow" w:hAnsi="Arial Narrow" w:cs="Arial"/>
          <w:sz w:val="22"/>
          <w:szCs w:val="22"/>
          <w:lang w:val="en-US"/>
        </w:rPr>
        <w:t>altered</w:t>
      </w:r>
      <w:proofErr w:type="gramEnd"/>
      <w:r w:rsidRPr="00606E05">
        <w:rPr>
          <w:rFonts w:ascii="Arial Narrow" w:hAnsi="Arial Narrow" w:cs="Arial"/>
          <w:sz w:val="22"/>
          <w:szCs w:val="22"/>
          <w:lang w:val="en-US"/>
        </w:rPr>
        <w:t xml:space="preserve"> hydrological regimes control sediment transport, nutrient fluxes, emerging contaminants, and biogeochemical transformations?</w:t>
      </w:r>
    </w:p>
    <w:p w14:paraId="2B097D43" w14:textId="77777777" w:rsidR="00E729C2" w:rsidRPr="00606E05" w:rsidRDefault="00E729C2" w:rsidP="00606E05">
      <w:pPr>
        <w:numPr>
          <w:ilvl w:val="0"/>
          <w:numId w:val="12"/>
        </w:numPr>
        <w:tabs>
          <w:tab w:val="clear" w:pos="360"/>
          <w:tab w:val="num" w:pos="720"/>
        </w:tabs>
        <w:spacing w:line="276" w:lineRule="auto"/>
        <w:rPr>
          <w:rFonts w:ascii="Arial Narrow" w:hAnsi="Arial Narrow" w:cs="Arial"/>
          <w:sz w:val="22"/>
          <w:szCs w:val="22"/>
          <w:lang w:val="en-US"/>
        </w:rPr>
      </w:pPr>
      <w:r w:rsidRPr="00606E05">
        <w:rPr>
          <w:rFonts w:ascii="Arial Narrow" w:hAnsi="Arial Narrow" w:cs="Arial"/>
          <w:sz w:val="22"/>
          <w:szCs w:val="22"/>
          <w:lang w:val="en-US"/>
        </w:rPr>
        <w:t>How can scale transitions be represented without losing the information contained in local heterogeneity and process coupling?</w:t>
      </w:r>
    </w:p>
    <w:p w14:paraId="26174C82" w14:textId="1D99387C" w:rsidR="00E729C2" w:rsidRPr="00606E05" w:rsidRDefault="00E729C2"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Although grounded in specific case studies from my research (Sandoval et al., 2018b</w:t>
      </w:r>
      <w:r w:rsidR="00337110" w:rsidRPr="00606E05">
        <w:rPr>
          <w:rFonts w:ascii="Arial Narrow" w:hAnsi="Arial Narrow" w:cs="Arial"/>
          <w:sz w:val="22"/>
          <w:szCs w:val="22"/>
          <w:lang w:val="en-US"/>
        </w:rPr>
        <w:t>*</w:t>
      </w:r>
      <w:r w:rsidRPr="00606E05">
        <w:rPr>
          <w:rFonts w:ascii="Arial Narrow" w:hAnsi="Arial Narrow" w:cs="Arial"/>
          <w:sz w:val="22"/>
          <w:szCs w:val="22"/>
          <w:lang w:val="en-US"/>
        </w:rPr>
        <w:t>; Broekhuizen et al., 2021</w:t>
      </w:r>
      <w:r w:rsidR="00B77401" w:rsidRPr="00606E05">
        <w:rPr>
          <w:rFonts w:ascii="Arial Narrow" w:hAnsi="Arial Narrow" w:cs="Arial"/>
          <w:sz w:val="22"/>
          <w:szCs w:val="22"/>
          <w:lang w:val="en-US"/>
        </w:rPr>
        <w:t>*</w:t>
      </w:r>
      <w:r w:rsidRPr="00606E05">
        <w:rPr>
          <w:rFonts w:ascii="Arial Narrow" w:hAnsi="Arial Narrow" w:cs="Arial"/>
          <w:sz w:val="22"/>
          <w:szCs w:val="22"/>
          <w:lang w:val="en-US"/>
        </w:rPr>
        <w:t xml:space="preserve">), this methodological framework is inherently transferable to agricultural basins, restored rivers, groundwater systems, and reservoirs. Its long-term ambition is to advance the scientific representation of </w:t>
      </w:r>
      <w:proofErr w:type="spellStart"/>
      <w:r w:rsidRPr="00606E05">
        <w:rPr>
          <w:rFonts w:ascii="Arial Narrow" w:hAnsi="Arial Narrow" w:cs="Arial"/>
          <w:sz w:val="22"/>
          <w:szCs w:val="22"/>
          <w:lang w:val="en-US"/>
        </w:rPr>
        <w:t>hydrosystems</w:t>
      </w:r>
      <w:proofErr w:type="spellEnd"/>
      <w:r w:rsidRPr="00606E05">
        <w:rPr>
          <w:rFonts w:ascii="Arial Narrow" w:hAnsi="Arial Narrow" w:cs="Arial"/>
          <w:sz w:val="22"/>
          <w:szCs w:val="22"/>
          <w:lang w:val="en-US"/>
        </w:rPr>
        <w:t xml:space="preserve"> under structural </w:t>
      </w:r>
      <w:r w:rsidR="00B858E0" w:rsidRPr="00606E05">
        <w:rPr>
          <w:rFonts w:ascii="Arial Narrow" w:hAnsi="Arial Narrow" w:cs="Arial"/>
          <w:sz w:val="22"/>
          <w:szCs w:val="22"/>
          <w:lang w:val="en-US"/>
        </w:rPr>
        <w:t>changes</w:t>
      </w:r>
      <w:r w:rsidR="00050B57" w:rsidRPr="00606E05">
        <w:rPr>
          <w:rFonts w:ascii="Arial Narrow" w:hAnsi="Arial Narrow" w:cs="Arial"/>
          <w:sz w:val="22"/>
          <w:szCs w:val="22"/>
          <w:lang w:val="en-US"/>
        </w:rPr>
        <w:t xml:space="preserve"> over years </w:t>
      </w:r>
      <w:r w:rsidR="00691F12" w:rsidRPr="00606E05">
        <w:rPr>
          <w:rFonts w:ascii="Arial Narrow" w:hAnsi="Arial Narrow" w:cs="Arial"/>
          <w:sz w:val="22"/>
          <w:szCs w:val="22"/>
          <w:lang w:val="en-US"/>
        </w:rPr>
        <w:t xml:space="preserve">and </w:t>
      </w:r>
      <w:r w:rsidRPr="00606E05">
        <w:rPr>
          <w:rFonts w:ascii="Arial Narrow" w:hAnsi="Arial Narrow" w:cs="Arial"/>
          <w:sz w:val="22"/>
          <w:szCs w:val="22"/>
          <w:lang w:val="en-US"/>
        </w:rPr>
        <w:t>across scales.</w:t>
      </w:r>
    </w:p>
    <w:p w14:paraId="09419347" w14:textId="49D33A69" w:rsidR="00F13A89" w:rsidRPr="00606E05" w:rsidRDefault="00F13A89"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Axis 2 — Model Design, Simplification and Operationalization for Water Management</w:t>
      </w:r>
    </w:p>
    <w:p w14:paraId="30BBD81E" w14:textId="08A3BAE1" w:rsidR="004D66B6" w:rsidRPr="00606E05" w:rsidRDefault="004D66B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While Axis 1 focuses on understanding processes and improving their scientific representation, Axis 2 addresses a complementary challenge: how to transform this knowledge into models, data workflows, and digital tools usable in practice for planning, design, and operation (Lerer et al., 2015; </w:t>
      </w:r>
      <w:proofErr w:type="spellStart"/>
      <w:r w:rsidRPr="00606E05">
        <w:rPr>
          <w:rFonts w:ascii="Arial Narrow" w:hAnsi="Arial Narrow" w:cs="Arial"/>
          <w:sz w:val="22"/>
          <w:szCs w:val="22"/>
          <w:lang w:val="en-US"/>
        </w:rPr>
        <w:t>Oberascher</w:t>
      </w:r>
      <w:proofErr w:type="spellEnd"/>
      <w:r w:rsidRPr="00606E05">
        <w:rPr>
          <w:rFonts w:ascii="Arial Narrow" w:hAnsi="Arial Narrow" w:cs="Arial"/>
          <w:sz w:val="22"/>
          <w:szCs w:val="22"/>
          <w:lang w:val="en-US"/>
        </w:rPr>
        <w:t xml:space="preserve"> et al., 2022).</w:t>
      </w:r>
    </w:p>
    <w:p w14:paraId="315EC041" w14:textId="72D3E57E" w:rsidR="004D66B6" w:rsidRPr="00606E05" w:rsidRDefault="004D66B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In real-world water management, there is a structural tension between model complexity and usability (Salvadore et al., 2015). Detailed, physically based models are often too demanding in data, calibration effort, and expertise (Brunetti et al., 2021), while overly simplified models may lose contact with underlying processes (Bonhomme &amp; Petrucci, 2017). The objective of this axis is to formalize this interface and render it methodologically explicit: to determine how robust, simplified, and decision-oriented representations can be systematically derived from improved process understanding</w:t>
      </w:r>
      <w:r w:rsidR="002A1DE4" w:rsidRPr="00606E05">
        <w:rPr>
          <w:rFonts w:ascii="Arial Narrow" w:hAnsi="Arial Narrow" w:cs="Arial"/>
          <w:sz w:val="22"/>
          <w:szCs w:val="22"/>
          <w:lang w:val="en-US"/>
        </w:rPr>
        <w:t xml:space="preserve">, </w:t>
      </w:r>
      <w:r w:rsidR="007B234B" w:rsidRPr="00606E05">
        <w:rPr>
          <w:rFonts w:ascii="Arial Narrow" w:hAnsi="Arial Narrow" w:cs="Arial"/>
          <w:sz w:val="22"/>
          <w:szCs w:val="22"/>
          <w:lang w:val="en-US"/>
        </w:rPr>
        <w:t>including</w:t>
      </w:r>
      <w:r w:rsidR="003E7AEF" w:rsidRPr="00606E05">
        <w:rPr>
          <w:rFonts w:ascii="Arial Narrow" w:hAnsi="Arial Narrow" w:cs="Arial"/>
          <w:sz w:val="22"/>
          <w:szCs w:val="22"/>
          <w:lang w:val="en-US"/>
        </w:rPr>
        <w:t>, for example,</w:t>
      </w:r>
      <w:r w:rsidR="007B234B" w:rsidRPr="00606E05">
        <w:rPr>
          <w:rFonts w:ascii="Arial Narrow" w:hAnsi="Arial Narrow" w:cs="Arial"/>
          <w:sz w:val="22"/>
          <w:szCs w:val="22"/>
          <w:lang w:val="en-US"/>
        </w:rPr>
        <w:t xml:space="preserve"> </w:t>
      </w:r>
      <w:r w:rsidR="002A1DE4" w:rsidRPr="00606E05">
        <w:rPr>
          <w:rFonts w:ascii="Arial Narrow" w:hAnsi="Arial Narrow" w:cs="Arial"/>
          <w:sz w:val="22"/>
          <w:szCs w:val="22"/>
          <w:lang w:val="en-US"/>
        </w:rPr>
        <w:t>infiltration–subsurface exchanges in urban</w:t>
      </w:r>
      <w:r w:rsidR="007E699D" w:rsidRPr="00606E05">
        <w:rPr>
          <w:rFonts w:ascii="Arial Narrow" w:hAnsi="Arial Narrow" w:cs="Arial"/>
          <w:sz w:val="22"/>
          <w:szCs w:val="22"/>
          <w:lang w:val="en-US"/>
        </w:rPr>
        <w:t xml:space="preserve"> soils</w:t>
      </w:r>
      <w:r w:rsidR="00FF4DD8" w:rsidRPr="00606E05">
        <w:rPr>
          <w:rFonts w:ascii="Arial Narrow" w:hAnsi="Arial Narrow" w:cs="Arial"/>
          <w:sz w:val="22"/>
          <w:szCs w:val="22"/>
          <w:lang w:val="en-US"/>
        </w:rPr>
        <w:t>.</w:t>
      </w:r>
    </w:p>
    <w:p w14:paraId="1B0250C9" w14:textId="23FB736F" w:rsidR="004D66B6" w:rsidRPr="00606E05" w:rsidRDefault="004D66B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A first line of work concerns the development of conceptual and reduced-order models grounded in Axis 1. The goal is to identify what can be simplified without losing what matters: which processes control performance, which variables and parameters must be represented or updated, and which uncertainties dominate credibility (Thyer et al., 2009; Bacci et al., 2022). </w:t>
      </w:r>
    </w:p>
    <w:p w14:paraId="42E1FA53" w14:textId="3E82DFAE" w:rsidR="004D66B6" w:rsidRPr="00606E05" w:rsidRDefault="004D66B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A second line of work concerns digital tools and reproducible workflows. Building on my experience developing the open-source software Urbis (</w:t>
      </w:r>
      <w:r w:rsidR="006E20EB" w:rsidRPr="00606E05">
        <w:rPr>
          <w:rFonts w:ascii="Arial Narrow" w:hAnsi="Arial Narrow" w:cs="Arial"/>
          <w:sz w:val="22"/>
          <w:szCs w:val="22"/>
          <w:lang w:val="en-US"/>
        </w:rPr>
        <w:t>Urbis, 2024</w:t>
      </w:r>
      <w:r w:rsidR="00D4108E" w:rsidRPr="00606E05">
        <w:rPr>
          <w:rFonts w:ascii="Arial Narrow" w:hAnsi="Arial Narrow" w:cs="Arial"/>
          <w:sz w:val="22"/>
          <w:szCs w:val="22"/>
          <w:lang w:val="en-US"/>
        </w:rPr>
        <w:t>*</w:t>
      </w:r>
      <w:r w:rsidRPr="00606E05">
        <w:rPr>
          <w:rFonts w:ascii="Arial Narrow" w:hAnsi="Arial Narrow" w:cs="Arial"/>
          <w:sz w:val="22"/>
          <w:szCs w:val="22"/>
          <w:lang w:val="en-US"/>
        </w:rPr>
        <w:t xml:space="preserve">), I will pursue modular tools that help users move from raw data to diagnostics, scenarios, and comparisons, while preserving transparency. This includes components for scenario generation, indicator computation, uncertainty-aware comparison, and standardized reporting, in line with current needs for interoperable and decision-oriented modeling platforms (Wang et al., 2017; </w:t>
      </w:r>
      <w:proofErr w:type="spellStart"/>
      <w:r w:rsidRPr="00606E05">
        <w:rPr>
          <w:rFonts w:ascii="Arial Narrow" w:hAnsi="Arial Narrow" w:cs="Arial"/>
          <w:sz w:val="22"/>
          <w:szCs w:val="22"/>
          <w:lang w:val="en-US"/>
        </w:rPr>
        <w:t>Oberascher</w:t>
      </w:r>
      <w:proofErr w:type="spellEnd"/>
      <w:r w:rsidRPr="00606E05">
        <w:rPr>
          <w:rFonts w:ascii="Arial Narrow" w:hAnsi="Arial Narrow" w:cs="Arial"/>
          <w:sz w:val="22"/>
          <w:szCs w:val="22"/>
          <w:lang w:val="en-US"/>
        </w:rPr>
        <w:t xml:space="preserve"> et al., 2022).</w:t>
      </w:r>
    </w:p>
    <w:p w14:paraId="724D0AAE" w14:textId="69110BA2" w:rsidR="004D66B6" w:rsidRPr="00606E05" w:rsidRDefault="004D66B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lastRenderedPageBreak/>
        <w:t>A third line of work concerns data engineering and AI-assisted data processing as a major bottleneck. In practice, much effort is spent on data validation, cleaning, harmonization, homogenization, and proxy construction (</w:t>
      </w:r>
      <w:proofErr w:type="spellStart"/>
      <w:r w:rsidRPr="00606E05">
        <w:rPr>
          <w:rFonts w:ascii="Arial Narrow" w:hAnsi="Arial Narrow" w:cs="Arial"/>
          <w:sz w:val="22"/>
          <w:szCs w:val="22"/>
          <w:lang w:val="en-US"/>
        </w:rPr>
        <w:t>Métadier</w:t>
      </w:r>
      <w:proofErr w:type="spellEnd"/>
      <w:r w:rsidRPr="00606E05">
        <w:rPr>
          <w:rFonts w:ascii="Arial Narrow" w:hAnsi="Arial Narrow" w:cs="Arial"/>
          <w:sz w:val="22"/>
          <w:szCs w:val="22"/>
          <w:lang w:val="en-US"/>
        </w:rPr>
        <w:t xml:space="preserve"> &amp; Bertrand-Krajewski, 2012; </w:t>
      </w:r>
      <w:proofErr w:type="spellStart"/>
      <w:r w:rsidRPr="00606E05">
        <w:rPr>
          <w:rFonts w:ascii="Arial Narrow" w:hAnsi="Arial Narrow" w:cs="Arial"/>
          <w:sz w:val="22"/>
          <w:szCs w:val="22"/>
          <w:lang w:val="en-US"/>
        </w:rPr>
        <w:t>Lepot</w:t>
      </w:r>
      <w:proofErr w:type="spellEnd"/>
      <w:r w:rsidRPr="00606E05">
        <w:rPr>
          <w:rFonts w:ascii="Arial Narrow" w:hAnsi="Arial Narrow" w:cs="Arial"/>
          <w:sz w:val="22"/>
          <w:szCs w:val="22"/>
          <w:lang w:val="en-US"/>
        </w:rPr>
        <w:t xml:space="preserve"> et al., 2016). Developing AI-assisted but controlled tools for these tasks (e.g., anomaly detection, consolidation, proxy learning) can greatly improve efficiency, traceability, and reliability</w:t>
      </w:r>
      <w:r w:rsidR="00CD61F2" w:rsidRPr="00606E05">
        <w:rPr>
          <w:rFonts w:ascii="Arial Narrow" w:hAnsi="Arial Narrow" w:cs="Arial"/>
          <w:sz w:val="22"/>
          <w:szCs w:val="22"/>
          <w:lang w:val="en-US"/>
        </w:rPr>
        <w:t xml:space="preserve"> of data</w:t>
      </w:r>
      <w:r w:rsidRPr="00606E05">
        <w:rPr>
          <w:rFonts w:ascii="Arial Narrow" w:hAnsi="Arial Narrow" w:cs="Arial"/>
          <w:sz w:val="22"/>
          <w:szCs w:val="22"/>
          <w:lang w:val="en-US"/>
        </w:rPr>
        <w:t xml:space="preserve">. This builds upon previous work on data-driven modeling and surrogate relationships in urban </w:t>
      </w:r>
      <w:proofErr w:type="spellStart"/>
      <w:r w:rsidRPr="00606E05">
        <w:rPr>
          <w:rFonts w:ascii="Arial Narrow" w:hAnsi="Arial Narrow" w:cs="Arial"/>
          <w:sz w:val="22"/>
          <w:szCs w:val="22"/>
          <w:lang w:val="en-US"/>
        </w:rPr>
        <w:t>hydrosystems</w:t>
      </w:r>
      <w:proofErr w:type="spellEnd"/>
      <w:r w:rsidRPr="00606E05">
        <w:rPr>
          <w:rFonts w:ascii="Arial Narrow" w:hAnsi="Arial Narrow" w:cs="Arial"/>
          <w:sz w:val="22"/>
          <w:szCs w:val="22"/>
          <w:lang w:val="en-US"/>
        </w:rPr>
        <w:t xml:space="preserve"> (Sandoval et al., 2013</w:t>
      </w:r>
      <w:r w:rsidR="00C15BDF" w:rsidRPr="00606E05">
        <w:rPr>
          <w:rFonts w:ascii="Arial Narrow" w:hAnsi="Arial Narrow" w:cs="Arial"/>
          <w:sz w:val="22"/>
          <w:szCs w:val="22"/>
          <w:lang w:val="en-US"/>
        </w:rPr>
        <w:t>*</w:t>
      </w:r>
      <w:r w:rsidR="00965AD4" w:rsidRPr="00606E05">
        <w:rPr>
          <w:rFonts w:ascii="Arial Narrow" w:hAnsi="Arial Narrow" w:cs="Arial"/>
          <w:sz w:val="22"/>
          <w:szCs w:val="22"/>
          <w:lang w:val="en-US"/>
        </w:rPr>
        <w:t xml:space="preserve">; </w:t>
      </w:r>
      <w:r w:rsidRPr="00606E05">
        <w:rPr>
          <w:rFonts w:ascii="Arial Narrow" w:hAnsi="Arial Narrow" w:cs="Arial"/>
          <w:sz w:val="22"/>
          <w:szCs w:val="22"/>
          <w:lang w:val="en-US"/>
        </w:rPr>
        <w:t>Peña-Heredia et al., 2021</w:t>
      </w:r>
      <w:r w:rsidR="00D4108E" w:rsidRPr="00606E05">
        <w:rPr>
          <w:rFonts w:ascii="Arial Narrow" w:hAnsi="Arial Narrow" w:cs="Arial"/>
          <w:sz w:val="22"/>
          <w:szCs w:val="22"/>
          <w:lang w:val="en-US"/>
        </w:rPr>
        <w:t>*</w:t>
      </w:r>
      <w:r w:rsidRPr="00606E05">
        <w:rPr>
          <w:rFonts w:ascii="Arial Narrow" w:hAnsi="Arial Narrow" w:cs="Arial"/>
          <w:sz w:val="22"/>
          <w:szCs w:val="22"/>
          <w:lang w:val="en-US"/>
        </w:rPr>
        <w:t xml:space="preserve">) and aligns with recent developments in digitalization and smart water management (Liu et al., 2021; </w:t>
      </w:r>
      <w:proofErr w:type="spellStart"/>
      <w:r w:rsidRPr="00606E05">
        <w:rPr>
          <w:rFonts w:ascii="Arial Narrow" w:hAnsi="Arial Narrow" w:cs="Arial"/>
          <w:sz w:val="22"/>
          <w:szCs w:val="22"/>
          <w:lang w:val="en-US"/>
        </w:rPr>
        <w:t>Oberascher</w:t>
      </w:r>
      <w:proofErr w:type="spellEnd"/>
      <w:r w:rsidRPr="00606E05">
        <w:rPr>
          <w:rFonts w:ascii="Arial Narrow" w:hAnsi="Arial Narrow" w:cs="Arial"/>
          <w:sz w:val="22"/>
          <w:szCs w:val="22"/>
          <w:lang w:val="en-US"/>
        </w:rPr>
        <w:t xml:space="preserve"> et al., 2022).</w:t>
      </w:r>
    </w:p>
    <w:p w14:paraId="109FAED3" w14:textId="77777777" w:rsidR="004D66B6" w:rsidRPr="00606E05" w:rsidRDefault="004D66B6"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The ambition is to produce, beyond publications, operational scientific assets: simplified but well-founded models, robust data pipelines, and digital tools </w:t>
      </w:r>
      <w:proofErr w:type="gramStart"/>
      <w:r w:rsidRPr="00606E05">
        <w:rPr>
          <w:rFonts w:ascii="Arial Narrow" w:hAnsi="Arial Narrow" w:cs="Arial"/>
          <w:sz w:val="22"/>
          <w:szCs w:val="22"/>
          <w:lang w:val="en-US"/>
        </w:rPr>
        <w:t>actually adopted</w:t>
      </w:r>
      <w:proofErr w:type="gramEnd"/>
      <w:r w:rsidRPr="00606E05">
        <w:rPr>
          <w:rFonts w:ascii="Arial Narrow" w:hAnsi="Arial Narrow" w:cs="Arial"/>
          <w:sz w:val="22"/>
          <w:szCs w:val="22"/>
          <w:lang w:val="en-US"/>
        </w:rPr>
        <w:t xml:space="preserve"> in practice.</w:t>
      </w:r>
    </w:p>
    <w:p w14:paraId="75BCFCAC" w14:textId="77777777" w:rsidR="00C13DD5" w:rsidRPr="00606E05" w:rsidRDefault="00C13DD5"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Axis 3 — Planning, Optimization and Decision Support for Integrated Water Resources Management</w:t>
      </w:r>
    </w:p>
    <w:p w14:paraId="408C2179" w14:textId="5671AE1D" w:rsidR="0013055A" w:rsidRPr="00606E05" w:rsidRDefault="0013055A"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While improved process understanding (Axis 1) and the development of operational, uncertainty-aware modeling tools (Axis 2) are necessary, they acquire their full meaning only when confronted with the realities of planning and decision-making. Water resources management is not primarily about identifying technically “optimal” solutions</w:t>
      </w:r>
      <w:r w:rsidR="00451748" w:rsidRPr="00606E05">
        <w:rPr>
          <w:rFonts w:ascii="Arial Narrow" w:hAnsi="Arial Narrow" w:cs="Arial"/>
          <w:sz w:val="22"/>
          <w:szCs w:val="22"/>
          <w:lang w:val="en-US"/>
        </w:rPr>
        <w:t>, but about</w:t>
      </w:r>
      <w:r w:rsidRPr="00606E05">
        <w:rPr>
          <w:rFonts w:ascii="Arial Narrow" w:hAnsi="Arial Narrow" w:cs="Arial"/>
          <w:sz w:val="22"/>
          <w:szCs w:val="22"/>
          <w:lang w:val="en-US"/>
        </w:rPr>
        <w:t xml:space="preserve"> comparing strategies, negotiating trade-offs, and committing to long-term choices under deep uncertainty, institutional constraints, and conflicting objectives—water supply reliability, flood protection, water quality, ecosystem preservation, economic cost, and social equity (Ma et al., 2015; Wang et al., 2017).</w:t>
      </w:r>
    </w:p>
    <w:p w14:paraId="5AED0156" w14:textId="6C28D690" w:rsidR="0013055A" w:rsidRPr="00606E05" w:rsidRDefault="0013055A"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Axis 3 therefore focuses on how the knowledge produced in Axis 1 and the tools developed in Axis 2 can structure collective choices. It addresses the conditions under which scientific results, models, and scenarios become not only technically sound, but decision-relevant: understandable, debatable, and usable within real planning and governance processes (Lerer et al., 2015).</w:t>
      </w:r>
    </w:p>
    <w:p w14:paraId="7A190FDE" w14:textId="77777777" w:rsidR="00742652" w:rsidRPr="00606E05" w:rsidRDefault="00742652"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The departure point of Axis 3 is that the difficulty of adaptation planning does not end with identifying promising measures. It lies equally in determining when, where, and under which conditions their effects become sufficiently visible and attributable to </w:t>
      </w:r>
      <w:proofErr w:type="gramStart"/>
      <w:r w:rsidRPr="00606E05">
        <w:rPr>
          <w:rFonts w:ascii="Arial Narrow" w:hAnsi="Arial Narrow" w:cs="Arial"/>
          <w:sz w:val="22"/>
          <w:szCs w:val="22"/>
          <w:lang w:val="en-US"/>
        </w:rPr>
        <w:t>inform</w:t>
      </w:r>
      <w:proofErr w:type="gramEnd"/>
      <w:r w:rsidRPr="00606E05">
        <w:rPr>
          <w:rFonts w:ascii="Arial Narrow" w:hAnsi="Arial Narrow" w:cs="Arial"/>
          <w:sz w:val="22"/>
          <w:szCs w:val="22"/>
          <w:lang w:val="en-US"/>
        </w:rPr>
        <w:t xml:space="preserve"> collective decisions. Under strong climatic variability and non-stationarity (Cook et al., 2020; Pons et al., 2022), these effects may remain subtle relative to background variability, complicating their evaluation and interpretation, particularly in distributed and hybrid infrastructure systems (Poor et al., 2021).</w:t>
      </w:r>
    </w:p>
    <w:p w14:paraId="6521A894" w14:textId="17CEF852" w:rsidR="0013055A" w:rsidRPr="00606E05" w:rsidRDefault="0013055A"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Several core questions structure this research:</w:t>
      </w:r>
    </w:p>
    <w:p w14:paraId="574D2EB3" w14:textId="066778E4" w:rsidR="0013055A" w:rsidRPr="00606E05" w:rsidRDefault="0013055A" w:rsidP="00606E05">
      <w:pPr>
        <w:spacing w:line="276" w:lineRule="auto"/>
        <w:rPr>
          <w:rFonts w:ascii="Arial Narrow" w:hAnsi="Arial Narrow" w:cs="Arial"/>
          <w:sz w:val="22"/>
          <w:szCs w:val="22"/>
          <w:lang w:val="en-US"/>
        </w:rPr>
      </w:pPr>
      <w:r w:rsidRPr="00606E05">
        <w:rPr>
          <w:rFonts w:ascii="Arial Narrow" w:hAnsi="Arial Narrow" w:cs="Arial"/>
          <w:sz w:val="22"/>
          <w:szCs w:val="22"/>
          <w:lang w:val="en-US"/>
        </w:rPr>
        <w:t xml:space="preserve">• To what extent are the effects of adaptation measures detectable under strong climatic and socio-hydrological variability? </w:t>
      </w:r>
      <w:r w:rsidRPr="00606E05">
        <w:rPr>
          <w:rFonts w:ascii="Arial Narrow" w:hAnsi="Arial Narrow" w:cs="Arial"/>
          <w:sz w:val="22"/>
          <w:szCs w:val="22"/>
          <w:lang w:val="en-US"/>
        </w:rPr>
        <w:br/>
        <w:t>• Over which temporal horizons do their benefits become visible, and are these horizons compatible with political cycles, regulatory evaluation frameworks, and infrastructure planning processes?</w:t>
      </w:r>
      <w:r w:rsidRPr="00606E05">
        <w:rPr>
          <w:rFonts w:ascii="Arial Narrow" w:hAnsi="Arial Narrow" w:cs="Arial"/>
          <w:sz w:val="22"/>
          <w:szCs w:val="22"/>
          <w:lang w:val="en-US"/>
        </w:rPr>
        <w:br/>
        <w:t xml:space="preserve">• At which spatial scales can these effects be identified and interpreted, rather than diluted through aggregation and uncertainty in broader territorial assessments? </w:t>
      </w:r>
    </w:p>
    <w:p w14:paraId="4705694F" w14:textId="3CD29AEE" w:rsidR="0013055A" w:rsidRPr="00606E05" w:rsidRDefault="0013055A"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Within this perspective, adaptation strategies—such as infrastructure investments, operational rules, demand-management measures, deployment of </w:t>
      </w:r>
      <w:r w:rsidR="00483B69" w:rsidRPr="00606E05">
        <w:rPr>
          <w:rFonts w:ascii="Arial Narrow" w:hAnsi="Arial Narrow" w:cs="Arial"/>
          <w:sz w:val="22"/>
          <w:szCs w:val="22"/>
          <w:lang w:val="en-US"/>
        </w:rPr>
        <w:t>NBS</w:t>
      </w:r>
      <w:r w:rsidRPr="00606E05">
        <w:rPr>
          <w:rFonts w:ascii="Arial Narrow" w:hAnsi="Arial Narrow" w:cs="Arial"/>
          <w:sz w:val="22"/>
          <w:szCs w:val="22"/>
          <w:lang w:val="en-US"/>
        </w:rPr>
        <w:t xml:space="preserve"> and hybrid infrastructures, water reuse schemes, agricultural practices, river and wetland restoration, or groundwater management—are not treated as isolated technical options, but as combinable and evolving building blocks of territorial water policies (Yao et al., 2022; </w:t>
      </w:r>
      <w:proofErr w:type="spellStart"/>
      <w:r w:rsidRPr="00606E05">
        <w:rPr>
          <w:rFonts w:ascii="Arial Narrow" w:hAnsi="Arial Narrow" w:cs="Arial"/>
          <w:sz w:val="22"/>
          <w:szCs w:val="22"/>
          <w:lang w:val="en-US"/>
        </w:rPr>
        <w:t>Taheriyoun</w:t>
      </w:r>
      <w:proofErr w:type="spellEnd"/>
      <w:r w:rsidRPr="00606E05">
        <w:rPr>
          <w:rFonts w:ascii="Arial Narrow" w:hAnsi="Arial Narrow" w:cs="Arial"/>
          <w:sz w:val="22"/>
          <w:szCs w:val="22"/>
          <w:lang w:val="en-US"/>
        </w:rPr>
        <w:t xml:space="preserve"> et al., 2023).</w:t>
      </w:r>
    </w:p>
    <w:p w14:paraId="35A5E533" w14:textId="77777777" w:rsidR="0013055A" w:rsidRPr="00606E05" w:rsidRDefault="0013055A"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A central objective is to develop approaches for designing, exploring, and comparing portfolios of measures spanning urban, agricultural, and natural systems. Their performance is evaluated not only in terms of average outcomes, but also in terms of legibility, reliability, vulnerability, resilience, and robustness across a wide range of plausible futures (Ma et al., 2015; Wang et al., 2017).</w:t>
      </w:r>
    </w:p>
    <w:p w14:paraId="7A31C2E5" w14:textId="72F20C18" w:rsidR="006A39A4" w:rsidRPr="00606E05" w:rsidRDefault="0013055A"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lastRenderedPageBreak/>
        <w:t xml:space="preserve">Rather than seeking a single “optimal” solution, this axis develops methods that make trade-offs, </w:t>
      </w:r>
      <w:proofErr w:type="spellStart"/>
      <w:r w:rsidRPr="00606E05">
        <w:rPr>
          <w:rFonts w:ascii="Arial Narrow" w:hAnsi="Arial Narrow" w:cs="Arial"/>
          <w:sz w:val="22"/>
          <w:szCs w:val="22"/>
          <w:lang w:val="en-US"/>
        </w:rPr>
        <w:t>irreversibilities</w:t>
      </w:r>
      <w:proofErr w:type="spellEnd"/>
      <w:r w:rsidRPr="00606E05">
        <w:rPr>
          <w:rFonts w:ascii="Arial Narrow" w:hAnsi="Arial Narrow" w:cs="Arial"/>
          <w:sz w:val="22"/>
          <w:szCs w:val="22"/>
          <w:lang w:val="en-US"/>
        </w:rPr>
        <w:t xml:space="preserve">, uncertainties, and temporal mismatches explicit. Optimization is treated not as an </w:t>
      </w:r>
      <w:proofErr w:type="gramStart"/>
      <w:r w:rsidRPr="00606E05">
        <w:rPr>
          <w:rFonts w:ascii="Arial Narrow" w:hAnsi="Arial Narrow" w:cs="Arial"/>
          <w:sz w:val="22"/>
          <w:szCs w:val="22"/>
          <w:lang w:val="en-US"/>
        </w:rPr>
        <w:t>end in itself, but</w:t>
      </w:r>
      <w:proofErr w:type="gramEnd"/>
      <w:r w:rsidRPr="00606E05">
        <w:rPr>
          <w:rFonts w:ascii="Arial Narrow" w:hAnsi="Arial Narrow" w:cs="Arial"/>
          <w:sz w:val="22"/>
          <w:szCs w:val="22"/>
          <w:lang w:val="en-US"/>
        </w:rPr>
        <w:t xml:space="preserve"> as a structuring device—one that clarifies tensions between objectives and helps decision-makers reason about sequences of actions, adaptation pathways, and reversible versus irreversible choices (Kuller et al., 2019; Yao et al., 2022).</w:t>
      </w:r>
    </w:p>
    <w:p w14:paraId="1F8A8D3E" w14:textId="6EBBAD47" w:rsidR="00C13DD5" w:rsidRPr="00606E05" w:rsidRDefault="002865BB"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4. TEACHING PROPOSAL</w:t>
      </w:r>
    </w:p>
    <w:p w14:paraId="19F13A43" w14:textId="2A62323E" w:rsidR="00020D95" w:rsidRPr="00606E05" w:rsidRDefault="00020D95"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Teaching is central </w:t>
      </w:r>
      <w:r w:rsidR="00050B57" w:rsidRPr="00606E05">
        <w:rPr>
          <w:rFonts w:ascii="Arial Narrow" w:hAnsi="Arial Narrow" w:cs="Arial"/>
          <w:sz w:val="22"/>
          <w:szCs w:val="22"/>
          <w:lang w:val="en-US"/>
        </w:rPr>
        <w:t xml:space="preserve">to </w:t>
      </w:r>
      <w:r w:rsidRPr="00606E05">
        <w:rPr>
          <w:rFonts w:ascii="Arial Narrow" w:hAnsi="Arial Narrow" w:cs="Arial"/>
          <w:sz w:val="22"/>
          <w:szCs w:val="22"/>
          <w:lang w:val="en-US"/>
        </w:rPr>
        <w:t>my academic project. I view education not merely as knowledge transmission, but as training students to reason and act responsibly within complex socio-environmental systems. In water resources, students must learn to connect theory, data, and decisions, and to understand that models are not neutral truths, but tools whose assumptions and limitations must be explicitly examined and managed.</w:t>
      </w:r>
    </w:p>
    <w:p w14:paraId="5654E492" w14:textId="596A8815" w:rsidR="00020D95" w:rsidRPr="00606E05" w:rsidRDefault="00020D95"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My teaching approach is both problem-based and project-oriented, combining lectures with workshops, numerical implementation, and the analysis of real monitoring datasets. Across Colombia, France, and Switzerland, I have taught</w:t>
      </w:r>
      <w:r w:rsidR="001D64F7" w:rsidRPr="00606E05">
        <w:rPr>
          <w:rFonts w:ascii="Arial Narrow" w:hAnsi="Arial Narrow" w:cs="Arial"/>
          <w:sz w:val="22"/>
          <w:szCs w:val="22"/>
          <w:lang w:val="en-US"/>
        </w:rPr>
        <w:t xml:space="preserve"> water resources engineering,</w:t>
      </w:r>
      <w:r w:rsidRPr="00606E05">
        <w:rPr>
          <w:rFonts w:ascii="Arial Narrow" w:hAnsi="Arial Narrow" w:cs="Arial"/>
          <w:sz w:val="22"/>
          <w:szCs w:val="22"/>
          <w:lang w:val="en-US"/>
        </w:rPr>
        <w:t xml:space="preserve"> hydraulics, hydrology, environmental modeling, applied statistics, and data analysis, and supervised projects that explicitly link observation, modeling, and decision-making. I promote structured peer learning and mentorship across bachelor’s, master’s, and doctoral levels, fostering academic continuity, collective learning, and leadership development.</w:t>
      </w:r>
    </w:p>
    <w:p w14:paraId="11D192C7" w14:textId="24B8610A" w:rsidR="00020D95" w:rsidRPr="00606E05" w:rsidRDefault="00020D95"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At the undergraduate level, I </w:t>
      </w:r>
      <w:r w:rsidR="00E055B9" w:rsidRPr="00606E05">
        <w:rPr>
          <w:rFonts w:ascii="Arial Narrow" w:hAnsi="Arial Narrow" w:cs="Arial"/>
          <w:sz w:val="22"/>
          <w:szCs w:val="22"/>
          <w:lang w:val="en-US"/>
        </w:rPr>
        <w:t xml:space="preserve">have taught </w:t>
      </w:r>
      <w:r w:rsidRPr="00606E05">
        <w:rPr>
          <w:rFonts w:ascii="Arial Narrow" w:hAnsi="Arial Narrow" w:cs="Arial"/>
          <w:sz w:val="22"/>
          <w:szCs w:val="22"/>
          <w:lang w:val="en-US"/>
        </w:rPr>
        <w:t>courses such as Fluid Mechanics, Applied Hydraulics, Hydrology/Water Resources</w:t>
      </w:r>
      <w:r w:rsidR="00E055B9" w:rsidRPr="00606E05">
        <w:rPr>
          <w:rFonts w:ascii="Arial Narrow" w:hAnsi="Arial Narrow" w:cs="Arial"/>
          <w:sz w:val="22"/>
          <w:szCs w:val="22"/>
          <w:lang w:val="en-US"/>
        </w:rPr>
        <w:t xml:space="preserve"> Management</w:t>
      </w:r>
      <w:r w:rsidRPr="00606E05">
        <w:rPr>
          <w:rFonts w:ascii="Arial Narrow" w:hAnsi="Arial Narrow" w:cs="Arial"/>
          <w:sz w:val="22"/>
          <w:szCs w:val="22"/>
          <w:lang w:val="en-US"/>
        </w:rPr>
        <w:t xml:space="preserve">, Numerical Methods, Programming, and Applied Probability and Statistics. In these courses, I </w:t>
      </w:r>
      <w:r w:rsidR="00E055B9" w:rsidRPr="00606E05">
        <w:rPr>
          <w:rFonts w:ascii="Arial Narrow" w:hAnsi="Arial Narrow" w:cs="Arial"/>
          <w:sz w:val="22"/>
          <w:szCs w:val="22"/>
          <w:lang w:val="en-US"/>
        </w:rPr>
        <w:t>have emphasized</w:t>
      </w:r>
      <w:r w:rsidRPr="00606E05">
        <w:rPr>
          <w:rFonts w:ascii="Arial Narrow" w:hAnsi="Arial Narrow" w:cs="Arial"/>
          <w:sz w:val="22"/>
          <w:szCs w:val="22"/>
          <w:lang w:val="en-US"/>
        </w:rPr>
        <w:t xml:space="preserve"> reproducibility, clarity of reasoning, transparent reporting, and responsible use of AI tools.</w:t>
      </w:r>
    </w:p>
    <w:p w14:paraId="2FF898B0" w14:textId="1A938656" w:rsidR="00020D95" w:rsidRPr="00606E05" w:rsidRDefault="00020D95"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At the graduate level, I </w:t>
      </w:r>
      <w:r w:rsidR="00E055B9" w:rsidRPr="00606E05">
        <w:rPr>
          <w:rFonts w:ascii="Arial Narrow" w:hAnsi="Arial Narrow" w:cs="Arial"/>
          <w:sz w:val="22"/>
          <w:szCs w:val="22"/>
          <w:lang w:val="en-US"/>
        </w:rPr>
        <w:t xml:space="preserve">have </w:t>
      </w:r>
      <w:r w:rsidRPr="00606E05">
        <w:rPr>
          <w:rFonts w:ascii="Arial Narrow" w:hAnsi="Arial Narrow" w:cs="Arial"/>
          <w:sz w:val="22"/>
          <w:szCs w:val="22"/>
          <w:lang w:val="en-US"/>
        </w:rPr>
        <w:t>develop</w:t>
      </w:r>
      <w:r w:rsidR="00E055B9" w:rsidRPr="00606E05">
        <w:rPr>
          <w:rFonts w:ascii="Arial Narrow" w:hAnsi="Arial Narrow" w:cs="Arial"/>
          <w:sz w:val="22"/>
          <w:szCs w:val="22"/>
          <w:lang w:val="en-US"/>
        </w:rPr>
        <w:t>ed</w:t>
      </w:r>
      <w:r w:rsidRPr="00606E05">
        <w:rPr>
          <w:rFonts w:ascii="Arial Narrow" w:hAnsi="Arial Narrow" w:cs="Arial"/>
          <w:sz w:val="22"/>
          <w:szCs w:val="22"/>
          <w:lang w:val="en-US"/>
        </w:rPr>
        <w:t xml:space="preserve"> advanced modules aligned with my research expertise, including Stochastic Hydrology and Risk, Optimization and Decision-Making under Uncertainty, Inverse Methods in Hydrology, AI-based Hybrid Modeling, and Integrated Water Resources Management with explicit treatment of uncertainty.</w:t>
      </w:r>
    </w:p>
    <w:p w14:paraId="0F068634" w14:textId="73739381" w:rsidR="00B838B6" w:rsidRPr="00606E05" w:rsidRDefault="00D51680"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Finally, I </w:t>
      </w:r>
      <w:r w:rsidR="009F725C" w:rsidRPr="00606E05">
        <w:rPr>
          <w:rFonts w:ascii="Arial Narrow" w:hAnsi="Arial Narrow" w:cs="Arial"/>
          <w:sz w:val="22"/>
          <w:szCs w:val="22"/>
          <w:lang w:val="en-US"/>
        </w:rPr>
        <w:t xml:space="preserve">plan to </w:t>
      </w:r>
      <w:r w:rsidRPr="00606E05">
        <w:rPr>
          <w:rFonts w:ascii="Arial Narrow" w:hAnsi="Arial Narrow" w:cs="Arial"/>
          <w:sz w:val="22"/>
          <w:szCs w:val="22"/>
          <w:lang w:val="en-US"/>
        </w:rPr>
        <w:t>implement “living laboratory” initiatives with SIGREH/SIHU, based on campus-scale monitoring and fieldwork</w:t>
      </w:r>
      <w:r w:rsidR="00020D95" w:rsidRPr="00606E05">
        <w:rPr>
          <w:rFonts w:ascii="Arial Narrow" w:hAnsi="Arial Narrow" w:cs="Arial"/>
          <w:sz w:val="22"/>
          <w:szCs w:val="22"/>
          <w:lang w:val="en-US"/>
        </w:rPr>
        <w:t>. These activities connect teaching and research while strengthening students’ professional judgment in monitoring design, data validation, model interpretation, and scientific communication.</w:t>
      </w:r>
    </w:p>
    <w:p w14:paraId="11C9D548" w14:textId="51665D08" w:rsidR="00B838B6" w:rsidRPr="00606E05" w:rsidRDefault="002865BB"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5. EXTENSION AND TERRITORIAL ENGAGEMENT</w:t>
      </w:r>
    </w:p>
    <w:p w14:paraId="1FB2D02C" w14:textId="77777777" w:rsidR="00576D38" w:rsidRPr="00606E05" w:rsidRDefault="00576D38"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My approach to extension is conceived as a continuous interaction loop between territories, research, and teaching, in which real water-management challenges structure scientific inquiry, student training, and dialogue with institutions and communities.</w:t>
      </w:r>
    </w:p>
    <w:p w14:paraId="29E8ECD8" w14:textId="4053D2CD" w:rsidR="00576D38" w:rsidRPr="00606E05" w:rsidRDefault="00576D38"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A first line of action consists of structured problem-identification and diagnostic phases conducted jointly with local and regional actors—public agencies, municipalities, basin authorities, utilities, and, when relevant, community representatives. Through workshops and technical meetings, the objective is to identify key societal challenges and operational bottlenecks, integrate field knowledge and institutional constraints, and co-define questions that are both scientifically </w:t>
      </w:r>
      <w:r w:rsidR="006A6F82" w:rsidRPr="00606E05">
        <w:rPr>
          <w:rFonts w:ascii="Arial Narrow" w:hAnsi="Arial Narrow" w:cs="Arial"/>
          <w:sz w:val="22"/>
          <w:szCs w:val="22"/>
          <w:lang w:val="en-US"/>
        </w:rPr>
        <w:t>pertinent</w:t>
      </w:r>
      <w:r w:rsidRPr="00606E05">
        <w:rPr>
          <w:rFonts w:ascii="Arial Narrow" w:hAnsi="Arial Narrow" w:cs="Arial"/>
          <w:sz w:val="22"/>
          <w:szCs w:val="22"/>
          <w:lang w:val="en-US"/>
        </w:rPr>
        <w:t xml:space="preserve"> and operationally relevant.</w:t>
      </w:r>
    </w:p>
    <w:p w14:paraId="67D2F189" w14:textId="77777777" w:rsidR="00576D38" w:rsidRPr="00606E05" w:rsidRDefault="00576D38"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A second line of action integrates these questions directly into teaching and research activities, particularly through master’s theses, doctoral projects, internships, and project-based courses. Students and researchers work with real datasets, real sites, and real institutional constraints. This approach strengthens the link between training, scientific production, and territorial needs, while providing students with high-level, professionally grounded experience.</w:t>
      </w:r>
    </w:p>
    <w:p w14:paraId="2288F129" w14:textId="7E7C33E4" w:rsidR="00576D38" w:rsidRPr="00606E05" w:rsidRDefault="00576D38"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A third line of action ensures the systematic return and discussion of results with practitioners, institutions, and the wider public. This includes technical workshops, short courses, reports, and shared presentations of scenarios and trade-offs. </w:t>
      </w:r>
    </w:p>
    <w:p w14:paraId="24FC58D4" w14:textId="13E57D92" w:rsidR="00CD0C34" w:rsidRPr="00606E05" w:rsidRDefault="00576D38"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lastRenderedPageBreak/>
        <w:t>In this perspective, extension is not treated as an auxiliary activity, but as a structuring component of my academic project—</w:t>
      </w:r>
      <w:r w:rsidR="00497AE5" w:rsidRPr="00606E05">
        <w:rPr>
          <w:rFonts w:ascii="Arial Narrow" w:hAnsi="Arial Narrow" w:cs="Arial"/>
          <w:sz w:val="22"/>
          <w:szCs w:val="22"/>
          <w:lang w:val="en-US"/>
        </w:rPr>
        <w:t xml:space="preserve">keeping </w:t>
      </w:r>
      <w:r w:rsidRPr="00606E05">
        <w:rPr>
          <w:rFonts w:ascii="Arial Narrow" w:hAnsi="Arial Narrow" w:cs="Arial"/>
          <w:sz w:val="22"/>
          <w:szCs w:val="22"/>
          <w:lang w:val="en-US"/>
        </w:rPr>
        <w:t xml:space="preserve">research anchored in real challenges and </w:t>
      </w:r>
      <w:r w:rsidR="00DF6F27" w:rsidRPr="00606E05">
        <w:rPr>
          <w:rFonts w:ascii="Arial Narrow" w:hAnsi="Arial Narrow" w:cs="Arial"/>
          <w:sz w:val="22"/>
          <w:szCs w:val="22"/>
          <w:lang w:val="en-US"/>
        </w:rPr>
        <w:t xml:space="preserve">ensuring </w:t>
      </w:r>
      <w:r w:rsidRPr="00606E05">
        <w:rPr>
          <w:rFonts w:ascii="Arial Narrow" w:hAnsi="Arial Narrow" w:cs="Arial"/>
          <w:sz w:val="22"/>
          <w:szCs w:val="22"/>
          <w:lang w:val="en-US"/>
        </w:rPr>
        <w:t>that teaching contributes directly to institutional capacity-building.</w:t>
      </w:r>
    </w:p>
    <w:p w14:paraId="17E86B5F" w14:textId="0717DF82" w:rsidR="00C13DD5" w:rsidRPr="00606E05" w:rsidRDefault="002865BB" w:rsidP="00606E05">
      <w:pPr>
        <w:spacing w:line="276" w:lineRule="auto"/>
        <w:jc w:val="both"/>
        <w:rPr>
          <w:rFonts w:ascii="Arial Narrow" w:hAnsi="Arial Narrow" w:cs="Arial"/>
          <w:b/>
          <w:bCs/>
          <w:sz w:val="22"/>
          <w:szCs w:val="22"/>
          <w:lang w:val="en-US"/>
        </w:rPr>
      </w:pPr>
      <w:r w:rsidRPr="00606E05">
        <w:rPr>
          <w:rFonts w:ascii="Arial Narrow" w:hAnsi="Arial Narrow" w:cs="Arial"/>
          <w:b/>
          <w:bCs/>
          <w:sz w:val="22"/>
          <w:szCs w:val="22"/>
          <w:lang w:val="en-US"/>
        </w:rPr>
        <w:t>6. INTEGRATION, PROJECT MANAGEMENT, AND RESOURCE MOBILIZATION</w:t>
      </w:r>
    </w:p>
    <w:p w14:paraId="082BDDAF" w14:textId="4A0A6D90" w:rsidR="00CD0C34" w:rsidRPr="00606E05" w:rsidRDefault="00CD0C34"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My integration into Universidad Nacional is conceived as the development of a coherent, long-term research and training program structured around the three axes described above. The objective is to strengthen the university’s positioning in uncertainty-aware analysis, modeling, and planning of water resources across systems and scales, with climate change and adaptation as structuring drivers, in synergy with colleagues working on natural catchments and complementary components of the water cycle.</w:t>
      </w:r>
    </w:p>
    <w:p w14:paraId="15E433E1" w14:textId="5E09B0C6" w:rsidR="00CD0C34" w:rsidRPr="00606E05" w:rsidRDefault="00CD0C34"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This strategy builds on my experience in designing, coordinating, and scientifically leading projects funded by national and international programs. As PI or co-PI, I have contributed to more than </w:t>
      </w:r>
      <w:r w:rsidR="00D96C2C" w:rsidRPr="00606E05">
        <w:rPr>
          <w:rFonts w:ascii="Arial Narrow" w:hAnsi="Arial Narrow" w:cs="Arial"/>
          <w:sz w:val="22"/>
          <w:szCs w:val="22"/>
          <w:lang w:val="en-US"/>
        </w:rPr>
        <w:t>3</w:t>
      </w:r>
      <w:r w:rsidRPr="00606E05">
        <w:rPr>
          <w:rFonts w:ascii="Arial Narrow" w:hAnsi="Arial Narrow" w:cs="Arial"/>
          <w:sz w:val="22"/>
          <w:szCs w:val="22"/>
          <w:lang w:val="en-US"/>
        </w:rPr>
        <w:t xml:space="preserve">00 k€ in competitive and applied research funding and played a central scientific role in large collaborative programs (e.g., </w:t>
      </w:r>
      <w:proofErr w:type="spellStart"/>
      <w:r w:rsidRPr="00606E05">
        <w:rPr>
          <w:rFonts w:ascii="Arial Narrow" w:hAnsi="Arial Narrow" w:cs="Arial"/>
          <w:sz w:val="22"/>
          <w:szCs w:val="22"/>
          <w:lang w:val="en-US"/>
        </w:rPr>
        <w:t>GreenStorm</w:t>
      </w:r>
      <w:proofErr w:type="spellEnd"/>
      <w:r w:rsidRPr="00606E05">
        <w:rPr>
          <w:rFonts w:ascii="Arial Narrow" w:hAnsi="Arial Narrow" w:cs="Arial"/>
          <w:sz w:val="22"/>
          <w:szCs w:val="22"/>
          <w:lang w:val="en-US"/>
        </w:rPr>
        <w:t>, 2 M€). I have also coordinated projects in Colombia and Switzerland (TTV, 170 k€), demonstrating my capacity to structure consortia from initial scientific concepts to funded projects and recognized outputs.</w:t>
      </w:r>
    </w:p>
    <w:p w14:paraId="22A07AEB" w14:textId="041D0465" w:rsidR="00B70BCC" w:rsidRPr="00606E05" w:rsidRDefault="00B70BCC"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 xml:space="preserve">Within Universidad Nacional, my </w:t>
      </w:r>
      <w:proofErr w:type="gramStart"/>
      <w:r w:rsidRPr="00606E05">
        <w:rPr>
          <w:rFonts w:ascii="Arial Narrow" w:hAnsi="Arial Narrow" w:cs="Arial"/>
          <w:sz w:val="22"/>
          <w:szCs w:val="22"/>
          <w:lang w:val="en-US"/>
        </w:rPr>
        <w:t>first priority</w:t>
      </w:r>
      <w:proofErr w:type="gramEnd"/>
      <w:r w:rsidRPr="00606E05">
        <w:rPr>
          <w:rFonts w:ascii="Arial Narrow" w:hAnsi="Arial Narrow" w:cs="Arial"/>
          <w:sz w:val="22"/>
          <w:szCs w:val="22"/>
          <w:lang w:val="en-US"/>
        </w:rPr>
        <w:t xml:space="preserve"> </w:t>
      </w:r>
      <w:r w:rsidR="00344478" w:rsidRPr="00606E05">
        <w:rPr>
          <w:rFonts w:ascii="Arial Narrow" w:hAnsi="Arial Narrow" w:cs="Arial"/>
          <w:sz w:val="22"/>
          <w:szCs w:val="22"/>
          <w:lang w:val="en-US"/>
        </w:rPr>
        <w:t>is</w:t>
      </w:r>
      <w:r w:rsidRPr="00606E05">
        <w:rPr>
          <w:rFonts w:ascii="Arial Narrow" w:hAnsi="Arial Narrow" w:cs="Arial"/>
          <w:sz w:val="22"/>
          <w:szCs w:val="22"/>
          <w:lang w:val="en-US"/>
        </w:rPr>
        <w:t xml:space="preserve"> to integrate into GIREH (hydrometeorology and water-resources planning/management) and to activate SIGREH/SIHU as campus-scale living laboratories for </w:t>
      </w:r>
      <w:r w:rsidR="00263D03" w:rsidRPr="00606E05">
        <w:rPr>
          <w:rFonts w:ascii="Arial Narrow" w:hAnsi="Arial Narrow" w:cs="Arial"/>
          <w:sz w:val="22"/>
          <w:szCs w:val="22"/>
          <w:lang w:val="en-US"/>
        </w:rPr>
        <w:t>Nature-Based Solutions</w:t>
      </w:r>
      <w:r w:rsidRPr="00606E05">
        <w:rPr>
          <w:rFonts w:ascii="Arial Narrow" w:hAnsi="Arial Narrow" w:cs="Arial"/>
          <w:sz w:val="22"/>
          <w:szCs w:val="22"/>
          <w:lang w:val="en-US"/>
        </w:rPr>
        <w:t>, CFD/urban hydraulics, rainwater harvesting, and water-quality monitoring. Collaborations with HYDS, based on my experience with hydrodynamics in porous media, will strengthen the infiltration–subsurface component in urban soils.</w:t>
      </w:r>
    </w:p>
    <w:p w14:paraId="1241F923" w14:textId="77777777" w:rsidR="00E02F9C" w:rsidRDefault="00E02F9C" w:rsidP="00606E05">
      <w:pPr>
        <w:spacing w:line="276" w:lineRule="auto"/>
        <w:jc w:val="both"/>
        <w:rPr>
          <w:rFonts w:ascii="Arial Narrow" w:hAnsi="Arial Narrow" w:cs="Arial"/>
          <w:sz w:val="22"/>
          <w:szCs w:val="22"/>
          <w:lang w:val="en-US"/>
        </w:rPr>
      </w:pPr>
      <w:r w:rsidRPr="00E02F9C">
        <w:rPr>
          <w:rFonts w:ascii="Arial Narrow" w:hAnsi="Arial Narrow" w:cs="Arial"/>
          <w:sz w:val="22"/>
          <w:szCs w:val="22"/>
          <w:lang w:val="en-US"/>
        </w:rPr>
        <w:t xml:space="preserve">At the national level, my agenda connects to key actors—IDEAM, CARs, ministries, and utilities—as well as leading universities (e.g., PUJ and </w:t>
      </w:r>
      <w:proofErr w:type="spellStart"/>
      <w:r w:rsidRPr="00E02F9C">
        <w:rPr>
          <w:rFonts w:ascii="Arial Narrow" w:hAnsi="Arial Narrow" w:cs="Arial"/>
          <w:sz w:val="22"/>
          <w:szCs w:val="22"/>
          <w:lang w:val="en-US"/>
        </w:rPr>
        <w:t>Uniandes</w:t>
      </w:r>
      <w:proofErr w:type="spellEnd"/>
      <w:r w:rsidRPr="00E02F9C">
        <w:rPr>
          <w:rFonts w:ascii="Arial Narrow" w:hAnsi="Arial Narrow" w:cs="Arial"/>
          <w:sz w:val="22"/>
          <w:szCs w:val="22"/>
          <w:lang w:val="en-US"/>
        </w:rPr>
        <w:t xml:space="preserve">), leveraging LEH partnerships (e.g., CORMAGDALENA, SGC, ECOPETROL) to mobilize </w:t>
      </w:r>
      <w:proofErr w:type="spellStart"/>
      <w:r w:rsidRPr="00E02F9C">
        <w:rPr>
          <w:rFonts w:ascii="Arial Narrow" w:hAnsi="Arial Narrow" w:cs="Arial"/>
          <w:sz w:val="22"/>
          <w:szCs w:val="22"/>
          <w:lang w:val="en-US"/>
        </w:rPr>
        <w:t>Minciencias</w:t>
      </w:r>
      <w:proofErr w:type="spellEnd"/>
      <w:r w:rsidRPr="00E02F9C">
        <w:rPr>
          <w:rFonts w:ascii="Arial Narrow" w:hAnsi="Arial Narrow" w:cs="Arial"/>
          <w:sz w:val="22"/>
          <w:szCs w:val="22"/>
          <w:lang w:val="en-US"/>
        </w:rPr>
        <w:t xml:space="preserve"> and other national instruments and anchor research in real datasets, operational constraints, and planning cycles aligned with national priorities.</w:t>
      </w:r>
    </w:p>
    <w:p w14:paraId="56EE5BF9" w14:textId="6DCDFBCE" w:rsidR="00CD0C34" w:rsidRPr="00606E05" w:rsidRDefault="00CD0C34" w:rsidP="00606E05">
      <w:pPr>
        <w:spacing w:line="276" w:lineRule="auto"/>
        <w:jc w:val="both"/>
        <w:rPr>
          <w:rFonts w:ascii="Arial Narrow" w:hAnsi="Arial Narrow" w:cs="Arial"/>
          <w:sz w:val="22"/>
          <w:szCs w:val="22"/>
          <w:lang w:val="en-US"/>
        </w:rPr>
      </w:pPr>
      <w:r w:rsidRPr="00606E05">
        <w:rPr>
          <w:rFonts w:ascii="Arial Narrow" w:hAnsi="Arial Narrow" w:cs="Arial"/>
          <w:sz w:val="22"/>
          <w:szCs w:val="22"/>
          <w:lang w:val="en-US"/>
        </w:rPr>
        <w:t>At the international level, I will build upon established collaborations with research groups in France, Switzerland, Denmark, and Sweden (INSA Lyon, ENPC, HEIA-FR, DTU</w:t>
      </w:r>
      <w:r w:rsidR="0034587C" w:rsidRPr="00606E05">
        <w:rPr>
          <w:rFonts w:ascii="Arial Narrow" w:hAnsi="Arial Narrow" w:cs="Arial"/>
          <w:sz w:val="22"/>
          <w:szCs w:val="22"/>
          <w:lang w:val="en-US"/>
        </w:rPr>
        <w:t xml:space="preserve">, </w:t>
      </w:r>
      <w:r w:rsidR="0034587C" w:rsidRPr="00606E05">
        <w:rPr>
          <w:rFonts w:ascii="Arial Narrow" w:hAnsi="Arial Narrow"/>
          <w:sz w:val="22"/>
          <w:szCs w:val="22"/>
          <w:lang w:val="en-US"/>
        </w:rPr>
        <w:t>LTU</w:t>
      </w:r>
      <w:r w:rsidRPr="00606E05">
        <w:rPr>
          <w:rFonts w:ascii="Arial Narrow" w:hAnsi="Arial Narrow" w:cs="Arial"/>
          <w:sz w:val="22"/>
          <w:szCs w:val="22"/>
          <w:lang w:val="en-US"/>
        </w:rPr>
        <w:t>) to develop bilateral and multilateral projects, joint doctoral supervision, and research exchanges through European and international funding schemes.</w:t>
      </w:r>
    </w:p>
    <w:p w14:paraId="114B449D" w14:textId="51113178" w:rsidR="00CD0C34" w:rsidRPr="00606E05" w:rsidRDefault="00FA6A62" w:rsidP="00606E05">
      <w:pPr>
        <w:spacing w:line="276" w:lineRule="auto"/>
        <w:jc w:val="both"/>
        <w:rPr>
          <w:rFonts w:ascii="Arial Narrow" w:hAnsi="Arial Narrow" w:cs="Arial"/>
          <w:sz w:val="22"/>
          <w:szCs w:val="22"/>
          <w:lang w:val="en-US"/>
        </w:rPr>
      </w:pPr>
      <w:r>
        <w:rPr>
          <w:rFonts w:ascii="Arial Narrow" w:hAnsi="Arial Narrow" w:cs="Arial"/>
          <w:sz w:val="22"/>
          <w:szCs w:val="22"/>
          <w:lang w:val="en-US"/>
        </w:rPr>
        <w:t>T</w:t>
      </w:r>
      <w:r w:rsidR="00CD0C34" w:rsidRPr="00606E05">
        <w:rPr>
          <w:rFonts w:ascii="Arial Narrow" w:hAnsi="Arial Narrow" w:cs="Arial"/>
          <w:sz w:val="22"/>
          <w:szCs w:val="22"/>
          <w:lang w:val="en-US"/>
        </w:rPr>
        <w:t>he three research axes provide a durable and coherent framework: shared study sites and datasets (Axis 1), methodological and digital platforms (Axis 2), and decision-support and planning frameworks (Axis 3). Together, they support sustained research activity and strong integration within master’s and doctoral programs.</w:t>
      </w:r>
    </w:p>
    <w:p w14:paraId="27D626B6" w14:textId="26A54878" w:rsidR="00D51680" w:rsidRPr="001776A3" w:rsidRDefault="001776A3" w:rsidP="00606E05">
      <w:pPr>
        <w:spacing w:line="276" w:lineRule="auto"/>
        <w:jc w:val="both"/>
        <w:rPr>
          <w:rFonts w:ascii="Arial Narrow" w:hAnsi="Arial Narrow" w:cs="Arial"/>
          <w:sz w:val="22"/>
          <w:szCs w:val="22"/>
          <w:lang w:val="en-US"/>
        </w:rPr>
      </w:pPr>
      <w:r w:rsidRPr="001776A3">
        <w:rPr>
          <w:rFonts w:ascii="Arial Narrow" w:hAnsi="Arial Narrow" w:cs="Arial"/>
          <w:sz w:val="22"/>
          <w:szCs w:val="22"/>
          <w:lang w:val="en-US"/>
        </w:rPr>
        <w:t>My recruitment would strengthen the institution’s structuring capacity by consolidating long-term research agendas, attracting competitive funding, training high-level scientists and engineers, and reinforcing Universidad Nacional’s leadership in water resources research in Colombia and Latin America.</w:t>
      </w:r>
    </w:p>
    <w:p w14:paraId="04C88D1F" w14:textId="77777777" w:rsidR="00FF62A4" w:rsidRDefault="00FF62A4" w:rsidP="00CD0C34">
      <w:pPr>
        <w:spacing w:line="276" w:lineRule="auto"/>
        <w:jc w:val="both"/>
        <w:rPr>
          <w:rFonts w:ascii="Arial Narrow" w:hAnsi="Arial Narrow" w:cs="Arial"/>
          <w:sz w:val="22"/>
          <w:szCs w:val="22"/>
          <w:lang w:val="en-US"/>
        </w:rPr>
      </w:pPr>
    </w:p>
    <w:p w14:paraId="78BBB6E5" w14:textId="77777777" w:rsidR="001776A3" w:rsidRDefault="001776A3" w:rsidP="00CD0C34">
      <w:pPr>
        <w:spacing w:line="276" w:lineRule="auto"/>
        <w:jc w:val="both"/>
        <w:rPr>
          <w:rFonts w:ascii="Arial Narrow" w:hAnsi="Arial Narrow" w:cs="Arial"/>
          <w:sz w:val="22"/>
          <w:szCs w:val="22"/>
          <w:lang w:val="en-US"/>
        </w:rPr>
      </w:pPr>
    </w:p>
    <w:p w14:paraId="04F2508F" w14:textId="77777777" w:rsidR="008E2E04" w:rsidRDefault="008E2E04" w:rsidP="00CD0C34">
      <w:pPr>
        <w:spacing w:line="276" w:lineRule="auto"/>
        <w:jc w:val="both"/>
        <w:rPr>
          <w:rFonts w:ascii="Arial Narrow" w:hAnsi="Arial Narrow" w:cs="Arial"/>
          <w:sz w:val="22"/>
          <w:szCs w:val="22"/>
          <w:lang w:val="en-US"/>
        </w:rPr>
      </w:pPr>
    </w:p>
    <w:p w14:paraId="7D8C21D8" w14:textId="77777777" w:rsidR="008E2E04" w:rsidRDefault="008E2E04" w:rsidP="00CD0C34">
      <w:pPr>
        <w:spacing w:line="276" w:lineRule="auto"/>
        <w:jc w:val="both"/>
        <w:rPr>
          <w:rFonts w:ascii="Arial Narrow" w:hAnsi="Arial Narrow" w:cs="Arial"/>
          <w:sz w:val="22"/>
          <w:szCs w:val="22"/>
          <w:lang w:val="en-US"/>
        </w:rPr>
      </w:pPr>
    </w:p>
    <w:p w14:paraId="6C9E1909" w14:textId="77777777" w:rsidR="00332CE7" w:rsidRDefault="00332CE7" w:rsidP="00CD0C34">
      <w:pPr>
        <w:spacing w:line="276" w:lineRule="auto"/>
        <w:jc w:val="both"/>
        <w:rPr>
          <w:rFonts w:ascii="Arial Narrow" w:hAnsi="Arial Narrow" w:cs="Arial"/>
          <w:sz w:val="22"/>
          <w:szCs w:val="22"/>
          <w:lang w:val="en-US"/>
        </w:rPr>
      </w:pPr>
    </w:p>
    <w:p w14:paraId="0BA23E89" w14:textId="77777777" w:rsidR="00C97450" w:rsidRDefault="00C97450" w:rsidP="00CD0C34">
      <w:pPr>
        <w:spacing w:line="276" w:lineRule="auto"/>
        <w:jc w:val="both"/>
        <w:rPr>
          <w:rFonts w:ascii="Arial Narrow" w:hAnsi="Arial Narrow" w:cs="Arial"/>
          <w:sz w:val="22"/>
          <w:szCs w:val="22"/>
          <w:lang w:val="en-US"/>
        </w:rPr>
      </w:pPr>
    </w:p>
    <w:p w14:paraId="4E456853" w14:textId="77777777" w:rsidR="005526A8" w:rsidRDefault="005526A8" w:rsidP="00CD0C34">
      <w:pPr>
        <w:spacing w:line="276" w:lineRule="auto"/>
        <w:jc w:val="both"/>
        <w:rPr>
          <w:rFonts w:ascii="Arial Narrow" w:hAnsi="Arial Narrow" w:cs="Arial"/>
          <w:sz w:val="22"/>
          <w:szCs w:val="22"/>
          <w:lang w:val="en-US"/>
        </w:rPr>
      </w:pPr>
    </w:p>
    <w:p w14:paraId="34E5DB76" w14:textId="672A4E7E" w:rsidR="00D21A23" w:rsidRDefault="002865BB" w:rsidP="00CD0C34">
      <w:pPr>
        <w:spacing w:line="276" w:lineRule="auto"/>
        <w:jc w:val="both"/>
        <w:rPr>
          <w:rFonts w:ascii="Arial Narrow" w:hAnsi="Arial Narrow" w:cs="Arial"/>
          <w:sz w:val="22"/>
          <w:szCs w:val="22"/>
          <w:lang w:val="en-US"/>
        </w:rPr>
      </w:pPr>
      <w:r>
        <w:rPr>
          <w:rFonts w:ascii="Arial Narrow" w:hAnsi="Arial Narrow" w:cs="Arial"/>
          <w:b/>
          <w:bCs/>
          <w:sz w:val="22"/>
          <w:szCs w:val="22"/>
          <w:lang w:val="en-US"/>
        </w:rPr>
        <w:lastRenderedPageBreak/>
        <w:t>7. REFERENCES</w:t>
      </w:r>
    </w:p>
    <w:p w14:paraId="5D4940FF" w14:textId="77777777" w:rsidR="001F7355" w:rsidRDefault="001F7355" w:rsidP="0025355E">
      <w:pPr>
        <w:spacing w:line="276" w:lineRule="auto"/>
        <w:jc w:val="both"/>
        <w:rPr>
          <w:rFonts w:ascii="Arial Narrow" w:hAnsi="Arial Narrow" w:cs="Arial"/>
          <w:sz w:val="22"/>
          <w:szCs w:val="22"/>
          <w:lang w:val="en-US"/>
        </w:rPr>
      </w:pPr>
      <w:r w:rsidRPr="001F7355">
        <w:rPr>
          <w:rFonts w:ascii="Arial Narrow" w:hAnsi="Arial Narrow" w:cs="Arial"/>
          <w:sz w:val="22"/>
          <w:szCs w:val="22"/>
          <w:lang w:val="en-US"/>
        </w:rPr>
        <w:t xml:space="preserve">Ali, S., Niaz, H., Ahmad, S., &amp; Khan, S. (2025). Investigating how rapid urbanization contributes to climate change and the social challenges cities face </w:t>
      </w:r>
      <w:proofErr w:type="gramStart"/>
      <w:r w:rsidRPr="001F7355">
        <w:rPr>
          <w:rFonts w:ascii="Arial Narrow" w:hAnsi="Arial Narrow" w:cs="Arial"/>
          <w:sz w:val="22"/>
          <w:szCs w:val="22"/>
          <w:lang w:val="en-US"/>
        </w:rPr>
        <w:t>in</w:t>
      </w:r>
      <w:proofErr w:type="gramEnd"/>
      <w:r w:rsidRPr="001F7355">
        <w:rPr>
          <w:rFonts w:ascii="Arial Narrow" w:hAnsi="Arial Narrow" w:cs="Arial"/>
          <w:sz w:val="22"/>
          <w:szCs w:val="22"/>
          <w:lang w:val="en-US"/>
        </w:rPr>
        <w:t xml:space="preserve"> mitigating its effects. </w:t>
      </w:r>
      <w:r w:rsidRPr="001F7355">
        <w:rPr>
          <w:rFonts w:ascii="Arial Narrow" w:hAnsi="Arial Narrow" w:cs="Arial"/>
          <w:i/>
          <w:iCs/>
          <w:sz w:val="22"/>
          <w:szCs w:val="22"/>
          <w:lang w:val="en-US"/>
        </w:rPr>
        <w:t>Review of Applied Management and Social Sciences, 8</w:t>
      </w:r>
      <w:r w:rsidRPr="001F7355">
        <w:rPr>
          <w:rFonts w:ascii="Arial Narrow" w:hAnsi="Arial Narrow" w:cs="Arial"/>
          <w:sz w:val="22"/>
          <w:szCs w:val="22"/>
          <w:lang w:val="en-US"/>
        </w:rPr>
        <w:t>(1), 1–16.</w:t>
      </w:r>
    </w:p>
    <w:p w14:paraId="6C576C43" w14:textId="27F0D5DD"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Bacci, M., Dal Molin, M., </w:t>
      </w:r>
      <w:proofErr w:type="spellStart"/>
      <w:r w:rsidRPr="0025355E">
        <w:rPr>
          <w:rFonts w:ascii="Arial Narrow" w:hAnsi="Arial Narrow" w:cs="Arial"/>
          <w:sz w:val="22"/>
          <w:szCs w:val="22"/>
          <w:lang w:val="en-US"/>
        </w:rPr>
        <w:t>Fenicia</w:t>
      </w:r>
      <w:proofErr w:type="spellEnd"/>
      <w:r w:rsidRPr="0025355E">
        <w:rPr>
          <w:rFonts w:ascii="Arial Narrow" w:hAnsi="Arial Narrow" w:cs="Arial"/>
          <w:sz w:val="22"/>
          <w:szCs w:val="22"/>
          <w:lang w:val="en-US"/>
        </w:rPr>
        <w:t xml:space="preserve">, F., Reichert, P., &amp; </w:t>
      </w:r>
      <w:proofErr w:type="spellStart"/>
      <w:r w:rsidRPr="0025355E">
        <w:rPr>
          <w:rFonts w:ascii="Arial Narrow" w:hAnsi="Arial Narrow" w:cs="Arial"/>
          <w:sz w:val="22"/>
          <w:szCs w:val="22"/>
          <w:lang w:val="en-US"/>
        </w:rPr>
        <w:t>Šukys</w:t>
      </w:r>
      <w:proofErr w:type="spellEnd"/>
      <w:r w:rsidRPr="0025355E">
        <w:rPr>
          <w:rFonts w:ascii="Arial Narrow" w:hAnsi="Arial Narrow" w:cs="Arial"/>
          <w:sz w:val="22"/>
          <w:szCs w:val="22"/>
          <w:lang w:val="en-US"/>
        </w:rPr>
        <w:t xml:space="preserve">, J. (2022). Application of stochastic time-dependent parameters to improve the characterization of uncertainty in conceptual hydrological models. </w:t>
      </w:r>
      <w:r w:rsidRPr="0025355E">
        <w:rPr>
          <w:rFonts w:ascii="Arial Narrow" w:hAnsi="Arial Narrow" w:cs="Arial"/>
          <w:i/>
          <w:iCs/>
          <w:sz w:val="22"/>
          <w:szCs w:val="22"/>
          <w:lang w:val="en-US"/>
        </w:rPr>
        <w:t>Journal of Hydrology, 612</w:t>
      </w:r>
      <w:r w:rsidRPr="0025355E">
        <w:rPr>
          <w:rFonts w:ascii="Arial Narrow" w:hAnsi="Arial Narrow" w:cs="Arial"/>
          <w:sz w:val="22"/>
          <w:szCs w:val="22"/>
          <w:lang w:val="en-US"/>
        </w:rPr>
        <w:t>, 128057.</w:t>
      </w:r>
    </w:p>
    <w:p w14:paraId="70E13BAD"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Blair, P., &amp; </w:t>
      </w:r>
      <w:proofErr w:type="spellStart"/>
      <w:r w:rsidRPr="0025355E">
        <w:rPr>
          <w:rFonts w:ascii="Arial Narrow" w:hAnsi="Arial Narrow" w:cs="Arial"/>
          <w:sz w:val="22"/>
          <w:szCs w:val="22"/>
          <w:lang w:val="en-US"/>
        </w:rPr>
        <w:t>Buytaert</w:t>
      </w:r>
      <w:proofErr w:type="spellEnd"/>
      <w:r w:rsidRPr="0025355E">
        <w:rPr>
          <w:rFonts w:ascii="Arial Narrow" w:hAnsi="Arial Narrow" w:cs="Arial"/>
          <w:sz w:val="22"/>
          <w:szCs w:val="22"/>
          <w:lang w:val="en-US"/>
        </w:rPr>
        <w:t xml:space="preserve">, W. (2016). Socio-hydrological modelling: A review asking “why, what and how?”. </w:t>
      </w:r>
      <w:r w:rsidRPr="0025355E">
        <w:rPr>
          <w:rFonts w:ascii="Arial Narrow" w:hAnsi="Arial Narrow" w:cs="Arial"/>
          <w:i/>
          <w:iCs/>
          <w:sz w:val="22"/>
          <w:szCs w:val="22"/>
          <w:lang w:val="en-US"/>
        </w:rPr>
        <w:t>Hydrology and Earth System Sciences, 20</w:t>
      </w:r>
      <w:r w:rsidRPr="0025355E">
        <w:rPr>
          <w:rFonts w:ascii="Arial Narrow" w:hAnsi="Arial Narrow" w:cs="Arial"/>
          <w:sz w:val="22"/>
          <w:szCs w:val="22"/>
          <w:lang w:val="en-US"/>
        </w:rPr>
        <w:t>(1), 443–478.</w:t>
      </w:r>
    </w:p>
    <w:p w14:paraId="0BBB4713"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Bonhomme, C., &amp; Petrucci, G. (2017). Should we trust build-up/wash-off water quality models at the scale of urban catchments? </w:t>
      </w:r>
      <w:r w:rsidRPr="0025355E">
        <w:rPr>
          <w:rFonts w:ascii="Arial Narrow" w:hAnsi="Arial Narrow" w:cs="Arial"/>
          <w:i/>
          <w:iCs/>
          <w:sz w:val="22"/>
          <w:szCs w:val="22"/>
          <w:lang w:val="en-US"/>
        </w:rPr>
        <w:t>Water Research, 108</w:t>
      </w:r>
      <w:r w:rsidRPr="0025355E">
        <w:rPr>
          <w:rFonts w:ascii="Arial Narrow" w:hAnsi="Arial Narrow" w:cs="Arial"/>
          <w:sz w:val="22"/>
          <w:szCs w:val="22"/>
          <w:lang w:val="en-US"/>
        </w:rPr>
        <w:t>, 422–431.</w:t>
      </w:r>
    </w:p>
    <w:p w14:paraId="2AA254AF" w14:textId="3ABAD57F"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 xml:space="preserve">Broekhuizen, I., Sandoval, S., Gao, H., Mendez-Rios, F., Leonhardt, G., Bertrand-Krajewski, J.-L., &amp; </w:t>
      </w:r>
      <w:proofErr w:type="spellStart"/>
      <w:r w:rsidRPr="0025355E">
        <w:rPr>
          <w:rFonts w:ascii="Arial Narrow" w:hAnsi="Arial Narrow" w:cs="Arial"/>
          <w:sz w:val="22"/>
          <w:szCs w:val="22"/>
          <w:lang w:val="en-US"/>
        </w:rPr>
        <w:t>Viklander</w:t>
      </w:r>
      <w:proofErr w:type="spellEnd"/>
      <w:r w:rsidRPr="0025355E">
        <w:rPr>
          <w:rFonts w:ascii="Arial Narrow" w:hAnsi="Arial Narrow" w:cs="Arial"/>
          <w:sz w:val="22"/>
          <w:szCs w:val="22"/>
          <w:lang w:val="en-US"/>
        </w:rPr>
        <w:t xml:space="preserve">, M. (2021). Performance comparison of green roof hydrological models for full-scale field sites. </w:t>
      </w:r>
      <w:r w:rsidRPr="0025355E">
        <w:rPr>
          <w:rFonts w:ascii="Arial Narrow" w:hAnsi="Arial Narrow" w:cs="Arial"/>
          <w:i/>
          <w:iCs/>
          <w:sz w:val="22"/>
          <w:szCs w:val="22"/>
          <w:lang w:val="en-US"/>
        </w:rPr>
        <w:t>Journal of Hydrology X, 12</w:t>
      </w:r>
      <w:r w:rsidRPr="0025355E">
        <w:rPr>
          <w:rFonts w:ascii="Arial Narrow" w:hAnsi="Arial Narrow" w:cs="Arial"/>
          <w:sz w:val="22"/>
          <w:szCs w:val="22"/>
          <w:lang w:val="en-US"/>
        </w:rPr>
        <w:t xml:space="preserve">, 100093. </w:t>
      </w:r>
      <w:hyperlink r:id="rId7" w:tgtFrame="_new" w:history="1">
        <w:r w:rsidRPr="0025355E">
          <w:rPr>
            <w:rStyle w:val="Lienhypertexte"/>
            <w:rFonts w:ascii="Arial Narrow" w:hAnsi="Arial Narrow" w:cs="Arial"/>
            <w:sz w:val="22"/>
            <w:szCs w:val="22"/>
            <w:lang w:val="en-US"/>
          </w:rPr>
          <w:t>https://doi.org/10.1016/j.hydroa.2021.100093</w:t>
        </w:r>
      </w:hyperlink>
    </w:p>
    <w:p w14:paraId="30977A91"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Brunetti, G., </w:t>
      </w:r>
      <w:proofErr w:type="spellStart"/>
      <w:r w:rsidRPr="0025355E">
        <w:rPr>
          <w:rFonts w:ascii="Arial Narrow" w:hAnsi="Arial Narrow" w:cs="Arial"/>
          <w:sz w:val="22"/>
          <w:szCs w:val="22"/>
          <w:lang w:val="en-US"/>
        </w:rPr>
        <w:t>Papagrigoriou</w:t>
      </w:r>
      <w:proofErr w:type="spellEnd"/>
      <w:r w:rsidRPr="0025355E">
        <w:rPr>
          <w:rFonts w:ascii="Arial Narrow" w:hAnsi="Arial Narrow" w:cs="Arial"/>
          <w:sz w:val="22"/>
          <w:szCs w:val="22"/>
          <w:lang w:val="en-US"/>
        </w:rPr>
        <w:t xml:space="preserve">, I. A., Šimůnek, J., &amp; Stumpp, C. (2021). Green roofs for domestic wastewater treatment: Experimental and numerical analysis of nitrogen turnover. </w:t>
      </w:r>
      <w:r w:rsidRPr="0025355E">
        <w:rPr>
          <w:rFonts w:ascii="Arial Narrow" w:hAnsi="Arial Narrow" w:cs="Arial"/>
          <w:i/>
          <w:iCs/>
          <w:sz w:val="22"/>
          <w:szCs w:val="22"/>
          <w:lang w:val="en-US"/>
        </w:rPr>
        <w:t>Journal of Hydrology, 603</w:t>
      </w:r>
      <w:r w:rsidRPr="0025355E">
        <w:rPr>
          <w:rFonts w:ascii="Arial Narrow" w:hAnsi="Arial Narrow" w:cs="Arial"/>
          <w:sz w:val="22"/>
          <w:szCs w:val="22"/>
          <w:lang w:val="en-US"/>
        </w:rPr>
        <w:t>, 127132.</w:t>
      </w:r>
    </w:p>
    <w:p w14:paraId="3E45E0F8"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Cook, L. M., McGinnis, S., &amp; Samaras, C. (2020). The effect of modeling choices on updating intensity-duration-frequency curves and stormwater infrastructure designs for climate change. </w:t>
      </w:r>
      <w:r w:rsidRPr="0025355E">
        <w:rPr>
          <w:rFonts w:ascii="Arial Narrow" w:hAnsi="Arial Narrow" w:cs="Arial"/>
          <w:i/>
          <w:iCs/>
          <w:sz w:val="22"/>
          <w:szCs w:val="22"/>
          <w:lang w:val="en-US"/>
        </w:rPr>
        <w:t>Climatic Change, 159</w:t>
      </w:r>
      <w:r w:rsidRPr="0025355E">
        <w:rPr>
          <w:rFonts w:ascii="Arial Narrow" w:hAnsi="Arial Narrow" w:cs="Arial"/>
          <w:sz w:val="22"/>
          <w:szCs w:val="22"/>
          <w:lang w:val="en-US"/>
        </w:rPr>
        <w:t>(2), 289–308.</w:t>
      </w:r>
    </w:p>
    <w:p w14:paraId="19D47133"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Del Giudice, D., Albert, C., Rieckermann, J., &amp; Reichert, P. (2016). Describing the catchment-averaged precipitation as a stochastic process improves parameter and input estimation. </w:t>
      </w:r>
      <w:r w:rsidRPr="0025355E">
        <w:rPr>
          <w:rFonts w:ascii="Arial Narrow" w:hAnsi="Arial Narrow" w:cs="Arial"/>
          <w:i/>
          <w:iCs/>
          <w:sz w:val="22"/>
          <w:szCs w:val="22"/>
          <w:lang w:val="en-US"/>
        </w:rPr>
        <w:t>Water Resources Research, 52</w:t>
      </w:r>
      <w:r w:rsidRPr="0025355E">
        <w:rPr>
          <w:rFonts w:ascii="Arial Narrow" w:hAnsi="Arial Narrow" w:cs="Arial"/>
          <w:sz w:val="22"/>
          <w:szCs w:val="22"/>
          <w:lang w:val="en-US"/>
        </w:rPr>
        <w:t>(4), 3162–3186.</w:t>
      </w:r>
    </w:p>
    <w:p w14:paraId="0607629C"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Fletcher, T. D., Andrieu, H., &amp; Hamel, P. (2013). Understanding, management and modelling of urban hydrology and its consequences for receiving waters: A state of the art. </w:t>
      </w:r>
      <w:r w:rsidRPr="0025355E">
        <w:rPr>
          <w:rFonts w:ascii="Arial Narrow" w:hAnsi="Arial Narrow" w:cs="Arial"/>
          <w:i/>
          <w:iCs/>
          <w:sz w:val="22"/>
          <w:szCs w:val="22"/>
          <w:lang w:val="en-US"/>
        </w:rPr>
        <w:t>Advances in Water Resources, 51</w:t>
      </w:r>
      <w:r w:rsidRPr="0025355E">
        <w:rPr>
          <w:rFonts w:ascii="Arial Narrow" w:hAnsi="Arial Narrow" w:cs="Arial"/>
          <w:sz w:val="22"/>
          <w:szCs w:val="22"/>
          <w:lang w:val="en-US"/>
        </w:rPr>
        <w:t>, 261–279.</w:t>
      </w:r>
    </w:p>
    <w:p w14:paraId="645EAD2C"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Jarden, K. M., Jefferson, A. J., &amp; Grieser, J. M. (2016). Assessing the effects of catchment-scale urban green infrastructure retrofits on hydrograph characteristics. </w:t>
      </w:r>
      <w:r w:rsidRPr="0025355E">
        <w:rPr>
          <w:rFonts w:ascii="Arial Narrow" w:hAnsi="Arial Narrow" w:cs="Arial"/>
          <w:i/>
          <w:iCs/>
          <w:sz w:val="22"/>
          <w:szCs w:val="22"/>
          <w:lang w:val="en-US"/>
        </w:rPr>
        <w:t>Hydrological Processes, 30</w:t>
      </w:r>
      <w:r w:rsidRPr="0025355E">
        <w:rPr>
          <w:rFonts w:ascii="Arial Narrow" w:hAnsi="Arial Narrow" w:cs="Arial"/>
          <w:sz w:val="22"/>
          <w:szCs w:val="22"/>
          <w:lang w:val="en-US"/>
        </w:rPr>
        <w:t>(10), 1536–1550.</w:t>
      </w:r>
    </w:p>
    <w:p w14:paraId="1F265B29"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Jones, L., Anderson, S., Læssøe, J., Banzhaf, E., Jensen, A., Bird, D. N., &amp; Zandersen, M. (2022). A typology for urban green infrastructure to guide multifunctional planning of nature-based solutions. </w:t>
      </w:r>
      <w:r w:rsidRPr="0025355E">
        <w:rPr>
          <w:rFonts w:ascii="Arial Narrow" w:hAnsi="Arial Narrow" w:cs="Arial"/>
          <w:i/>
          <w:iCs/>
          <w:sz w:val="22"/>
          <w:szCs w:val="22"/>
          <w:lang w:val="en-US"/>
        </w:rPr>
        <w:t>Nature-Based Solutions, 2</w:t>
      </w:r>
      <w:r w:rsidRPr="0025355E">
        <w:rPr>
          <w:rFonts w:ascii="Arial Narrow" w:hAnsi="Arial Narrow" w:cs="Arial"/>
          <w:sz w:val="22"/>
          <w:szCs w:val="22"/>
          <w:lang w:val="en-US"/>
        </w:rPr>
        <w:t>, 100041.</w:t>
      </w:r>
    </w:p>
    <w:p w14:paraId="1D83F622"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Kavetski, D., Kuczera, G., &amp; Franks, S. W. (2006). Bayesian analysis of input uncertainty in hydrological modeling: 1. Theory. </w:t>
      </w:r>
      <w:r w:rsidRPr="0025355E">
        <w:rPr>
          <w:rFonts w:ascii="Arial Narrow" w:hAnsi="Arial Narrow" w:cs="Arial"/>
          <w:i/>
          <w:iCs/>
          <w:sz w:val="22"/>
          <w:szCs w:val="22"/>
          <w:lang w:val="en-US"/>
        </w:rPr>
        <w:t>Water Resources Research, 42</w:t>
      </w:r>
      <w:r w:rsidRPr="0025355E">
        <w:rPr>
          <w:rFonts w:ascii="Arial Narrow" w:hAnsi="Arial Narrow" w:cs="Arial"/>
          <w:sz w:val="22"/>
          <w:szCs w:val="22"/>
          <w:lang w:val="en-US"/>
        </w:rPr>
        <w:t>(3), 1–9.</w:t>
      </w:r>
    </w:p>
    <w:p w14:paraId="6A863FB4"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Kuller, M., Bach, P. M., Roberts, S., Browne, D., &amp; </w:t>
      </w:r>
      <w:proofErr w:type="spellStart"/>
      <w:r w:rsidRPr="0025355E">
        <w:rPr>
          <w:rFonts w:ascii="Arial Narrow" w:hAnsi="Arial Narrow" w:cs="Arial"/>
          <w:sz w:val="22"/>
          <w:szCs w:val="22"/>
          <w:lang w:val="en-US"/>
        </w:rPr>
        <w:t>Deletic</w:t>
      </w:r>
      <w:proofErr w:type="spellEnd"/>
      <w:r w:rsidRPr="0025355E">
        <w:rPr>
          <w:rFonts w:ascii="Arial Narrow" w:hAnsi="Arial Narrow" w:cs="Arial"/>
          <w:sz w:val="22"/>
          <w:szCs w:val="22"/>
          <w:lang w:val="en-US"/>
        </w:rPr>
        <w:t xml:space="preserve">, A. (2019). A planning-support tool for spatial suitability assessment of green urban stormwater infrastructure. </w:t>
      </w:r>
      <w:r w:rsidRPr="0025355E">
        <w:rPr>
          <w:rFonts w:ascii="Arial Narrow" w:hAnsi="Arial Narrow" w:cs="Arial"/>
          <w:i/>
          <w:iCs/>
          <w:sz w:val="22"/>
          <w:szCs w:val="22"/>
          <w:lang w:val="en-US"/>
        </w:rPr>
        <w:t>Science of the Total Environment, 686</w:t>
      </w:r>
      <w:r w:rsidRPr="0025355E">
        <w:rPr>
          <w:rFonts w:ascii="Arial Narrow" w:hAnsi="Arial Narrow" w:cs="Arial"/>
          <w:sz w:val="22"/>
          <w:szCs w:val="22"/>
          <w:lang w:val="en-US"/>
        </w:rPr>
        <w:t>, 856–868.</w:t>
      </w:r>
    </w:p>
    <w:p w14:paraId="3B46D5ED" w14:textId="77777777" w:rsidR="0025355E" w:rsidRPr="0025355E" w:rsidRDefault="0025355E" w:rsidP="0025355E">
      <w:pPr>
        <w:spacing w:line="276" w:lineRule="auto"/>
        <w:jc w:val="both"/>
        <w:rPr>
          <w:rFonts w:ascii="Arial Narrow" w:hAnsi="Arial Narrow" w:cs="Arial"/>
          <w:sz w:val="22"/>
          <w:szCs w:val="22"/>
          <w:lang w:val="en-US"/>
        </w:rPr>
      </w:pPr>
      <w:proofErr w:type="spellStart"/>
      <w:r w:rsidRPr="0025355E">
        <w:rPr>
          <w:rFonts w:ascii="Arial Narrow" w:hAnsi="Arial Narrow" w:cs="Arial"/>
          <w:sz w:val="22"/>
          <w:szCs w:val="22"/>
          <w:lang w:val="en-US"/>
        </w:rPr>
        <w:t>Lepot</w:t>
      </w:r>
      <w:proofErr w:type="spellEnd"/>
      <w:r w:rsidRPr="0025355E">
        <w:rPr>
          <w:rFonts w:ascii="Arial Narrow" w:hAnsi="Arial Narrow" w:cs="Arial"/>
          <w:sz w:val="22"/>
          <w:szCs w:val="22"/>
          <w:lang w:val="en-US"/>
        </w:rPr>
        <w:t xml:space="preserve">, M., Torres, A., Hofer, T., </w:t>
      </w:r>
      <w:proofErr w:type="spellStart"/>
      <w:r w:rsidRPr="0025355E">
        <w:rPr>
          <w:rFonts w:ascii="Arial Narrow" w:hAnsi="Arial Narrow" w:cs="Arial"/>
          <w:sz w:val="22"/>
          <w:szCs w:val="22"/>
          <w:lang w:val="en-US"/>
        </w:rPr>
        <w:t>Caradot</w:t>
      </w:r>
      <w:proofErr w:type="spellEnd"/>
      <w:r w:rsidRPr="0025355E">
        <w:rPr>
          <w:rFonts w:ascii="Arial Narrow" w:hAnsi="Arial Narrow" w:cs="Arial"/>
          <w:sz w:val="22"/>
          <w:szCs w:val="22"/>
          <w:lang w:val="en-US"/>
        </w:rPr>
        <w:t xml:space="preserve">, N., Gruber, G., Aubin, J.-B., &amp; Bertrand-Krajewski, J.-L. (2016). Calibration of UV/Vis spectrophotometers: A review and comparison of different methods to estimate TSS and total and dissolved COD concentrations in sewers, WWTPs and rivers. </w:t>
      </w:r>
      <w:r w:rsidRPr="0025355E">
        <w:rPr>
          <w:rFonts w:ascii="Arial Narrow" w:hAnsi="Arial Narrow" w:cs="Arial"/>
          <w:i/>
          <w:iCs/>
          <w:sz w:val="22"/>
          <w:szCs w:val="22"/>
          <w:lang w:val="en-US"/>
        </w:rPr>
        <w:t>Water Research, 101</w:t>
      </w:r>
      <w:r w:rsidRPr="0025355E">
        <w:rPr>
          <w:rFonts w:ascii="Arial Narrow" w:hAnsi="Arial Narrow" w:cs="Arial"/>
          <w:sz w:val="22"/>
          <w:szCs w:val="22"/>
          <w:lang w:val="en-US"/>
        </w:rPr>
        <w:t>, 519–534.</w:t>
      </w:r>
    </w:p>
    <w:p w14:paraId="2789B067"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Lerer, S. M., Arnbjerg-Nielsen, K., &amp; Mikkelsen, P. S. (2015). A mapping of tools for informing water sensitive urban design planning decisions—Questions, aspects and context sensitivity. </w:t>
      </w:r>
      <w:r w:rsidRPr="0025355E">
        <w:rPr>
          <w:rFonts w:ascii="Arial Narrow" w:hAnsi="Arial Narrow" w:cs="Arial"/>
          <w:i/>
          <w:iCs/>
          <w:sz w:val="22"/>
          <w:szCs w:val="22"/>
          <w:lang w:val="en-US"/>
        </w:rPr>
        <w:t>Water, 7</w:t>
      </w:r>
      <w:r w:rsidRPr="0025355E">
        <w:rPr>
          <w:rFonts w:ascii="Arial Narrow" w:hAnsi="Arial Narrow" w:cs="Arial"/>
          <w:sz w:val="22"/>
          <w:szCs w:val="22"/>
          <w:lang w:val="en-US"/>
        </w:rPr>
        <w:t>(3), 993–1012.</w:t>
      </w:r>
    </w:p>
    <w:p w14:paraId="684127F2" w14:textId="77777777" w:rsidR="0025355E" w:rsidRPr="0025355E" w:rsidRDefault="0025355E" w:rsidP="0025355E">
      <w:pPr>
        <w:spacing w:line="276" w:lineRule="auto"/>
        <w:jc w:val="both"/>
        <w:rPr>
          <w:rFonts w:ascii="Arial Narrow" w:hAnsi="Arial Narrow" w:cs="Arial"/>
          <w:sz w:val="22"/>
          <w:szCs w:val="22"/>
          <w:lang w:val="es-GT"/>
        </w:rPr>
      </w:pPr>
      <w:r w:rsidRPr="0025355E">
        <w:rPr>
          <w:rFonts w:ascii="Arial Narrow" w:hAnsi="Arial Narrow" w:cs="Arial"/>
          <w:sz w:val="22"/>
          <w:szCs w:val="22"/>
          <w:lang w:val="en-US"/>
        </w:rPr>
        <w:t xml:space="preserve">Liu, Q., Yang, L., &amp; Yang, M. (2021). </w:t>
      </w:r>
      <w:proofErr w:type="spellStart"/>
      <w:r w:rsidRPr="0025355E">
        <w:rPr>
          <w:rFonts w:ascii="Arial Narrow" w:hAnsi="Arial Narrow" w:cs="Arial"/>
          <w:sz w:val="22"/>
          <w:szCs w:val="22"/>
          <w:lang w:val="en-US"/>
        </w:rPr>
        <w:t>Digitalisation</w:t>
      </w:r>
      <w:proofErr w:type="spellEnd"/>
      <w:r w:rsidRPr="0025355E">
        <w:rPr>
          <w:rFonts w:ascii="Arial Narrow" w:hAnsi="Arial Narrow" w:cs="Arial"/>
          <w:sz w:val="22"/>
          <w:szCs w:val="22"/>
          <w:lang w:val="en-US"/>
        </w:rPr>
        <w:t xml:space="preserve"> for water sustainability: Barriers to implementing circular economy in smart water management. </w:t>
      </w:r>
      <w:proofErr w:type="spellStart"/>
      <w:r w:rsidRPr="0025355E">
        <w:rPr>
          <w:rFonts w:ascii="Arial Narrow" w:hAnsi="Arial Narrow" w:cs="Arial"/>
          <w:i/>
          <w:iCs/>
          <w:sz w:val="22"/>
          <w:szCs w:val="22"/>
          <w:lang w:val="es-GT"/>
        </w:rPr>
        <w:t>Sustainability</w:t>
      </w:r>
      <w:proofErr w:type="spellEnd"/>
      <w:r w:rsidRPr="0025355E">
        <w:rPr>
          <w:rFonts w:ascii="Arial Narrow" w:hAnsi="Arial Narrow" w:cs="Arial"/>
          <w:i/>
          <w:iCs/>
          <w:sz w:val="22"/>
          <w:szCs w:val="22"/>
          <w:lang w:val="es-GT"/>
        </w:rPr>
        <w:t>, 13</w:t>
      </w:r>
      <w:r w:rsidRPr="0025355E">
        <w:rPr>
          <w:rFonts w:ascii="Arial Narrow" w:hAnsi="Arial Narrow" w:cs="Arial"/>
          <w:sz w:val="22"/>
          <w:szCs w:val="22"/>
          <w:lang w:val="es-GT"/>
        </w:rPr>
        <w:t>(21), 11868.</w:t>
      </w:r>
    </w:p>
    <w:p w14:paraId="26A66886" w14:textId="77777777" w:rsidR="0025355E" w:rsidRPr="00B805C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s-GT"/>
        </w:rPr>
        <w:lastRenderedPageBreak/>
        <w:t xml:space="preserve">Ma, X., Xue, X., González-Mejía, A., Garland, J., &amp; Cashdollar, J. (2015). </w:t>
      </w:r>
      <w:r w:rsidRPr="0025355E">
        <w:rPr>
          <w:rFonts w:ascii="Arial Narrow" w:hAnsi="Arial Narrow" w:cs="Arial"/>
          <w:sz w:val="22"/>
          <w:szCs w:val="22"/>
          <w:lang w:val="en-US"/>
        </w:rPr>
        <w:t xml:space="preserve">Sustainable water systems for the city of tomorrow—A conceptual framework. </w:t>
      </w:r>
      <w:r w:rsidRPr="00B805CE">
        <w:rPr>
          <w:rFonts w:ascii="Arial Narrow" w:hAnsi="Arial Narrow" w:cs="Arial"/>
          <w:i/>
          <w:iCs/>
          <w:sz w:val="22"/>
          <w:szCs w:val="22"/>
          <w:lang w:val="en-US"/>
        </w:rPr>
        <w:t>Sustainability, 7</w:t>
      </w:r>
      <w:r w:rsidRPr="00B805CE">
        <w:rPr>
          <w:rFonts w:ascii="Arial Narrow" w:hAnsi="Arial Narrow" w:cs="Arial"/>
          <w:sz w:val="22"/>
          <w:szCs w:val="22"/>
          <w:lang w:val="en-US"/>
        </w:rPr>
        <w:t>(9), 12071–12105.</w:t>
      </w:r>
    </w:p>
    <w:p w14:paraId="5904AEF3" w14:textId="77777777" w:rsidR="0025355E" w:rsidRPr="0025355E" w:rsidRDefault="0025355E" w:rsidP="0025355E">
      <w:pPr>
        <w:spacing w:line="276" w:lineRule="auto"/>
        <w:jc w:val="both"/>
        <w:rPr>
          <w:rFonts w:ascii="Arial Narrow" w:hAnsi="Arial Narrow" w:cs="Arial"/>
          <w:sz w:val="22"/>
          <w:szCs w:val="22"/>
          <w:lang w:val="en-US"/>
        </w:rPr>
      </w:pPr>
      <w:proofErr w:type="spellStart"/>
      <w:r w:rsidRPr="0025355E">
        <w:rPr>
          <w:rFonts w:ascii="Arial Narrow" w:hAnsi="Arial Narrow" w:cs="Arial"/>
          <w:sz w:val="22"/>
          <w:szCs w:val="22"/>
          <w:lang w:val="en-US"/>
        </w:rPr>
        <w:t>Métadier</w:t>
      </w:r>
      <w:proofErr w:type="spellEnd"/>
      <w:r w:rsidRPr="0025355E">
        <w:rPr>
          <w:rFonts w:ascii="Arial Narrow" w:hAnsi="Arial Narrow" w:cs="Arial"/>
          <w:sz w:val="22"/>
          <w:szCs w:val="22"/>
          <w:lang w:val="en-US"/>
        </w:rPr>
        <w:t xml:space="preserve">, M., &amp; Bertrand-Krajewski, J.-L. (2012). The use of long-term on-line turbidity measurements for the calculation of urban stormwater pollutant concentrations, loads, </w:t>
      </w:r>
      <w:proofErr w:type="spellStart"/>
      <w:r w:rsidRPr="0025355E">
        <w:rPr>
          <w:rFonts w:ascii="Arial Narrow" w:hAnsi="Arial Narrow" w:cs="Arial"/>
          <w:sz w:val="22"/>
          <w:szCs w:val="22"/>
          <w:lang w:val="en-US"/>
        </w:rPr>
        <w:t>pollutographs</w:t>
      </w:r>
      <w:proofErr w:type="spellEnd"/>
      <w:r w:rsidRPr="0025355E">
        <w:rPr>
          <w:rFonts w:ascii="Arial Narrow" w:hAnsi="Arial Narrow" w:cs="Arial"/>
          <w:sz w:val="22"/>
          <w:szCs w:val="22"/>
          <w:lang w:val="en-US"/>
        </w:rPr>
        <w:t xml:space="preserve"> and intra-event fluxes. </w:t>
      </w:r>
      <w:r w:rsidRPr="0025355E">
        <w:rPr>
          <w:rFonts w:ascii="Arial Narrow" w:hAnsi="Arial Narrow" w:cs="Arial"/>
          <w:i/>
          <w:iCs/>
          <w:sz w:val="22"/>
          <w:szCs w:val="22"/>
          <w:lang w:val="en-US"/>
        </w:rPr>
        <w:t>Water Research, 46</w:t>
      </w:r>
      <w:r w:rsidRPr="0025355E">
        <w:rPr>
          <w:rFonts w:ascii="Arial Narrow" w:hAnsi="Arial Narrow" w:cs="Arial"/>
          <w:sz w:val="22"/>
          <w:szCs w:val="22"/>
          <w:lang w:val="en-US"/>
        </w:rPr>
        <w:t>(20), 6836–6856.</w:t>
      </w:r>
    </w:p>
    <w:p w14:paraId="23B88B0D" w14:textId="77777777" w:rsidR="0025355E" w:rsidRPr="0025355E" w:rsidRDefault="0025355E" w:rsidP="0025355E">
      <w:pPr>
        <w:spacing w:line="276" w:lineRule="auto"/>
        <w:jc w:val="both"/>
        <w:rPr>
          <w:rFonts w:ascii="Arial Narrow" w:hAnsi="Arial Narrow" w:cs="Arial"/>
          <w:sz w:val="22"/>
          <w:szCs w:val="22"/>
          <w:lang w:val="en-US"/>
        </w:rPr>
      </w:pPr>
      <w:proofErr w:type="spellStart"/>
      <w:r w:rsidRPr="0025355E">
        <w:rPr>
          <w:rFonts w:ascii="Arial Narrow" w:hAnsi="Arial Narrow" w:cs="Arial"/>
          <w:sz w:val="22"/>
          <w:szCs w:val="22"/>
          <w:lang w:val="en-US"/>
        </w:rPr>
        <w:t>Oberascher</w:t>
      </w:r>
      <w:proofErr w:type="spellEnd"/>
      <w:r w:rsidRPr="0025355E">
        <w:rPr>
          <w:rFonts w:ascii="Arial Narrow" w:hAnsi="Arial Narrow" w:cs="Arial"/>
          <w:sz w:val="22"/>
          <w:szCs w:val="22"/>
          <w:lang w:val="en-US"/>
        </w:rPr>
        <w:t xml:space="preserve">, M., Rauch, W., &amp; </w:t>
      </w:r>
      <w:proofErr w:type="spellStart"/>
      <w:r w:rsidRPr="0025355E">
        <w:rPr>
          <w:rFonts w:ascii="Arial Narrow" w:hAnsi="Arial Narrow" w:cs="Arial"/>
          <w:sz w:val="22"/>
          <w:szCs w:val="22"/>
          <w:lang w:val="en-US"/>
        </w:rPr>
        <w:t>Sitzenfrei</w:t>
      </w:r>
      <w:proofErr w:type="spellEnd"/>
      <w:r w:rsidRPr="0025355E">
        <w:rPr>
          <w:rFonts w:ascii="Arial Narrow" w:hAnsi="Arial Narrow" w:cs="Arial"/>
          <w:sz w:val="22"/>
          <w:szCs w:val="22"/>
          <w:lang w:val="en-US"/>
        </w:rPr>
        <w:t xml:space="preserve">, R. (2022). Towards a smart water city: A comprehensive review of applications, data requirements, and communication technologies for integrated management. </w:t>
      </w:r>
      <w:r w:rsidRPr="0025355E">
        <w:rPr>
          <w:rFonts w:ascii="Arial Narrow" w:hAnsi="Arial Narrow" w:cs="Arial"/>
          <w:i/>
          <w:iCs/>
          <w:sz w:val="22"/>
          <w:szCs w:val="22"/>
          <w:lang w:val="en-US"/>
        </w:rPr>
        <w:t>Sustainable Cities and Society, 76</w:t>
      </w:r>
      <w:r w:rsidRPr="0025355E">
        <w:rPr>
          <w:rFonts w:ascii="Arial Narrow" w:hAnsi="Arial Narrow" w:cs="Arial"/>
          <w:sz w:val="22"/>
          <w:szCs w:val="22"/>
          <w:lang w:val="en-US"/>
        </w:rPr>
        <w:t>, 103442.</w:t>
      </w:r>
    </w:p>
    <w:p w14:paraId="79BB4557" w14:textId="2C9D2DB3" w:rsidR="0025355E" w:rsidRPr="0025355E" w:rsidRDefault="0025355E" w:rsidP="0025355E">
      <w:pPr>
        <w:spacing w:line="276" w:lineRule="auto"/>
        <w:jc w:val="both"/>
        <w:rPr>
          <w:rFonts w:ascii="Arial Narrow" w:hAnsi="Arial Narrow" w:cs="Arial"/>
          <w:sz w:val="22"/>
          <w:szCs w:val="22"/>
          <w:lang w:val="en-US"/>
        </w:rPr>
      </w:pPr>
      <w:r w:rsidRPr="00B805CE">
        <w:rPr>
          <w:rFonts w:ascii="Arial Narrow" w:hAnsi="Arial Narrow" w:cs="Arial"/>
          <w:sz w:val="22"/>
          <w:szCs w:val="22"/>
          <w:lang w:val="en-US"/>
        </w:rPr>
        <w:t xml:space="preserve">*Peña-Heredia, F., Sandoval, S., Escobar-Vargas, J. A., &amp; Torres, A. (2021). </w:t>
      </w:r>
      <w:r w:rsidRPr="0025355E">
        <w:rPr>
          <w:rFonts w:ascii="Arial Narrow" w:hAnsi="Arial Narrow" w:cs="Arial"/>
          <w:sz w:val="22"/>
          <w:szCs w:val="22"/>
          <w:lang w:val="en-US"/>
        </w:rPr>
        <w:t xml:space="preserve">The influence of the correlation-covariance structure of measurement errors over uncertainties propagation in online monitoring: Application to environmental indicators in SUDS. </w:t>
      </w:r>
      <w:r w:rsidRPr="0025355E">
        <w:rPr>
          <w:rFonts w:ascii="Arial Narrow" w:hAnsi="Arial Narrow" w:cs="Arial"/>
          <w:i/>
          <w:iCs/>
          <w:sz w:val="22"/>
          <w:szCs w:val="22"/>
          <w:lang w:val="en-US"/>
        </w:rPr>
        <w:t>Environmental Monitoring and Assessment, 193</w:t>
      </w:r>
      <w:r w:rsidRPr="0025355E">
        <w:rPr>
          <w:rFonts w:ascii="Arial Narrow" w:hAnsi="Arial Narrow" w:cs="Arial"/>
          <w:sz w:val="22"/>
          <w:szCs w:val="22"/>
          <w:lang w:val="en-US"/>
        </w:rPr>
        <w:t xml:space="preserve">(6), 1–18. </w:t>
      </w:r>
      <w:hyperlink r:id="rId8" w:tgtFrame="_new" w:history="1">
        <w:r w:rsidRPr="0025355E">
          <w:rPr>
            <w:rStyle w:val="Lienhypertexte"/>
            <w:rFonts w:ascii="Arial Narrow" w:hAnsi="Arial Narrow" w:cs="Arial"/>
            <w:sz w:val="22"/>
            <w:szCs w:val="22"/>
            <w:lang w:val="en-US"/>
          </w:rPr>
          <w:t>https://doi.org/10.1007/s10661-021-09097-9</w:t>
        </w:r>
      </w:hyperlink>
    </w:p>
    <w:p w14:paraId="20600FB8"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Pons, V., Muthanna, T. M., Sivertsen, E., &amp; Bertrand-Krajewski, J. L. (2022). Revising green roof design methods with downscaling model of rainfall time series. </w:t>
      </w:r>
      <w:r w:rsidRPr="0025355E">
        <w:rPr>
          <w:rFonts w:ascii="Arial Narrow" w:hAnsi="Arial Narrow" w:cs="Arial"/>
          <w:i/>
          <w:iCs/>
          <w:sz w:val="22"/>
          <w:szCs w:val="22"/>
          <w:lang w:val="en-US"/>
        </w:rPr>
        <w:t>Water Science and Technology, 85</w:t>
      </w:r>
      <w:r w:rsidRPr="0025355E">
        <w:rPr>
          <w:rFonts w:ascii="Arial Narrow" w:hAnsi="Arial Narrow" w:cs="Arial"/>
          <w:sz w:val="22"/>
          <w:szCs w:val="22"/>
          <w:lang w:val="en-US"/>
        </w:rPr>
        <w:t>(5), 1363–1371.</w:t>
      </w:r>
    </w:p>
    <w:p w14:paraId="2047DC17"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Pons, V., Abdalla, E. M. H., </w:t>
      </w:r>
      <w:proofErr w:type="spellStart"/>
      <w:r w:rsidRPr="0025355E">
        <w:rPr>
          <w:rFonts w:ascii="Arial Narrow" w:hAnsi="Arial Narrow" w:cs="Arial"/>
          <w:sz w:val="22"/>
          <w:szCs w:val="22"/>
          <w:lang w:val="en-US"/>
        </w:rPr>
        <w:t>Tscheikner-Gratl</w:t>
      </w:r>
      <w:proofErr w:type="spellEnd"/>
      <w:r w:rsidRPr="0025355E">
        <w:rPr>
          <w:rFonts w:ascii="Arial Narrow" w:hAnsi="Arial Narrow" w:cs="Arial"/>
          <w:sz w:val="22"/>
          <w:szCs w:val="22"/>
          <w:lang w:val="en-US"/>
        </w:rPr>
        <w:t xml:space="preserve">, F., Alfredsen, K., Sivertsen, E., Bertrand-Krajewski, J. L., &amp; Muthanna, T. M. (2023). Practice makes the model: A critical review of stormwater green infrastructure modelling practice. </w:t>
      </w:r>
      <w:r w:rsidRPr="0025355E">
        <w:rPr>
          <w:rFonts w:ascii="Arial Narrow" w:hAnsi="Arial Narrow" w:cs="Arial"/>
          <w:i/>
          <w:iCs/>
          <w:sz w:val="22"/>
          <w:szCs w:val="22"/>
          <w:lang w:val="en-US"/>
        </w:rPr>
        <w:t>Water Research</w:t>
      </w:r>
      <w:r w:rsidRPr="0025355E">
        <w:rPr>
          <w:rFonts w:ascii="Arial Narrow" w:hAnsi="Arial Narrow" w:cs="Arial"/>
          <w:sz w:val="22"/>
          <w:szCs w:val="22"/>
          <w:lang w:val="en-US"/>
        </w:rPr>
        <w:t>, 119958.</w:t>
      </w:r>
    </w:p>
    <w:p w14:paraId="7FD31473"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Poor, C., Membrere, T., &amp; Miyasato, J. (2021). Impact of green stormwater infrastructure age and type on water quality. </w:t>
      </w:r>
      <w:r w:rsidRPr="0025355E">
        <w:rPr>
          <w:rFonts w:ascii="Arial Narrow" w:hAnsi="Arial Narrow" w:cs="Arial"/>
          <w:i/>
          <w:iCs/>
          <w:sz w:val="22"/>
          <w:szCs w:val="22"/>
          <w:lang w:val="en-US"/>
        </w:rPr>
        <w:t>Sustainability, 13</w:t>
      </w:r>
      <w:r w:rsidRPr="0025355E">
        <w:rPr>
          <w:rFonts w:ascii="Arial Narrow" w:hAnsi="Arial Narrow" w:cs="Arial"/>
          <w:sz w:val="22"/>
          <w:szCs w:val="22"/>
          <w:lang w:val="en-US"/>
        </w:rPr>
        <w:t>(18), 10484.</w:t>
      </w:r>
    </w:p>
    <w:p w14:paraId="5FC48586"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Renard, B., </w:t>
      </w:r>
      <w:proofErr w:type="spellStart"/>
      <w:r w:rsidRPr="0025355E">
        <w:rPr>
          <w:rFonts w:ascii="Arial Narrow" w:hAnsi="Arial Narrow" w:cs="Arial"/>
          <w:sz w:val="22"/>
          <w:szCs w:val="22"/>
          <w:lang w:val="en-US"/>
        </w:rPr>
        <w:t>Kavetski</w:t>
      </w:r>
      <w:proofErr w:type="spellEnd"/>
      <w:r w:rsidRPr="0025355E">
        <w:rPr>
          <w:rFonts w:ascii="Arial Narrow" w:hAnsi="Arial Narrow" w:cs="Arial"/>
          <w:sz w:val="22"/>
          <w:szCs w:val="22"/>
          <w:lang w:val="en-US"/>
        </w:rPr>
        <w:t xml:space="preserve">, D., Kuczera, G., Thyer, M., &amp; Franks, S. W. (2010). Understanding predictive uncertainty in hydrologic modeling: The challenge of identifying input and structural errors. </w:t>
      </w:r>
      <w:r w:rsidRPr="0025355E">
        <w:rPr>
          <w:rFonts w:ascii="Arial Narrow" w:hAnsi="Arial Narrow" w:cs="Arial"/>
          <w:i/>
          <w:iCs/>
          <w:sz w:val="22"/>
          <w:szCs w:val="22"/>
          <w:lang w:val="en-US"/>
        </w:rPr>
        <w:t>Water Resources Research, 46</w:t>
      </w:r>
      <w:r w:rsidRPr="0025355E">
        <w:rPr>
          <w:rFonts w:ascii="Arial Narrow" w:hAnsi="Arial Narrow" w:cs="Arial"/>
          <w:sz w:val="22"/>
          <w:szCs w:val="22"/>
          <w:lang w:val="en-US"/>
        </w:rPr>
        <w:t>, 1–22.</w:t>
      </w:r>
    </w:p>
    <w:p w14:paraId="1143485D"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Salvadore, E., </w:t>
      </w:r>
      <w:proofErr w:type="spellStart"/>
      <w:r w:rsidRPr="0025355E">
        <w:rPr>
          <w:rFonts w:ascii="Arial Narrow" w:hAnsi="Arial Narrow" w:cs="Arial"/>
          <w:sz w:val="22"/>
          <w:szCs w:val="22"/>
          <w:lang w:val="en-US"/>
        </w:rPr>
        <w:t>Bronders</w:t>
      </w:r>
      <w:proofErr w:type="spellEnd"/>
      <w:r w:rsidRPr="0025355E">
        <w:rPr>
          <w:rFonts w:ascii="Arial Narrow" w:hAnsi="Arial Narrow" w:cs="Arial"/>
          <w:sz w:val="22"/>
          <w:szCs w:val="22"/>
          <w:lang w:val="en-US"/>
        </w:rPr>
        <w:t xml:space="preserve">, J., &amp; </w:t>
      </w:r>
      <w:proofErr w:type="spellStart"/>
      <w:r w:rsidRPr="0025355E">
        <w:rPr>
          <w:rFonts w:ascii="Arial Narrow" w:hAnsi="Arial Narrow" w:cs="Arial"/>
          <w:sz w:val="22"/>
          <w:szCs w:val="22"/>
          <w:lang w:val="en-US"/>
        </w:rPr>
        <w:t>Batelaan</w:t>
      </w:r>
      <w:proofErr w:type="spellEnd"/>
      <w:r w:rsidRPr="0025355E">
        <w:rPr>
          <w:rFonts w:ascii="Arial Narrow" w:hAnsi="Arial Narrow" w:cs="Arial"/>
          <w:sz w:val="22"/>
          <w:szCs w:val="22"/>
          <w:lang w:val="en-US"/>
        </w:rPr>
        <w:t xml:space="preserve">, O. (2015). Hydrological modelling of urbanized catchments: A review and future directions. </w:t>
      </w:r>
      <w:r w:rsidRPr="0025355E">
        <w:rPr>
          <w:rFonts w:ascii="Arial Narrow" w:hAnsi="Arial Narrow" w:cs="Arial"/>
          <w:i/>
          <w:iCs/>
          <w:sz w:val="22"/>
          <w:szCs w:val="22"/>
          <w:lang w:val="en-US"/>
        </w:rPr>
        <w:t>Journal of Hydrology, 529</w:t>
      </w:r>
      <w:r w:rsidRPr="0025355E">
        <w:rPr>
          <w:rFonts w:ascii="Arial Narrow" w:hAnsi="Arial Narrow" w:cs="Arial"/>
          <w:sz w:val="22"/>
          <w:szCs w:val="22"/>
          <w:lang w:val="en-US"/>
        </w:rPr>
        <w:t>, 62–81.</w:t>
      </w:r>
    </w:p>
    <w:p w14:paraId="5D3BD3BA" w14:textId="24EEE739"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 xml:space="preserve">Sandoval, S., &amp; Bertrand-Krajewski, J.-L. (2016). Influence of sampling intake position on suspended solids measurements in sewers: Two probability/time series-based approaches. </w:t>
      </w:r>
      <w:r w:rsidRPr="0025355E">
        <w:rPr>
          <w:rFonts w:ascii="Arial Narrow" w:hAnsi="Arial Narrow" w:cs="Arial"/>
          <w:i/>
          <w:iCs/>
          <w:sz w:val="22"/>
          <w:szCs w:val="22"/>
          <w:lang w:val="en-US"/>
        </w:rPr>
        <w:t>Environmental Monitoring and Assessment, 188</w:t>
      </w:r>
      <w:r w:rsidRPr="0025355E">
        <w:rPr>
          <w:rFonts w:ascii="Arial Narrow" w:hAnsi="Arial Narrow" w:cs="Arial"/>
          <w:sz w:val="22"/>
          <w:szCs w:val="22"/>
          <w:lang w:val="en-US"/>
        </w:rPr>
        <w:t xml:space="preserve">, 347. </w:t>
      </w:r>
      <w:hyperlink r:id="rId9" w:tgtFrame="_new" w:history="1">
        <w:r w:rsidRPr="0025355E">
          <w:rPr>
            <w:rStyle w:val="Lienhypertexte"/>
            <w:rFonts w:ascii="Arial Narrow" w:hAnsi="Arial Narrow" w:cs="Arial"/>
            <w:sz w:val="22"/>
            <w:szCs w:val="22"/>
            <w:lang w:val="en-US"/>
          </w:rPr>
          <w:t>https://doi.org/10.1007/s10661-016-5335-y</w:t>
        </w:r>
      </w:hyperlink>
    </w:p>
    <w:p w14:paraId="5B366C66" w14:textId="7C293C36"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 xml:space="preserve">Sandoval, S., Bertrand-Krajewski, J.-L., </w:t>
      </w:r>
      <w:proofErr w:type="spellStart"/>
      <w:r w:rsidRPr="0025355E">
        <w:rPr>
          <w:rFonts w:ascii="Arial Narrow" w:hAnsi="Arial Narrow" w:cs="Arial"/>
          <w:sz w:val="22"/>
          <w:szCs w:val="22"/>
          <w:lang w:val="en-US"/>
        </w:rPr>
        <w:t>Caradot</w:t>
      </w:r>
      <w:proofErr w:type="spellEnd"/>
      <w:r w:rsidRPr="0025355E">
        <w:rPr>
          <w:rFonts w:ascii="Arial Narrow" w:hAnsi="Arial Narrow" w:cs="Arial"/>
          <w:sz w:val="22"/>
          <w:szCs w:val="22"/>
          <w:lang w:val="en-US"/>
        </w:rPr>
        <w:t xml:space="preserve">, N., Hofer, T., &amp; Gruber, G. (2018). Performance and uncertainties of TSS stormwater sampling strategies from online time series. </w:t>
      </w:r>
      <w:r w:rsidRPr="0025355E">
        <w:rPr>
          <w:rFonts w:ascii="Arial Narrow" w:hAnsi="Arial Narrow" w:cs="Arial"/>
          <w:i/>
          <w:iCs/>
          <w:sz w:val="22"/>
          <w:szCs w:val="22"/>
          <w:lang w:val="en-US"/>
        </w:rPr>
        <w:t>Water Science and Technology, 78</w:t>
      </w:r>
      <w:r w:rsidRPr="0025355E">
        <w:rPr>
          <w:rFonts w:ascii="Arial Narrow" w:hAnsi="Arial Narrow" w:cs="Arial"/>
          <w:sz w:val="22"/>
          <w:szCs w:val="22"/>
          <w:lang w:val="en-US"/>
        </w:rPr>
        <w:t xml:space="preserve">(6), 1407–1416. </w:t>
      </w:r>
      <w:hyperlink r:id="rId10" w:tgtFrame="_new" w:history="1">
        <w:r w:rsidRPr="0025355E">
          <w:rPr>
            <w:rStyle w:val="Lienhypertexte"/>
            <w:rFonts w:ascii="Arial Narrow" w:hAnsi="Arial Narrow" w:cs="Arial"/>
            <w:sz w:val="22"/>
            <w:szCs w:val="22"/>
            <w:lang w:val="en-US"/>
          </w:rPr>
          <w:t>https://doi.org/10.2166/wst.2018.415</w:t>
        </w:r>
      </w:hyperlink>
    </w:p>
    <w:p w14:paraId="51E95920" w14:textId="54F7E0E5"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 xml:space="preserve">Sandoval, S., Bertrand-Krajewski, J.-L., &amp; Peña-Heredia, F. (2022). Conceptual stormwater quality models by alternative linear and non-linear formulations: An event-based approach. </w:t>
      </w:r>
      <w:r w:rsidRPr="0025355E">
        <w:rPr>
          <w:rFonts w:ascii="Arial Narrow" w:hAnsi="Arial Narrow" w:cs="Arial"/>
          <w:i/>
          <w:iCs/>
          <w:sz w:val="22"/>
          <w:szCs w:val="22"/>
          <w:lang w:val="en-US"/>
        </w:rPr>
        <w:t>Environmental Modeling &amp; Assessment, 27</w:t>
      </w:r>
      <w:r w:rsidRPr="0025355E">
        <w:rPr>
          <w:rFonts w:ascii="Arial Narrow" w:hAnsi="Arial Narrow" w:cs="Arial"/>
          <w:sz w:val="22"/>
          <w:szCs w:val="22"/>
          <w:lang w:val="en-US"/>
        </w:rPr>
        <w:t xml:space="preserve">(5), 817–830. </w:t>
      </w:r>
      <w:hyperlink r:id="rId11" w:tgtFrame="_new" w:history="1">
        <w:r w:rsidRPr="0025355E">
          <w:rPr>
            <w:rStyle w:val="Lienhypertexte"/>
            <w:rFonts w:ascii="Arial Narrow" w:hAnsi="Arial Narrow" w:cs="Arial"/>
            <w:sz w:val="22"/>
            <w:szCs w:val="22"/>
            <w:lang w:val="en-US"/>
          </w:rPr>
          <w:t>https://doi.org/10.1007/s10666-022-09838-1</w:t>
        </w:r>
      </w:hyperlink>
    </w:p>
    <w:p w14:paraId="000CF2D3" w14:textId="447BA601"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 xml:space="preserve">Sandoval, S., Bertrand-Krajewski, J.-L., &amp; </w:t>
      </w:r>
      <w:proofErr w:type="spellStart"/>
      <w:r w:rsidRPr="0025355E">
        <w:rPr>
          <w:rFonts w:ascii="Arial Narrow" w:hAnsi="Arial Narrow" w:cs="Arial"/>
          <w:sz w:val="22"/>
          <w:szCs w:val="22"/>
          <w:lang w:val="en-US"/>
        </w:rPr>
        <w:t>Vezzaro</w:t>
      </w:r>
      <w:proofErr w:type="spellEnd"/>
      <w:r w:rsidRPr="0025355E">
        <w:rPr>
          <w:rFonts w:ascii="Arial Narrow" w:hAnsi="Arial Narrow" w:cs="Arial"/>
          <w:sz w:val="22"/>
          <w:szCs w:val="22"/>
          <w:lang w:val="en-US"/>
        </w:rPr>
        <w:t xml:space="preserve">, L. (2018). Revisiting conceptual stormwater quality models by reconstructing virtual state variables. </w:t>
      </w:r>
      <w:r w:rsidRPr="0025355E">
        <w:rPr>
          <w:rFonts w:ascii="Arial Narrow" w:hAnsi="Arial Narrow" w:cs="Arial"/>
          <w:i/>
          <w:iCs/>
          <w:sz w:val="22"/>
          <w:szCs w:val="22"/>
          <w:lang w:val="en-US"/>
        </w:rPr>
        <w:t>Water Science and Technology, 78</w:t>
      </w:r>
      <w:r w:rsidRPr="0025355E">
        <w:rPr>
          <w:rFonts w:ascii="Arial Narrow" w:hAnsi="Arial Narrow" w:cs="Arial"/>
          <w:sz w:val="22"/>
          <w:szCs w:val="22"/>
          <w:lang w:val="en-US"/>
        </w:rPr>
        <w:t xml:space="preserve">(3), 655–663. </w:t>
      </w:r>
      <w:hyperlink r:id="rId12" w:tgtFrame="_new" w:history="1">
        <w:r w:rsidRPr="0025355E">
          <w:rPr>
            <w:rStyle w:val="Lienhypertexte"/>
            <w:rFonts w:ascii="Arial Narrow" w:hAnsi="Arial Narrow" w:cs="Arial"/>
            <w:sz w:val="22"/>
            <w:szCs w:val="22"/>
            <w:lang w:val="en-US"/>
          </w:rPr>
          <w:t>https://doi.org/10.2166/wst.2018.337</w:t>
        </w:r>
      </w:hyperlink>
    </w:p>
    <w:p w14:paraId="0BCC4619" w14:textId="569C5505"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 xml:space="preserve">Sandoval, S., Bertrand-Krajewski, J.-L. (2019). From marginal to conditional probability functions of parameters in a conceptual rainfall–runoff model: An event-based approach. </w:t>
      </w:r>
      <w:r w:rsidRPr="0025355E">
        <w:rPr>
          <w:rFonts w:ascii="Arial Narrow" w:hAnsi="Arial Narrow" w:cs="Arial"/>
          <w:i/>
          <w:iCs/>
          <w:sz w:val="22"/>
          <w:szCs w:val="22"/>
          <w:lang w:val="en-US"/>
        </w:rPr>
        <w:t>Hydrological Sciences Journal, 64</w:t>
      </w:r>
      <w:r w:rsidRPr="0025355E">
        <w:rPr>
          <w:rFonts w:ascii="Arial Narrow" w:hAnsi="Arial Narrow" w:cs="Arial"/>
          <w:sz w:val="22"/>
          <w:szCs w:val="22"/>
          <w:lang w:val="en-US"/>
        </w:rPr>
        <w:t xml:space="preserve">(11), 1340–1350. </w:t>
      </w:r>
      <w:hyperlink r:id="rId13" w:tgtFrame="_new" w:history="1">
        <w:r w:rsidRPr="0025355E">
          <w:rPr>
            <w:rStyle w:val="Lienhypertexte"/>
            <w:rFonts w:ascii="Arial Narrow" w:hAnsi="Arial Narrow" w:cs="Arial"/>
            <w:sz w:val="22"/>
            <w:szCs w:val="22"/>
            <w:lang w:val="en-US"/>
          </w:rPr>
          <w:t>https://doi.org/10.1080/02626667.2019.1635696</w:t>
        </w:r>
      </w:hyperlink>
    </w:p>
    <w:p w14:paraId="36A9DE76" w14:textId="467686CB"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lastRenderedPageBreak/>
        <w:t>*</w:t>
      </w:r>
      <w:r w:rsidRPr="0025355E">
        <w:rPr>
          <w:rFonts w:ascii="Arial Narrow" w:hAnsi="Arial Narrow" w:cs="Arial"/>
          <w:sz w:val="22"/>
          <w:szCs w:val="22"/>
          <w:lang w:val="en-US"/>
        </w:rPr>
        <w:t xml:space="preserve">Sandoval, S., Filippi, R., Houssin, E., </w:t>
      </w:r>
      <w:proofErr w:type="spellStart"/>
      <w:r w:rsidRPr="0025355E">
        <w:rPr>
          <w:rFonts w:ascii="Arial Narrow" w:hAnsi="Arial Narrow" w:cs="Arial"/>
          <w:sz w:val="22"/>
          <w:szCs w:val="22"/>
          <w:lang w:val="en-US"/>
        </w:rPr>
        <w:t>Beauvisage</w:t>
      </w:r>
      <w:proofErr w:type="spellEnd"/>
      <w:r w:rsidRPr="0025355E">
        <w:rPr>
          <w:rFonts w:ascii="Arial Narrow" w:hAnsi="Arial Narrow" w:cs="Arial"/>
          <w:sz w:val="22"/>
          <w:szCs w:val="22"/>
          <w:lang w:val="en-US"/>
        </w:rPr>
        <w:t xml:space="preserve">, L., Bournique, R., &amp; Bertrand-Krajewski, J.-L. (2019). A simulation tool for comparing the hydrological performance of various associated stormwater source-control techniques at the scale of buildings and blocks. In </w:t>
      </w:r>
      <w:r w:rsidRPr="0025355E">
        <w:rPr>
          <w:rFonts w:ascii="Arial Narrow" w:hAnsi="Arial Narrow" w:cs="Arial"/>
          <w:i/>
          <w:iCs/>
          <w:sz w:val="22"/>
          <w:szCs w:val="22"/>
          <w:lang w:val="en-US"/>
        </w:rPr>
        <w:t xml:space="preserve">Proceedings of </w:t>
      </w:r>
      <w:proofErr w:type="spellStart"/>
      <w:r w:rsidRPr="0025355E">
        <w:rPr>
          <w:rFonts w:ascii="Arial Narrow" w:hAnsi="Arial Narrow" w:cs="Arial"/>
          <w:i/>
          <w:iCs/>
          <w:sz w:val="22"/>
          <w:szCs w:val="22"/>
          <w:lang w:val="en-US"/>
        </w:rPr>
        <w:t>Novatech</w:t>
      </w:r>
      <w:proofErr w:type="spellEnd"/>
      <w:r w:rsidRPr="0025355E">
        <w:rPr>
          <w:rFonts w:ascii="Arial Narrow" w:hAnsi="Arial Narrow" w:cs="Arial"/>
          <w:i/>
          <w:iCs/>
          <w:sz w:val="22"/>
          <w:szCs w:val="22"/>
          <w:lang w:val="en-US"/>
        </w:rPr>
        <w:t xml:space="preserve"> 2019</w:t>
      </w:r>
      <w:r w:rsidRPr="0025355E">
        <w:rPr>
          <w:rFonts w:ascii="Arial Narrow" w:hAnsi="Arial Narrow" w:cs="Arial"/>
          <w:sz w:val="22"/>
          <w:szCs w:val="22"/>
          <w:lang w:val="en-US"/>
        </w:rPr>
        <w:t xml:space="preserve"> (Lyon, France, July 1–5).</w:t>
      </w:r>
    </w:p>
    <w:p w14:paraId="2DC830E6" w14:textId="4C1DFBC0"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 xml:space="preserve">Sandoval, S., Torres, A., Pawlowsky-Reusing, E., Riechel, M., &amp; </w:t>
      </w:r>
      <w:proofErr w:type="spellStart"/>
      <w:r w:rsidRPr="0025355E">
        <w:rPr>
          <w:rFonts w:ascii="Arial Narrow" w:hAnsi="Arial Narrow" w:cs="Arial"/>
          <w:sz w:val="22"/>
          <w:szCs w:val="22"/>
          <w:lang w:val="en-US"/>
        </w:rPr>
        <w:t>Caradot</w:t>
      </w:r>
      <w:proofErr w:type="spellEnd"/>
      <w:r w:rsidRPr="0025355E">
        <w:rPr>
          <w:rFonts w:ascii="Arial Narrow" w:hAnsi="Arial Narrow" w:cs="Arial"/>
          <w:sz w:val="22"/>
          <w:szCs w:val="22"/>
          <w:lang w:val="en-US"/>
        </w:rPr>
        <w:t xml:space="preserve">, N. (2013). The evaluation of rainfall influence on CSO characteristics: The Berlin case study. </w:t>
      </w:r>
      <w:r w:rsidRPr="0025355E">
        <w:rPr>
          <w:rFonts w:ascii="Arial Narrow" w:hAnsi="Arial Narrow" w:cs="Arial"/>
          <w:i/>
          <w:iCs/>
          <w:sz w:val="22"/>
          <w:szCs w:val="22"/>
          <w:lang w:val="en-US"/>
        </w:rPr>
        <w:t>Water Science and Technology, 68</w:t>
      </w:r>
      <w:r w:rsidRPr="0025355E">
        <w:rPr>
          <w:rFonts w:ascii="Arial Narrow" w:hAnsi="Arial Narrow" w:cs="Arial"/>
          <w:sz w:val="22"/>
          <w:szCs w:val="22"/>
          <w:lang w:val="en-US"/>
        </w:rPr>
        <w:t xml:space="preserve">(12), 2683–2690. </w:t>
      </w:r>
      <w:hyperlink r:id="rId14" w:tgtFrame="_new" w:history="1">
        <w:r w:rsidRPr="0025355E">
          <w:rPr>
            <w:rStyle w:val="Lienhypertexte"/>
            <w:rFonts w:ascii="Arial Narrow" w:hAnsi="Arial Narrow" w:cs="Arial"/>
            <w:sz w:val="22"/>
            <w:szCs w:val="22"/>
            <w:lang w:val="en-US"/>
          </w:rPr>
          <w:t>https://doi.org/10.2166/wst.2013.524</w:t>
        </w:r>
      </w:hyperlink>
    </w:p>
    <w:p w14:paraId="7408BB9F" w14:textId="77777777" w:rsidR="0025355E" w:rsidRDefault="0025355E" w:rsidP="0025355E">
      <w:pPr>
        <w:spacing w:line="276" w:lineRule="auto"/>
        <w:jc w:val="both"/>
        <w:rPr>
          <w:rFonts w:ascii="Arial Narrow" w:hAnsi="Arial Narrow" w:cs="Arial"/>
          <w:sz w:val="22"/>
          <w:szCs w:val="22"/>
          <w:lang w:val="en-US"/>
        </w:rPr>
      </w:pPr>
      <w:proofErr w:type="spellStart"/>
      <w:r w:rsidRPr="0025355E">
        <w:rPr>
          <w:rFonts w:ascii="Arial Narrow" w:hAnsi="Arial Narrow" w:cs="Arial"/>
          <w:sz w:val="22"/>
          <w:szCs w:val="22"/>
          <w:lang w:val="en-US"/>
        </w:rPr>
        <w:t>Taheriyoun</w:t>
      </w:r>
      <w:proofErr w:type="spellEnd"/>
      <w:r w:rsidRPr="0025355E">
        <w:rPr>
          <w:rFonts w:ascii="Arial Narrow" w:hAnsi="Arial Narrow" w:cs="Arial"/>
          <w:sz w:val="22"/>
          <w:szCs w:val="22"/>
          <w:lang w:val="en-US"/>
        </w:rPr>
        <w:t>, M., Fallahi, A., Nazari-</w:t>
      </w:r>
      <w:proofErr w:type="spellStart"/>
      <w:r w:rsidRPr="0025355E">
        <w:rPr>
          <w:rFonts w:ascii="Arial Narrow" w:hAnsi="Arial Narrow" w:cs="Arial"/>
          <w:sz w:val="22"/>
          <w:szCs w:val="22"/>
          <w:lang w:val="en-US"/>
        </w:rPr>
        <w:t>Sharabian</w:t>
      </w:r>
      <w:proofErr w:type="spellEnd"/>
      <w:r w:rsidRPr="0025355E">
        <w:rPr>
          <w:rFonts w:ascii="Arial Narrow" w:hAnsi="Arial Narrow" w:cs="Arial"/>
          <w:sz w:val="22"/>
          <w:szCs w:val="22"/>
          <w:lang w:val="en-US"/>
        </w:rPr>
        <w:t xml:space="preserve">, M., &amp; Fallahi, S. (2023). Optimization of best management practices to control runoff water quality in an urban watershed using a novel framework of embedding-response surface model. </w:t>
      </w:r>
      <w:r w:rsidRPr="0025355E">
        <w:rPr>
          <w:rFonts w:ascii="Arial Narrow" w:hAnsi="Arial Narrow" w:cs="Arial"/>
          <w:i/>
          <w:iCs/>
          <w:sz w:val="22"/>
          <w:szCs w:val="22"/>
          <w:lang w:val="en-US"/>
        </w:rPr>
        <w:t>Journal of Hydro-environment Research, 46</w:t>
      </w:r>
      <w:r w:rsidRPr="0025355E">
        <w:rPr>
          <w:rFonts w:ascii="Arial Narrow" w:hAnsi="Arial Narrow" w:cs="Arial"/>
          <w:sz w:val="22"/>
          <w:szCs w:val="22"/>
          <w:lang w:val="en-US"/>
        </w:rPr>
        <w:t>, 19–30.</w:t>
      </w:r>
    </w:p>
    <w:p w14:paraId="334B1CFF" w14:textId="03ADBF12" w:rsidR="001F7355" w:rsidRDefault="001F7355" w:rsidP="0025355E">
      <w:pPr>
        <w:spacing w:line="276" w:lineRule="auto"/>
        <w:jc w:val="both"/>
        <w:rPr>
          <w:rFonts w:ascii="Arial Narrow" w:hAnsi="Arial Narrow" w:cs="Arial"/>
          <w:sz w:val="22"/>
          <w:szCs w:val="22"/>
          <w:lang w:val="en-US"/>
        </w:rPr>
      </w:pPr>
      <w:r w:rsidRPr="001F7355">
        <w:rPr>
          <w:rFonts w:ascii="Arial Narrow" w:hAnsi="Arial Narrow" w:cs="Arial"/>
          <w:sz w:val="22"/>
          <w:szCs w:val="22"/>
          <w:lang w:val="en-US"/>
        </w:rPr>
        <w:t xml:space="preserve">Teku, D. (2025). </w:t>
      </w:r>
      <w:r w:rsidRPr="001F7355">
        <w:rPr>
          <w:rFonts w:ascii="Arial Narrow" w:hAnsi="Arial Narrow" w:cs="Arial"/>
          <w:i/>
          <w:iCs/>
          <w:sz w:val="22"/>
          <w:szCs w:val="22"/>
          <w:lang w:val="en-US"/>
        </w:rPr>
        <w:t>Navigating climate uncertainty: A comprehensive review of climatic variabilities and extreme events on environmental, socio-economic, and livelihood dimensions in Ethiopia with adaptation strategies</w:t>
      </w:r>
      <w:r w:rsidRPr="001F7355">
        <w:rPr>
          <w:rFonts w:ascii="Arial Narrow" w:hAnsi="Arial Narrow" w:cs="Arial"/>
          <w:sz w:val="22"/>
          <w:szCs w:val="22"/>
          <w:lang w:val="en-US"/>
        </w:rPr>
        <w:t xml:space="preserve">. </w:t>
      </w:r>
      <w:r w:rsidRPr="001F7355">
        <w:rPr>
          <w:rFonts w:ascii="Arial Narrow" w:hAnsi="Arial Narrow" w:cs="Arial"/>
          <w:i/>
          <w:iCs/>
          <w:sz w:val="22"/>
          <w:szCs w:val="22"/>
          <w:lang w:val="en-US"/>
        </w:rPr>
        <w:t>All Earth, 37</w:t>
      </w:r>
      <w:r w:rsidRPr="001F7355">
        <w:rPr>
          <w:rFonts w:ascii="Arial Narrow" w:hAnsi="Arial Narrow" w:cs="Arial"/>
          <w:sz w:val="22"/>
          <w:szCs w:val="22"/>
          <w:lang w:val="en-US"/>
        </w:rPr>
        <w:t xml:space="preserve">(1), 1–30. </w:t>
      </w:r>
      <w:hyperlink r:id="rId15" w:history="1">
        <w:r w:rsidRPr="00992981">
          <w:rPr>
            <w:rStyle w:val="Lienhypertexte"/>
            <w:rFonts w:ascii="Arial Narrow" w:hAnsi="Arial Narrow" w:cs="Arial"/>
            <w:sz w:val="22"/>
            <w:szCs w:val="22"/>
            <w:lang w:val="en-US"/>
          </w:rPr>
          <w:t>https://doi.org/10.1080/27669645.2025.2514418</w:t>
        </w:r>
      </w:hyperlink>
    </w:p>
    <w:p w14:paraId="0E12BB53" w14:textId="7E76EC10"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Thyer, M., Renard, B., </w:t>
      </w:r>
      <w:proofErr w:type="spellStart"/>
      <w:r w:rsidRPr="0025355E">
        <w:rPr>
          <w:rFonts w:ascii="Arial Narrow" w:hAnsi="Arial Narrow" w:cs="Arial"/>
          <w:sz w:val="22"/>
          <w:szCs w:val="22"/>
          <w:lang w:val="en-US"/>
        </w:rPr>
        <w:t>Kavetski</w:t>
      </w:r>
      <w:proofErr w:type="spellEnd"/>
      <w:r w:rsidRPr="0025355E">
        <w:rPr>
          <w:rFonts w:ascii="Arial Narrow" w:hAnsi="Arial Narrow" w:cs="Arial"/>
          <w:sz w:val="22"/>
          <w:szCs w:val="22"/>
          <w:lang w:val="en-US"/>
        </w:rPr>
        <w:t xml:space="preserve">, D., Kuczera, G., Franks, S. W., &amp; Srikanthan, S. (2009). Critical evaluation of parameter consistency and predictive uncertainty in hydrological modeling: A case study using Bayesian total error analysis. </w:t>
      </w:r>
      <w:r w:rsidRPr="0025355E">
        <w:rPr>
          <w:rFonts w:ascii="Arial Narrow" w:hAnsi="Arial Narrow" w:cs="Arial"/>
          <w:i/>
          <w:iCs/>
          <w:sz w:val="22"/>
          <w:szCs w:val="22"/>
          <w:lang w:val="en-US"/>
        </w:rPr>
        <w:t>Water Resources Research, 45</w:t>
      </w:r>
      <w:r w:rsidRPr="0025355E">
        <w:rPr>
          <w:rFonts w:ascii="Arial Narrow" w:hAnsi="Arial Narrow" w:cs="Arial"/>
          <w:sz w:val="22"/>
          <w:szCs w:val="22"/>
          <w:lang w:val="en-US"/>
        </w:rPr>
        <w:t>, W00B14.</w:t>
      </w:r>
    </w:p>
    <w:p w14:paraId="7FA91CAA" w14:textId="5F694BD1" w:rsidR="0025355E" w:rsidRPr="0025355E" w:rsidRDefault="0025355E" w:rsidP="0025355E">
      <w:pPr>
        <w:spacing w:line="276" w:lineRule="auto"/>
        <w:jc w:val="both"/>
        <w:rPr>
          <w:rFonts w:ascii="Arial Narrow" w:hAnsi="Arial Narrow" w:cs="Arial"/>
          <w:sz w:val="22"/>
          <w:szCs w:val="22"/>
          <w:lang w:val="en-US"/>
        </w:rPr>
      </w:pPr>
      <w:r>
        <w:rPr>
          <w:rFonts w:ascii="Arial Narrow" w:hAnsi="Arial Narrow" w:cs="Arial"/>
          <w:sz w:val="22"/>
          <w:szCs w:val="22"/>
          <w:lang w:val="en-US"/>
        </w:rPr>
        <w:t>*</w:t>
      </w:r>
      <w:r w:rsidRPr="0025355E">
        <w:rPr>
          <w:rFonts w:ascii="Arial Narrow" w:hAnsi="Arial Narrow" w:cs="Arial"/>
          <w:sz w:val="22"/>
          <w:szCs w:val="22"/>
          <w:lang w:val="en-US"/>
        </w:rPr>
        <w:t>Urbis. (</w:t>
      </w:r>
      <w:r w:rsidR="008B4010">
        <w:rPr>
          <w:rFonts w:ascii="Arial Narrow" w:hAnsi="Arial Narrow" w:cs="Arial"/>
          <w:sz w:val="22"/>
          <w:szCs w:val="22"/>
          <w:lang w:val="en-US"/>
        </w:rPr>
        <w:t>2024</w:t>
      </w:r>
      <w:r w:rsidRPr="0025355E">
        <w:rPr>
          <w:rFonts w:ascii="Arial Narrow" w:hAnsi="Arial Narrow" w:cs="Arial"/>
          <w:sz w:val="22"/>
          <w:szCs w:val="22"/>
          <w:lang w:val="en-US"/>
        </w:rPr>
        <w:t xml:space="preserve">). </w:t>
      </w:r>
      <w:r w:rsidRPr="0025355E">
        <w:rPr>
          <w:rFonts w:ascii="Arial Narrow" w:hAnsi="Arial Narrow" w:cs="Arial"/>
          <w:i/>
          <w:iCs/>
          <w:sz w:val="22"/>
          <w:szCs w:val="22"/>
          <w:lang w:val="en-US"/>
        </w:rPr>
        <w:t>Urbis</w:t>
      </w:r>
      <w:r w:rsidRPr="0025355E">
        <w:rPr>
          <w:rFonts w:ascii="Arial Narrow" w:hAnsi="Arial Narrow" w:cs="Arial"/>
          <w:sz w:val="22"/>
          <w:szCs w:val="22"/>
          <w:lang w:val="en-US"/>
        </w:rPr>
        <w:t xml:space="preserve">. Deep (INSA Lyon). Retrieved February 11, 2026, from </w:t>
      </w:r>
      <w:hyperlink r:id="rId16" w:tgtFrame="_new" w:history="1">
        <w:r w:rsidRPr="0025355E">
          <w:rPr>
            <w:rStyle w:val="Lienhypertexte"/>
            <w:rFonts w:ascii="Arial Narrow" w:hAnsi="Arial Narrow" w:cs="Arial"/>
            <w:sz w:val="22"/>
            <w:szCs w:val="22"/>
            <w:lang w:val="en-US"/>
          </w:rPr>
          <w:t>https://deep.insa-lyon.fr/fr/page/urbis</w:t>
        </w:r>
      </w:hyperlink>
    </w:p>
    <w:p w14:paraId="15BDAAD5" w14:textId="77777777" w:rsidR="0025355E" w:rsidRPr="0025355E" w:rsidRDefault="0025355E" w:rsidP="0025355E">
      <w:pPr>
        <w:spacing w:line="276" w:lineRule="auto"/>
        <w:jc w:val="both"/>
        <w:rPr>
          <w:rFonts w:ascii="Arial Narrow" w:hAnsi="Arial Narrow" w:cs="Arial"/>
          <w:sz w:val="22"/>
          <w:szCs w:val="22"/>
          <w:lang w:val="en-US"/>
        </w:rPr>
      </w:pPr>
      <w:proofErr w:type="spellStart"/>
      <w:r w:rsidRPr="0025355E">
        <w:rPr>
          <w:rFonts w:ascii="Arial Narrow" w:hAnsi="Arial Narrow" w:cs="Arial"/>
          <w:sz w:val="22"/>
          <w:szCs w:val="22"/>
          <w:lang w:val="en-US"/>
        </w:rPr>
        <w:t>Vrugt</w:t>
      </w:r>
      <w:proofErr w:type="spellEnd"/>
      <w:r w:rsidRPr="0025355E">
        <w:rPr>
          <w:rFonts w:ascii="Arial Narrow" w:hAnsi="Arial Narrow" w:cs="Arial"/>
          <w:sz w:val="22"/>
          <w:szCs w:val="22"/>
          <w:lang w:val="en-US"/>
        </w:rPr>
        <w:t xml:space="preserve">, J. A., &amp; Beven, K. J. (2018). Embracing equifinality with efficiency: Limits of acceptability sampling using the DREAM (LOA) algorithm. </w:t>
      </w:r>
      <w:r w:rsidRPr="0025355E">
        <w:rPr>
          <w:rFonts w:ascii="Arial Narrow" w:hAnsi="Arial Narrow" w:cs="Arial"/>
          <w:i/>
          <w:iCs/>
          <w:sz w:val="22"/>
          <w:szCs w:val="22"/>
          <w:lang w:val="en-US"/>
        </w:rPr>
        <w:t>Journal of Hydrology, 559</w:t>
      </w:r>
      <w:r w:rsidRPr="0025355E">
        <w:rPr>
          <w:rFonts w:ascii="Arial Narrow" w:hAnsi="Arial Narrow" w:cs="Arial"/>
          <w:sz w:val="22"/>
          <w:szCs w:val="22"/>
          <w:lang w:val="en-US"/>
        </w:rPr>
        <w:t>, 954–971.</w:t>
      </w:r>
    </w:p>
    <w:p w14:paraId="284F77A2" w14:textId="77777777" w:rsidR="0025355E" w:rsidRPr="0025355E" w:rsidRDefault="0025355E" w:rsidP="0025355E">
      <w:pPr>
        <w:spacing w:line="276" w:lineRule="auto"/>
        <w:jc w:val="both"/>
        <w:rPr>
          <w:rFonts w:ascii="Arial Narrow" w:hAnsi="Arial Narrow" w:cs="Arial"/>
          <w:sz w:val="22"/>
          <w:szCs w:val="22"/>
          <w:lang w:val="en-US"/>
        </w:rPr>
      </w:pPr>
      <w:r w:rsidRPr="0025355E">
        <w:rPr>
          <w:rFonts w:ascii="Arial Narrow" w:hAnsi="Arial Narrow" w:cs="Arial"/>
          <w:sz w:val="22"/>
          <w:szCs w:val="22"/>
          <w:lang w:val="en-US"/>
        </w:rPr>
        <w:t xml:space="preserve">Wang, M., Sweetapple, C., Fu, G., Farmani, R., &amp; Butler, D. (2017). A framework to support decision-making in the selection of sustainable drainage system design alternatives. </w:t>
      </w:r>
      <w:r w:rsidRPr="0025355E">
        <w:rPr>
          <w:rFonts w:ascii="Arial Narrow" w:hAnsi="Arial Narrow" w:cs="Arial"/>
          <w:i/>
          <w:iCs/>
          <w:sz w:val="22"/>
          <w:szCs w:val="22"/>
          <w:lang w:val="en-US"/>
        </w:rPr>
        <w:t>Journal of Environmental Management, 201</w:t>
      </w:r>
      <w:r w:rsidRPr="0025355E">
        <w:rPr>
          <w:rFonts w:ascii="Arial Narrow" w:hAnsi="Arial Narrow" w:cs="Arial"/>
          <w:sz w:val="22"/>
          <w:szCs w:val="22"/>
          <w:lang w:val="en-US"/>
        </w:rPr>
        <w:t>, 145–152.</w:t>
      </w:r>
    </w:p>
    <w:p w14:paraId="0BAD5BEB" w14:textId="77777777" w:rsidR="0025355E" w:rsidRPr="0025355E" w:rsidRDefault="0025355E" w:rsidP="0025355E">
      <w:pPr>
        <w:spacing w:line="276" w:lineRule="auto"/>
        <w:jc w:val="both"/>
        <w:rPr>
          <w:rFonts w:ascii="Arial Narrow" w:hAnsi="Arial Narrow" w:cs="Arial"/>
          <w:sz w:val="22"/>
          <w:szCs w:val="22"/>
        </w:rPr>
      </w:pPr>
      <w:r w:rsidRPr="00726087">
        <w:rPr>
          <w:rFonts w:ascii="Arial Narrow" w:hAnsi="Arial Narrow" w:cs="Arial"/>
          <w:sz w:val="22"/>
          <w:szCs w:val="22"/>
        </w:rPr>
        <w:t xml:space="preserve">Yao, Y., Li, J., Li, N., &amp; Jiang, C. (2022). </w:t>
      </w:r>
      <w:r w:rsidRPr="0025355E">
        <w:rPr>
          <w:rFonts w:ascii="Arial Narrow" w:hAnsi="Arial Narrow" w:cs="Arial"/>
          <w:sz w:val="22"/>
          <w:szCs w:val="22"/>
          <w:lang w:val="en-US"/>
        </w:rPr>
        <w:t>Optimizing the layout of coupled grey-green stormwater infrastructure with multi-</w:t>
      </w:r>
      <w:proofErr w:type="gramStart"/>
      <w:r w:rsidRPr="0025355E">
        <w:rPr>
          <w:rFonts w:ascii="Arial Narrow" w:hAnsi="Arial Narrow" w:cs="Arial"/>
          <w:sz w:val="22"/>
          <w:szCs w:val="22"/>
          <w:lang w:val="en-US"/>
        </w:rPr>
        <w:t>objective oriented</w:t>
      </w:r>
      <w:proofErr w:type="gramEnd"/>
      <w:r w:rsidRPr="0025355E">
        <w:rPr>
          <w:rFonts w:ascii="Arial Narrow" w:hAnsi="Arial Narrow" w:cs="Arial"/>
          <w:sz w:val="22"/>
          <w:szCs w:val="22"/>
          <w:lang w:val="en-US"/>
        </w:rPr>
        <w:t xml:space="preserve"> decision making. </w:t>
      </w:r>
      <w:r w:rsidRPr="0025355E">
        <w:rPr>
          <w:rFonts w:ascii="Arial Narrow" w:hAnsi="Arial Narrow" w:cs="Arial"/>
          <w:i/>
          <w:iCs/>
          <w:sz w:val="22"/>
          <w:szCs w:val="22"/>
        </w:rPr>
        <w:t>Journal of Cleaner Production, 367</w:t>
      </w:r>
      <w:r w:rsidRPr="0025355E">
        <w:rPr>
          <w:rFonts w:ascii="Arial Narrow" w:hAnsi="Arial Narrow" w:cs="Arial"/>
          <w:sz w:val="22"/>
          <w:szCs w:val="22"/>
        </w:rPr>
        <w:t>, 133061.</w:t>
      </w:r>
    </w:p>
    <w:p w14:paraId="225E4459" w14:textId="77777777" w:rsidR="005D20E3" w:rsidRPr="005D20E3" w:rsidRDefault="005D20E3" w:rsidP="00CD0C34">
      <w:pPr>
        <w:spacing w:line="276" w:lineRule="auto"/>
        <w:jc w:val="both"/>
        <w:rPr>
          <w:rFonts w:ascii="Arial Narrow" w:hAnsi="Arial Narrow" w:cs="Arial"/>
          <w:sz w:val="22"/>
          <w:szCs w:val="22"/>
        </w:rPr>
      </w:pPr>
    </w:p>
    <w:sectPr w:rsidR="005D20E3" w:rsidRPr="005D20E3" w:rsidSect="00880299">
      <w:footerReference w:type="firs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68286" w14:textId="77777777" w:rsidR="00565CB1" w:rsidRDefault="00565CB1" w:rsidP="00600D58">
      <w:pPr>
        <w:spacing w:after="0" w:line="240" w:lineRule="auto"/>
      </w:pPr>
      <w:r>
        <w:separator/>
      </w:r>
    </w:p>
  </w:endnote>
  <w:endnote w:type="continuationSeparator" w:id="0">
    <w:p w14:paraId="7AF1EFE0" w14:textId="77777777" w:rsidR="00565CB1" w:rsidRDefault="00565CB1" w:rsidP="0060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B56BD" w14:textId="08DFE51F" w:rsidR="00880299" w:rsidRDefault="00880299">
    <w:pPr>
      <w:pStyle w:val="Pieddepage"/>
    </w:pPr>
    <w:r>
      <w:rPr>
        <w:rFonts w:ascii="Arial Narrow" w:hAnsi="Arial Narrow" w:cs="Arial"/>
        <w:sz w:val="22"/>
        <w:szCs w:val="22"/>
        <w:lang w:val="en-US"/>
      </w:rPr>
      <w:t>*Own contributions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97C0D" w14:textId="77777777" w:rsidR="00565CB1" w:rsidRDefault="00565CB1" w:rsidP="00600D58">
      <w:pPr>
        <w:spacing w:after="0" w:line="240" w:lineRule="auto"/>
      </w:pPr>
      <w:r>
        <w:separator/>
      </w:r>
    </w:p>
  </w:footnote>
  <w:footnote w:type="continuationSeparator" w:id="0">
    <w:p w14:paraId="189C14E1" w14:textId="77777777" w:rsidR="00565CB1" w:rsidRDefault="00565CB1" w:rsidP="00600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6E1"/>
    <w:multiLevelType w:val="multilevel"/>
    <w:tmpl w:val="ED047A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6923E5E"/>
    <w:multiLevelType w:val="multilevel"/>
    <w:tmpl w:val="BA9EAF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8B7156E"/>
    <w:multiLevelType w:val="multilevel"/>
    <w:tmpl w:val="C59447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5F57D97"/>
    <w:multiLevelType w:val="multilevel"/>
    <w:tmpl w:val="960E37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BCA37EF"/>
    <w:multiLevelType w:val="multilevel"/>
    <w:tmpl w:val="0F20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27730"/>
    <w:multiLevelType w:val="multilevel"/>
    <w:tmpl w:val="60562372"/>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35F6859"/>
    <w:multiLevelType w:val="multilevel"/>
    <w:tmpl w:val="DC625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AE33E3"/>
    <w:multiLevelType w:val="multilevel"/>
    <w:tmpl w:val="731A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61991"/>
    <w:multiLevelType w:val="multilevel"/>
    <w:tmpl w:val="F8EE4B5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AFB1E0A"/>
    <w:multiLevelType w:val="multilevel"/>
    <w:tmpl w:val="3406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7324AC"/>
    <w:multiLevelType w:val="multilevel"/>
    <w:tmpl w:val="328A62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68C05536"/>
    <w:multiLevelType w:val="multilevel"/>
    <w:tmpl w:val="713A317E"/>
    <w:lvl w:ilvl="0">
      <w:start w:val="1"/>
      <w:numFmt w:val="lowerRoman"/>
      <w:lvlText w:val="(%1)"/>
      <w:lvlJc w:val="left"/>
      <w:pPr>
        <w:tabs>
          <w:tab w:val="num" w:pos="360"/>
        </w:tabs>
        <w:ind w:left="360" w:hanging="360"/>
      </w:pPr>
      <w:rPr>
        <w:rFonts w:ascii="Arial" w:eastAsiaTheme="minorHAnsi" w:hAnsi="Arial" w:cs="Arial"/>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6B1A0E3D"/>
    <w:multiLevelType w:val="multilevel"/>
    <w:tmpl w:val="F0D6CF9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70694223"/>
    <w:multiLevelType w:val="multilevel"/>
    <w:tmpl w:val="0AC4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F477BC"/>
    <w:multiLevelType w:val="multilevel"/>
    <w:tmpl w:val="88409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8187419">
    <w:abstractNumId w:val="3"/>
  </w:num>
  <w:num w:numId="2" w16cid:durableId="855190491">
    <w:abstractNumId w:val="5"/>
  </w:num>
  <w:num w:numId="3" w16cid:durableId="1102069860">
    <w:abstractNumId w:val="14"/>
  </w:num>
  <w:num w:numId="4" w16cid:durableId="883522494">
    <w:abstractNumId w:val="12"/>
  </w:num>
  <w:num w:numId="5" w16cid:durableId="2103182090">
    <w:abstractNumId w:val="11"/>
  </w:num>
  <w:num w:numId="6" w16cid:durableId="1442989635">
    <w:abstractNumId w:val="2"/>
  </w:num>
  <w:num w:numId="7" w16cid:durableId="1697585111">
    <w:abstractNumId w:val="7"/>
  </w:num>
  <w:num w:numId="8" w16cid:durableId="1795363904">
    <w:abstractNumId w:val="10"/>
  </w:num>
  <w:num w:numId="9" w16cid:durableId="1169175200">
    <w:abstractNumId w:val="0"/>
  </w:num>
  <w:num w:numId="10" w16cid:durableId="233393557">
    <w:abstractNumId w:val="6"/>
  </w:num>
  <w:num w:numId="11" w16cid:durableId="1400402486">
    <w:abstractNumId w:val="1"/>
  </w:num>
  <w:num w:numId="12" w16cid:durableId="21056917">
    <w:abstractNumId w:val="8"/>
  </w:num>
  <w:num w:numId="13" w16cid:durableId="2090275152">
    <w:abstractNumId w:val="4"/>
  </w:num>
  <w:num w:numId="14" w16cid:durableId="1843162036">
    <w:abstractNumId w:val="9"/>
  </w:num>
  <w:num w:numId="15" w16cid:durableId="14665069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A95"/>
    <w:rsid w:val="0000357C"/>
    <w:rsid w:val="00010058"/>
    <w:rsid w:val="0001446B"/>
    <w:rsid w:val="00020D95"/>
    <w:rsid w:val="00031879"/>
    <w:rsid w:val="000365D1"/>
    <w:rsid w:val="00050B57"/>
    <w:rsid w:val="00053A95"/>
    <w:rsid w:val="00054608"/>
    <w:rsid w:val="00067558"/>
    <w:rsid w:val="000800B2"/>
    <w:rsid w:val="00084D9F"/>
    <w:rsid w:val="000A5214"/>
    <w:rsid w:val="000B1E66"/>
    <w:rsid w:val="000C7672"/>
    <w:rsid w:val="000D0A29"/>
    <w:rsid w:val="00104726"/>
    <w:rsid w:val="00107E48"/>
    <w:rsid w:val="00111B3A"/>
    <w:rsid w:val="0013055A"/>
    <w:rsid w:val="00132F37"/>
    <w:rsid w:val="001528F8"/>
    <w:rsid w:val="001538D6"/>
    <w:rsid w:val="001539DD"/>
    <w:rsid w:val="00162E42"/>
    <w:rsid w:val="001653F3"/>
    <w:rsid w:val="0016626A"/>
    <w:rsid w:val="001669C6"/>
    <w:rsid w:val="00167FD9"/>
    <w:rsid w:val="001776A3"/>
    <w:rsid w:val="00185E6A"/>
    <w:rsid w:val="00191C9E"/>
    <w:rsid w:val="00194B90"/>
    <w:rsid w:val="001A0AE8"/>
    <w:rsid w:val="001A6808"/>
    <w:rsid w:val="001B1955"/>
    <w:rsid w:val="001B5377"/>
    <w:rsid w:val="001C33BC"/>
    <w:rsid w:val="001D2394"/>
    <w:rsid w:val="001D45B6"/>
    <w:rsid w:val="001D64F7"/>
    <w:rsid w:val="001D7AD3"/>
    <w:rsid w:val="001E165E"/>
    <w:rsid w:val="001E5643"/>
    <w:rsid w:val="001E5F1F"/>
    <w:rsid w:val="001E610A"/>
    <w:rsid w:val="001F21CE"/>
    <w:rsid w:val="001F360B"/>
    <w:rsid w:val="001F65F7"/>
    <w:rsid w:val="001F7355"/>
    <w:rsid w:val="00217CA8"/>
    <w:rsid w:val="0022453F"/>
    <w:rsid w:val="002275CE"/>
    <w:rsid w:val="00242792"/>
    <w:rsid w:val="00250ADC"/>
    <w:rsid w:val="0025230D"/>
    <w:rsid w:val="0025355E"/>
    <w:rsid w:val="002537B7"/>
    <w:rsid w:val="00263D03"/>
    <w:rsid w:val="00264FB7"/>
    <w:rsid w:val="00272BF8"/>
    <w:rsid w:val="00276083"/>
    <w:rsid w:val="002865BB"/>
    <w:rsid w:val="0028737D"/>
    <w:rsid w:val="00293B59"/>
    <w:rsid w:val="002A1DE4"/>
    <w:rsid w:val="002A3EF5"/>
    <w:rsid w:val="002B75B5"/>
    <w:rsid w:val="002C2FA2"/>
    <w:rsid w:val="002C6151"/>
    <w:rsid w:val="002D4A92"/>
    <w:rsid w:val="002F13F5"/>
    <w:rsid w:val="00316F59"/>
    <w:rsid w:val="00323DCB"/>
    <w:rsid w:val="00332CE7"/>
    <w:rsid w:val="0033618E"/>
    <w:rsid w:val="00337110"/>
    <w:rsid w:val="00341211"/>
    <w:rsid w:val="00344478"/>
    <w:rsid w:val="00344885"/>
    <w:rsid w:val="0034587C"/>
    <w:rsid w:val="00353FC6"/>
    <w:rsid w:val="003721DF"/>
    <w:rsid w:val="00380A1E"/>
    <w:rsid w:val="00394475"/>
    <w:rsid w:val="003A1085"/>
    <w:rsid w:val="003A16AB"/>
    <w:rsid w:val="003A2714"/>
    <w:rsid w:val="003C16CF"/>
    <w:rsid w:val="003C77FF"/>
    <w:rsid w:val="003D6EC8"/>
    <w:rsid w:val="003D7655"/>
    <w:rsid w:val="003E496F"/>
    <w:rsid w:val="003E59EE"/>
    <w:rsid w:val="003E7AEF"/>
    <w:rsid w:val="003F2AF0"/>
    <w:rsid w:val="004102D0"/>
    <w:rsid w:val="00417D07"/>
    <w:rsid w:val="004209FC"/>
    <w:rsid w:val="00422C57"/>
    <w:rsid w:val="004258CE"/>
    <w:rsid w:val="0043394D"/>
    <w:rsid w:val="00436F4F"/>
    <w:rsid w:val="00445D27"/>
    <w:rsid w:val="00451748"/>
    <w:rsid w:val="00457560"/>
    <w:rsid w:val="00461B74"/>
    <w:rsid w:val="004644B5"/>
    <w:rsid w:val="00466602"/>
    <w:rsid w:val="0046689C"/>
    <w:rsid w:val="00480038"/>
    <w:rsid w:val="00482774"/>
    <w:rsid w:val="00483B69"/>
    <w:rsid w:val="00497248"/>
    <w:rsid w:val="00497AE5"/>
    <w:rsid w:val="004A6099"/>
    <w:rsid w:val="004A7EBF"/>
    <w:rsid w:val="004B231B"/>
    <w:rsid w:val="004B2997"/>
    <w:rsid w:val="004B657F"/>
    <w:rsid w:val="004D66B6"/>
    <w:rsid w:val="004E08EF"/>
    <w:rsid w:val="004F1460"/>
    <w:rsid w:val="004F5256"/>
    <w:rsid w:val="00500523"/>
    <w:rsid w:val="00500C5A"/>
    <w:rsid w:val="00501853"/>
    <w:rsid w:val="005048E9"/>
    <w:rsid w:val="00513152"/>
    <w:rsid w:val="00532191"/>
    <w:rsid w:val="00535803"/>
    <w:rsid w:val="00545CB7"/>
    <w:rsid w:val="005526A8"/>
    <w:rsid w:val="00555B3C"/>
    <w:rsid w:val="00557462"/>
    <w:rsid w:val="00565CB1"/>
    <w:rsid w:val="00573720"/>
    <w:rsid w:val="00576D38"/>
    <w:rsid w:val="00594361"/>
    <w:rsid w:val="005A3099"/>
    <w:rsid w:val="005A30DF"/>
    <w:rsid w:val="005A3889"/>
    <w:rsid w:val="005B0B2A"/>
    <w:rsid w:val="005D20E3"/>
    <w:rsid w:val="005F4B9A"/>
    <w:rsid w:val="005F5895"/>
    <w:rsid w:val="005F6B20"/>
    <w:rsid w:val="00600D58"/>
    <w:rsid w:val="00604349"/>
    <w:rsid w:val="00606E05"/>
    <w:rsid w:val="006107ED"/>
    <w:rsid w:val="00611182"/>
    <w:rsid w:val="0062647E"/>
    <w:rsid w:val="0062772D"/>
    <w:rsid w:val="0062778B"/>
    <w:rsid w:val="006313C3"/>
    <w:rsid w:val="00665CDC"/>
    <w:rsid w:val="006723A2"/>
    <w:rsid w:val="006745E7"/>
    <w:rsid w:val="00676B8A"/>
    <w:rsid w:val="00680082"/>
    <w:rsid w:val="006865E8"/>
    <w:rsid w:val="00691F12"/>
    <w:rsid w:val="00693F05"/>
    <w:rsid w:val="00694CD9"/>
    <w:rsid w:val="006A3228"/>
    <w:rsid w:val="006A39A4"/>
    <w:rsid w:val="006A6F82"/>
    <w:rsid w:val="006B4A2E"/>
    <w:rsid w:val="006B6794"/>
    <w:rsid w:val="006D7D62"/>
    <w:rsid w:val="006E20EB"/>
    <w:rsid w:val="00725A67"/>
    <w:rsid w:val="00726087"/>
    <w:rsid w:val="00726C1F"/>
    <w:rsid w:val="00730F70"/>
    <w:rsid w:val="00734880"/>
    <w:rsid w:val="00740FCC"/>
    <w:rsid w:val="00742652"/>
    <w:rsid w:val="00752DA7"/>
    <w:rsid w:val="007568C1"/>
    <w:rsid w:val="007664DC"/>
    <w:rsid w:val="007705A6"/>
    <w:rsid w:val="00775FC3"/>
    <w:rsid w:val="007805DC"/>
    <w:rsid w:val="00784BA4"/>
    <w:rsid w:val="007A4FEB"/>
    <w:rsid w:val="007A6CEA"/>
    <w:rsid w:val="007B234B"/>
    <w:rsid w:val="007C76A7"/>
    <w:rsid w:val="007D7C63"/>
    <w:rsid w:val="007E0890"/>
    <w:rsid w:val="007E477E"/>
    <w:rsid w:val="007E503D"/>
    <w:rsid w:val="007E6727"/>
    <w:rsid w:val="007E699D"/>
    <w:rsid w:val="007F24FE"/>
    <w:rsid w:val="007F7050"/>
    <w:rsid w:val="008026B1"/>
    <w:rsid w:val="00805DBE"/>
    <w:rsid w:val="0081749F"/>
    <w:rsid w:val="00817C9E"/>
    <w:rsid w:val="00822127"/>
    <w:rsid w:val="008538CA"/>
    <w:rsid w:val="00856998"/>
    <w:rsid w:val="00860736"/>
    <w:rsid w:val="008711E1"/>
    <w:rsid w:val="00880299"/>
    <w:rsid w:val="00883686"/>
    <w:rsid w:val="00895F6A"/>
    <w:rsid w:val="008B4010"/>
    <w:rsid w:val="008C1DF5"/>
    <w:rsid w:val="008C4028"/>
    <w:rsid w:val="008C6834"/>
    <w:rsid w:val="008D24EE"/>
    <w:rsid w:val="008D52CB"/>
    <w:rsid w:val="008D7600"/>
    <w:rsid w:val="008E03B8"/>
    <w:rsid w:val="008E2465"/>
    <w:rsid w:val="008E2E04"/>
    <w:rsid w:val="008F5A29"/>
    <w:rsid w:val="00903075"/>
    <w:rsid w:val="00904294"/>
    <w:rsid w:val="009076F6"/>
    <w:rsid w:val="0091070F"/>
    <w:rsid w:val="00923AD8"/>
    <w:rsid w:val="00930150"/>
    <w:rsid w:val="009321DF"/>
    <w:rsid w:val="00932425"/>
    <w:rsid w:val="00933FE9"/>
    <w:rsid w:val="00945A31"/>
    <w:rsid w:val="0095290D"/>
    <w:rsid w:val="00954E33"/>
    <w:rsid w:val="00957C7B"/>
    <w:rsid w:val="00965AD4"/>
    <w:rsid w:val="00976B83"/>
    <w:rsid w:val="009811AB"/>
    <w:rsid w:val="00993AF9"/>
    <w:rsid w:val="009A636C"/>
    <w:rsid w:val="009B7205"/>
    <w:rsid w:val="009C0E6D"/>
    <w:rsid w:val="009D48FC"/>
    <w:rsid w:val="009F1CFF"/>
    <w:rsid w:val="009F725C"/>
    <w:rsid w:val="00A05D31"/>
    <w:rsid w:val="00A06564"/>
    <w:rsid w:val="00A142B5"/>
    <w:rsid w:val="00A179BD"/>
    <w:rsid w:val="00A248FC"/>
    <w:rsid w:val="00A32A97"/>
    <w:rsid w:val="00A33234"/>
    <w:rsid w:val="00A60812"/>
    <w:rsid w:val="00A7086B"/>
    <w:rsid w:val="00A72928"/>
    <w:rsid w:val="00A77C68"/>
    <w:rsid w:val="00A804F1"/>
    <w:rsid w:val="00A81DE8"/>
    <w:rsid w:val="00A87353"/>
    <w:rsid w:val="00A950E2"/>
    <w:rsid w:val="00A971E7"/>
    <w:rsid w:val="00AA08E1"/>
    <w:rsid w:val="00AC5963"/>
    <w:rsid w:val="00AC6F93"/>
    <w:rsid w:val="00AC7CD2"/>
    <w:rsid w:val="00AD363E"/>
    <w:rsid w:val="00AD60AB"/>
    <w:rsid w:val="00AE2090"/>
    <w:rsid w:val="00AE5782"/>
    <w:rsid w:val="00AF08A6"/>
    <w:rsid w:val="00B11F8A"/>
    <w:rsid w:val="00B17F01"/>
    <w:rsid w:val="00B247DA"/>
    <w:rsid w:val="00B52590"/>
    <w:rsid w:val="00B52EEE"/>
    <w:rsid w:val="00B5767E"/>
    <w:rsid w:val="00B61215"/>
    <w:rsid w:val="00B61938"/>
    <w:rsid w:val="00B6214E"/>
    <w:rsid w:val="00B70AE9"/>
    <w:rsid w:val="00B70BCC"/>
    <w:rsid w:val="00B77401"/>
    <w:rsid w:val="00B805CE"/>
    <w:rsid w:val="00B81E7A"/>
    <w:rsid w:val="00B82081"/>
    <w:rsid w:val="00B838B6"/>
    <w:rsid w:val="00B858E0"/>
    <w:rsid w:val="00B90862"/>
    <w:rsid w:val="00B91D34"/>
    <w:rsid w:val="00B93433"/>
    <w:rsid w:val="00B95532"/>
    <w:rsid w:val="00B95A17"/>
    <w:rsid w:val="00BB3019"/>
    <w:rsid w:val="00BC535D"/>
    <w:rsid w:val="00BD391D"/>
    <w:rsid w:val="00BD71EB"/>
    <w:rsid w:val="00BE3E54"/>
    <w:rsid w:val="00BE676C"/>
    <w:rsid w:val="00C0702E"/>
    <w:rsid w:val="00C0723F"/>
    <w:rsid w:val="00C07904"/>
    <w:rsid w:val="00C13DD5"/>
    <w:rsid w:val="00C15BDF"/>
    <w:rsid w:val="00C16F3D"/>
    <w:rsid w:val="00C2422B"/>
    <w:rsid w:val="00C26443"/>
    <w:rsid w:val="00C313F2"/>
    <w:rsid w:val="00C4126A"/>
    <w:rsid w:val="00C52665"/>
    <w:rsid w:val="00C56A1E"/>
    <w:rsid w:val="00C60E77"/>
    <w:rsid w:val="00C7086B"/>
    <w:rsid w:val="00C71CA4"/>
    <w:rsid w:val="00C7667B"/>
    <w:rsid w:val="00C97450"/>
    <w:rsid w:val="00CA171B"/>
    <w:rsid w:val="00CB1A7A"/>
    <w:rsid w:val="00CB4118"/>
    <w:rsid w:val="00CC28C3"/>
    <w:rsid w:val="00CC4D84"/>
    <w:rsid w:val="00CD0C34"/>
    <w:rsid w:val="00CD61F2"/>
    <w:rsid w:val="00D068BB"/>
    <w:rsid w:val="00D11EB9"/>
    <w:rsid w:val="00D21A23"/>
    <w:rsid w:val="00D22CF2"/>
    <w:rsid w:val="00D2424C"/>
    <w:rsid w:val="00D27474"/>
    <w:rsid w:val="00D37C29"/>
    <w:rsid w:val="00D4108E"/>
    <w:rsid w:val="00D50B0F"/>
    <w:rsid w:val="00D50EDF"/>
    <w:rsid w:val="00D51680"/>
    <w:rsid w:val="00D55013"/>
    <w:rsid w:val="00D56206"/>
    <w:rsid w:val="00D603E4"/>
    <w:rsid w:val="00D60763"/>
    <w:rsid w:val="00D60C50"/>
    <w:rsid w:val="00D6305C"/>
    <w:rsid w:val="00D662B6"/>
    <w:rsid w:val="00D71BAF"/>
    <w:rsid w:val="00D8379C"/>
    <w:rsid w:val="00D96C2C"/>
    <w:rsid w:val="00DA58E6"/>
    <w:rsid w:val="00DB1482"/>
    <w:rsid w:val="00DB57FA"/>
    <w:rsid w:val="00DC15EA"/>
    <w:rsid w:val="00DC3741"/>
    <w:rsid w:val="00DC5E12"/>
    <w:rsid w:val="00DD2A5D"/>
    <w:rsid w:val="00DE4DFA"/>
    <w:rsid w:val="00DF1F35"/>
    <w:rsid w:val="00DF5092"/>
    <w:rsid w:val="00DF6F27"/>
    <w:rsid w:val="00E02F9C"/>
    <w:rsid w:val="00E055B9"/>
    <w:rsid w:val="00E057C6"/>
    <w:rsid w:val="00E067F5"/>
    <w:rsid w:val="00E20811"/>
    <w:rsid w:val="00E22A49"/>
    <w:rsid w:val="00E267B4"/>
    <w:rsid w:val="00E330A8"/>
    <w:rsid w:val="00E37A3F"/>
    <w:rsid w:val="00E401B1"/>
    <w:rsid w:val="00E47303"/>
    <w:rsid w:val="00E529B7"/>
    <w:rsid w:val="00E53777"/>
    <w:rsid w:val="00E567C2"/>
    <w:rsid w:val="00E61FDD"/>
    <w:rsid w:val="00E729C2"/>
    <w:rsid w:val="00E74641"/>
    <w:rsid w:val="00E85741"/>
    <w:rsid w:val="00E9263C"/>
    <w:rsid w:val="00EA24CA"/>
    <w:rsid w:val="00EA44FC"/>
    <w:rsid w:val="00EB4494"/>
    <w:rsid w:val="00EB541B"/>
    <w:rsid w:val="00EB74A9"/>
    <w:rsid w:val="00EC6AA3"/>
    <w:rsid w:val="00EC6EEE"/>
    <w:rsid w:val="00ED54B4"/>
    <w:rsid w:val="00ED7743"/>
    <w:rsid w:val="00EE6E31"/>
    <w:rsid w:val="00EE7FCD"/>
    <w:rsid w:val="00EF2B99"/>
    <w:rsid w:val="00EF6F30"/>
    <w:rsid w:val="00F01193"/>
    <w:rsid w:val="00F022CA"/>
    <w:rsid w:val="00F0283B"/>
    <w:rsid w:val="00F03F10"/>
    <w:rsid w:val="00F10C8D"/>
    <w:rsid w:val="00F13A89"/>
    <w:rsid w:val="00F17B04"/>
    <w:rsid w:val="00F25A0A"/>
    <w:rsid w:val="00F27BB6"/>
    <w:rsid w:val="00F524BF"/>
    <w:rsid w:val="00F65B2F"/>
    <w:rsid w:val="00F67692"/>
    <w:rsid w:val="00F927F5"/>
    <w:rsid w:val="00FA0031"/>
    <w:rsid w:val="00FA151B"/>
    <w:rsid w:val="00FA6A62"/>
    <w:rsid w:val="00FA7DC3"/>
    <w:rsid w:val="00FE65BE"/>
    <w:rsid w:val="00FE7906"/>
    <w:rsid w:val="00FE7B76"/>
    <w:rsid w:val="00FF003B"/>
    <w:rsid w:val="00FF0F23"/>
    <w:rsid w:val="00FF1094"/>
    <w:rsid w:val="00FF1179"/>
    <w:rsid w:val="00FF4DD8"/>
    <w:rsid w:val="00FF62A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33987"/>
  <w15:chartTrackingRefBased/>
  <w15:docId w15:val="{7CD1337C-AA94-4F30-94CE-94A05DBB9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53A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aliases w:val="H Titre 2"/>
    <w:basedOn w:val="Normal"/>
    <w:next w:val="Normal"/>
    <w:link w:val="Titre2Car"/>
    <w:autoRedefine/>
    <w:unhideWhenUsed/>
    <w:qFormat/>
    <w:rsid w:val="006865E8"/>
    <w:pPr>
      <w:keepNext/>
      <w:keepLines/>
      <w:spacing w:before="240" w:after="240" w:line="240" w:lineRule="auto"/>
      <w:jc w:val="both"/>
      <w:outlineLvl w:val="1"/>
    </w:pPr>
    <w:rPr>
      <w:rFonts w:ascii="Arial" w:eastAsiaTheme="majorEastAsia" w:hAnsi="Arial" w:cs="Arial"/>
      <w:b/>
      <w:bCs/>
      <w:smallCaps/>
      <w:color w:val="168440"/>
      <w:sz w:val="32"/>
      <w:szCs w:val="32"/>
    </w:rPr>
  </w:style>
  <w:style w:type="paragraph" w:styleId="Titre3">
    <w:name w:val="heading 3"/>
    <w:basedOn w:val="Normal"/>
    <w:next w:val="Normal"/>
    <w:link w:val="Titre3Car"/>
    <w:uiPriority w:val="9"/>
    <w:semiHidden/>
    <w:unhideWhenUsed/>
    <w:qFormat/>
    <w:rsid w:val="00053A95"/>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053A95"/>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053A95"/>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053A95"/>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53A95"/>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53A95"/>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53A95"/>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H Titre 2 Car"/>
    <w:basedOn w:val="Policepardfaut"/>
    <w:link w:val="Titre2"/>
    <w:rsid w:val="006865E8"/>
    <w:rPr>
      <w:rFonts w:ascii="Arial" w:eastAsiaTheme="majorEastAsia" w:hAnsi="Arial" w:cs="Arial"/>
      <w:b/>
      <w:bCs/>
      <w:smallCaps/>
      <w:color w:val="168440"/>
      <w:sz w:val="32"/>
      <w:szCs w:val="32"/>
    </w:rPr>
  </w:style>
  <w:style w:type="character" w:customStyle="1" w:styleId="Titre1Car">
    <w:name w:val="Titre 1 Car"/>
    <w:basedOn w:val="Policepardfaut"/>
    <w:link w:val="Titre1"/>
    <w:uiPriority w:val="9"/>
    <w:rsid w:val="00053A95"/>
    <w:rPr>
      <w:rFonts w:asciiTheme="majorHAnsi" w:eastAsiaTheme="majorEastAsia" w:hAnsiTheme="majorHAnsi" w:cstheme="majorBidi"/>
      <w:color w:val="0F4761" w:themeColor="accent1" w:themeShade="BF"/>
      <w:sz w:val="40"/>
      <w:szCs w:val="40"/>
    </w:rPr>
  </w:style>
  <w:style w:type="character" w:customStyle="1" w:styleId="Titre3Car">
    <w:name w:val="Titre 3 Car"/>
    <w:basedOn w:val="Policepardfaut"/>
    <w:link w:val="Titre3"/>
    <w:uiPriority w:val="9"/>
    <w:semiHidden/>
    <w:rsid w:val="00053A95"/>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053A95"/>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53A95"/>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53A95"/>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53A95"/>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53A95"/>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53A95"/>
    <w:rPr>
      <w:rFonts w:eastAsiaTheme="majorEastAsia" w:cstheme="majorBidi"/>
      <w:color w:val="272727" w:themeColor="text1" w:themeTint="D8"/>
    </w:rPr>
  </w:style>
  <w:style w:type="paragraph" w:styleId="Titre">
    <w:name w:val="Title"/>
    <w:basedOn w:val="Normal"/>
    <w:next w:val="Normal"/>
    <w:link w:val="TitreCar"/>
    <w:uiPriority w:val="10"/>
    <w:qFormat/>
    <w:rsid w:val="00053A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53A95"/>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53A95"/>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53A95"/>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53A95"/>
    <w:pPr>
      <w:spacing w:before="160"/>
      <w:jc w:val="center"/>
    </w:pPr>
    <w:rPr>
      <w:i/>
      <w:iCs/>
      <w:color w:val="404040" w:themeColor="text1" w:themeTint="BF"/>
    </w:rPr>
  </w:style>
  <w:style w:type="character" w:customStyle="1" w:styleId="CitationCar">
    <w:name w:val="Citation Car"/>
    <w:basedOn w:val="Policepardfaut"/>
    <w:link w:val="Citation"/>
    <w:uiPriority w:val="29"/>
    <w:rsid w:val="00053A95"/>
    <w:rPr>
      <w:i/>
      <w:iCs/>
      <w:color w:val="404040" w:themeColor="text1" w:themeTint="BF"/>
    </w:rPr>
  </w:style>
  <w:style w:type="paragraph" w:styleId="Paragraphedeliste">
    <w:name w:val="List Paragraph"/>
    <w:basedOn w:val="Normal"/>
    <w:uiPriority w:val="34"/>
    <w:qFormat/>
    <w:rsid w:val="00053A95"/>
    <w:pPr>
      <w:ind w:left="720"/>
      <w:contextualSpacing/>
    </w:pPr>
  </w:style>
  <w:style w:type="character" w:styleId="Accentuationintense">
    <w:name w:val="Intense Emphasis"/>
    <w:basedOn w:val="Policepardfaut"/>
    <w:uiPriority w:val="21"/>
    <w:qFormat/>
    <w:rsid w:val="00053A95"/>
    <w:rPr>
      <w:i/>
      <w:iCs/>
      <w:color w:val="0F4761" w:themeColor="accent1" w:themeShade="BF"/>
    </w:rPr>
  </w:style>
  <w:style w:type="paragraph" w:styleId="Citationintense">
    <w:name w:val="Intense Quote"/>
    <w:basedOn w:val="Normal"/>
    <w:next w:val="Normal"/>
    <w:link w:val="CitationintenseCar"/>
    <w:uiPriority w:val="30"/>
    <w:qFormat/>
    <w:rsid w:val="00053A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53A95"/>
    <w:rPr>
      <w:i/>
      <w:iCs/>
      <w:color w:val="0F4761" w:themeColor="accent1" w:themeShade="BF"/>
    </w:rPr>
  </w:style>
  <w:style w:type="character" w:styleId="Rfrenceintense">
    <w:name w:val="Intense Reference"/>
    <w:basedOn w:val="Policepardfaut"/>
    <w:uiPriority w:val="32"/>
    <w:qFormat/>
    <w:rsid w:val="00053A95"/>
    <w:rPr>
      <w:b/>
      <w:bCs/>
      <w:smallCaps/>
      <w:color w:val="0F4761" w:themeColor="accent1" w:themeShade="BF"/>
      <w:spacing w:val="5"/>
    </w:rPr>
  </w:style>
  <w:style w:type="paragraph" w:styleId="NormalWeb">
    <w:name w:val="Normal (Web)"/>
    <w:basedOn w:val="Normal"/>
    <w:uiPriority w:val="99"/>
    <w:semiHidden/>
    <w:unhideWhenUsed/>
    <w:rsid w:val="00CD0C34"/>
    <w:rPr>
      <w:rFonts w:ascii="Times New Roman" w:hAnsi="Times New Roman" w:cs="Times New Roman"/>
    </w:rPr>
  </w:style>
  <w:style w:type="character" w:styleId="Lienhypertexte">
    <w:name w:val="Hyperlink"/>
    <w:basedOn w:val="Policepardfaut"/>
    <w:uiPriority w:val="99"/>
    <w:unhideWhenUsed/>
    <w:rsid w:val="00A179BD"/>
    <w:rPr>
      <w:color w:val="467886" w:themeColor="hyperlink"/>
      <w:u w:val="single"/>
    </w:rPr>
  </w:style>
  <w:style w:type="character" w:styleId="Mentionnonrsolue">
    <w:name w:val="Unresolved Mention"/>
    <w:basedOn w:val="Policepardfaut"/>
    <w:uiPriority w:val="99"/>
    <w:semiHidden/>
    <w:unhideWhenUsed/>
    <w:rsid w:val="00A179BD"/>
    <w:rPr>
      <w:color w:val="605E5C"/>
      <w:shd w:val="clear" w:color="auto" w:fill="E1DFDD"/>
    </w:rPr>
  </w:style>
  <w:style w:type="paragraph" w:styleId="En-tte">
    <w:name w:val="header"/>
    <w:basedOn w:val="Normal"/>
    <w:link w:val="En-tteCar"/>
    <w:uiPriority w:val="99"/>
    <w:unhideWhenUsed/>
    <w:rsid w:val="00600D58"/>
    <w:pPr>
      <w:tabs>
        <w:tab w:val="center" w:pos="4536"/>
        <w:tab w:val="right" w:pos="9072"/>
      </w:tabs>
      <w:spacing w:after="0" w:line="240" w:lineRule="auto"/>
    </w:pPr>
  </w:style>
  <w:style w:type="character" w:customStyle="1" w:styleId="En-tteCar">
    <w:name w:val="En-tête Car"/>
    <w:basedOn w:val="Policepardfaut"/>
    <w:link w:val="En-tte"/>
    <w:uiPriority w:val="99"/>
    <w:rsid w:val="00600D58"/>
  </w:style>
  <w:style w:type="paragraph" w:styleId="Pieddepage">
    <w:name w:val="footer"/>
    <w:basedOn w:val="Normal"/>
    <w:link w:val="PieddepageCar"/>
    <w:uiPriority w:val="99"/>
    <w:unhideWhenUsed/>
    <w:rsid w:val="00600D5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00D58"/>
  </w:style>
  <w:style w:type="paragraph" w:customStyle="1" w:styleId="LO-normal">
    <w:name w:val="LO-normal"/>
    <w:qFormat/>
    <w:rsid w:val="003F2AF0"/>
    <w:pPr>
      <w:suppressAutoHyphens/>
      <w:spacing w:line="259" w:lineRule="auto"/>
    </w:pPr>
    <w:rPr>
      <w:rFonts w:ascii="Calibri" w:eastAsia="Calibri" w:hAnsi="Calibri" w:cs="Calibri"/>
      <w:kern w:val="0"/>
      <w:sz w:val="22"/>
      <w:szCs w:val="22"/>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61-021-09097-9" TargetMode="External"/><Relationship Id="rId13" Type="http://schemas.openxmlformats.org/officeDocument/2006/relationships/hyperlink" Target="https://doi.org/10.1080/02626667.2019.163569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hydroa.2021.100093" TargetMode="External"/><Relationship Id="rId12" Type="http://schemas.openxmlformats.org/officeDocument/2006/relationships/hyperlink" Target="https://doi.org/10.2166/wst.2018.33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eep.insa-lyon.fr/fr/page/urb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666-022-09838-1" TargetMode="External"/><Relationship Id="rId5" Type="http://schemas.openxmlformats.org/officeDocument/2006/relationships/footnotes" Target="footnotes.xml"/><Relationship Id="rId15" Type="http://schemas.openxmlformats.org/officeDocument/2006/relationships/hyperlink" Target="https://doi.org/10.1080/27669645.2025.2514418" TargetMode="External"/><Relationship Id="rId10" Type="http://schemas.openxmlformats.org/officeDocument/2006/relationships/hyperlink" Target="https://doi.org/10.2166/wst.2018.41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07/s10661-016-5335-y" TargetMode="External"/><Relationship Id="rId14" Type="http://schemas.openxmlformats.org/officeDocument/2006/relationships/hyperlink" Target="https://doi.org/10.2166/wst.2013.52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71</TotalTime>
  <Pages>9</Pages>
  <Words>4955</Words>
  <Characters>27258</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SANDOVAL</dc:creator>
  <cp:keywords/>
  <dc:description/>
  <cp:lastModifiedBy>Santiago SANDOVAL</cp:lastModifiedBy>
  <cp:revision>79</cp:revision>
  <cp:lastPrinted>2026-01-22T16:15:00Z</cp:lastPrinted>
  <dcterms:created xsi:type="dcterms:W3CDTF">2026-02-17T18:38:00Z</dcterms:created>
  <dcterms:modified xsi:type="dcterms:W3CDTF">2026-02-20T10:24:00Z</dcterms:modified>
</cp:coreProperties>
</file>