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3EC79" w14:textId="26AD9EB9" w:rsidR="00517EFA" w:rsidRPr="008240B4" w:rsidRDefault="00AB359B" w:rsidP="008240B4">
      <w:pPr>
        <w:spacing w:line="276" w:lineRule="auto"/>
        <w:jc w:val="both"/>
        <w:rPr>
          <w:rFonts w:ascii="Arial Narrow" w:hAnsi="Arial Narrow"/>
          <w:b/>
          <w:bCs/>
          <w:sz w:val="22"/>
          <w:szCs w:val="22"/>
          <w:lang w:val="en-US"/>
        </w:rPr>
      </w:pPr>
      <w:r w:rsidRPr="008240B4">
        <w:rPr>
          <w:rFonts w:ascii="Arial Narrow" w:hAnsi="Arial Narrow"/>
          <w:b/>
          <w:bCs/>
          <w:sz w:val="22"/>
          <w:szCs w:val="22"/>
          <w:lang w:val="en-US"/>
        </w:rPr>
        <w:t>Hydraulic Processes in Urban Drainage Systems Under Climate Transformation</w:t>
      </w:r>
      <w:r w:rsidR="00517EFA" w:rsidRPr="008240B4">
        <w:rPr>
          <w:rFonts w:ascii="Arial Narrow" w:hAnsi="Arial Narrow"/>
          <w:b/>
          <w:bCs/>
          <w:sz w:val="22"/>
          <w:szCs w:val="22"/>
          <w:lang w:val="en-US"/>
        </w:rPr>
        <w:t xml:space="preserve">: Observability, </w:t>
      </w:r>
      <w:r w:rsidR="003F00D8" w:rsidRPr="008240B4">
        <w:rPr>
          <w:rFonts w:ascii="Arial Narrow" w:hAnsi="Arial Narrow"/>
          <w:b/>
          <w:bCs/>
          <w:sz w:val="22"/>
          <w:szCs w:val="22"/>
          <w:lang w:val="en-US"/>
        </w:rPr>
        <w:t>Modelling</w:t>
      </w:r>
      <w:r w:rsidR="00517EFA" w:rsidRPr="008240B4">
        <w:rPr>
          <w:rFonts w:ascii="Arial Narrow" w:hAnsi="Arial Narrow"/>
          <w:b/>
          <w:bCs/>
          <w:sz w:val="22"/>
          <w:szCs w:val="22"/>
          <w:lang w:val="en-US"/>
        </w:rPr>
        <w:t>, and Decision-Making</w:t>
      </w:r>
    </w:p>
    <w:p w14:paraId="092D899C" w14:textId="1860F78F" w:rsidR="00CD5D27" w:rsidRPr="008240B4" w:rsidRDefault="000D6B89" w:rsidP="008240B4">
      <w:pPr>
        <w:spacing w:line="276" w:lineRule="auto"/>
        <w:rPr>
          <w:rFonts w:ascii="Arial Narrow" w:hAnsi="Arial Narrow"/>
          <w:sz w:val="22"/>
          <w:szCs w:val="22"/>
          <w:lang w:val="en-US"/>
        </w:rPr>
      </w:pPr>
      <w:r w:rsidRPr="008240B4">
        <w:rPr>
          <w:rFonts w:ascii="Arial Narrow" w:hAnsi="Arial Narrow"/>
          <w:sz w:val="22"/>
          <w:szCs w:val="22"/>
          <w:lang w:val="en-US"/>
        </w:rPr>
        <w:t xml:space="preserve">Santiago Sandoval </w:t>
      </w:r>
      <w:r w:rsidR="00DC00A7" w:rsidRPr="008240B4">
        <w:rPr>
          <w:rFonts w:ascii="Arial Narrow" w:hAnsi="Arial Narrow"/>
          <w:sz w:val="22"/>
          <w:szCs w:val="22"/>
          <w:lang w:val="en-US"/>
        </w:rPr>
        <w:t>Ph.D.</w:t>
      </w:r>
    </w:p>
    <w:p w14:paraId="3304E74F" w14:textId="190B4D1B" w:rsidR="00CD5D27" w:rsidRPr="008240B4" w:rsidRDefault="008C6B90" w:rsidP="008240B4">
      <w:pPr>
        <w:spacing w:line="276" w:lineRule="auto"/>
        <w:rPr>
          <w:rFonts w:ascii="Arial Narrow" w:hAnsi="Arial Narrow"/>
          <w:b/>
          <w:bCs/>
          <w:sz w:val="22"/>
          <w:szCs w:val="22"/>
          <w:lang w:val="en-US"/>
        </w:rPr>
      </w:pPr>
      <w:r w:rsidRPr="008240B4">
        <w:rPr>
          <w:rFonts w:ascii="Arial Narrow" w:hAnsi="Arial Narrow"/>
          <w:b/>
          <w:bCs/>
          <w:sz w:val="22"/>
          <w:szCs w:val="22"/>
          <w:lang w:val="en-US"/>
        </w:rPr>
        <w:t>1. CONTEXT AND JUSTIFICATION</w:t>
      </w:r>
    </w:p>
    <w:p w14:paraId="4B8BE5CF" w14:textId="41CFEB4E" w:rsidR="00717743" w:rsidRPr="008240B4" w:rsidRDefault="002B1006"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Urban drainage systems are engineered hydraulic networks </w:t>
      </w:r>
      <w:r w:rsidR="00500B51" w:rsidRPr="008240B4">
        <w:rPr>
          <w:rFonts w:ascii="Arial Narrow" w:hAnsi="Arial Narrow"/>
          <w:sz w:val="22"/>
          <w:szCs w:val="22"/>
          <w:lang w:val="en-US"/>
        </w:rPr>
        <w:t>in which</w:t>
      </w:r>
      <w:r w:rsidRPr="008240B4">
        <w:rPr>
          <w:rFonts w:ascii="Arial Narrow" w:hAnsi="Arial Narrow"/>
          <w:sz w:val="22"/>
          <w:szCs w:val="22"/>
          <w:lang w:val="en-US"/>
        </w:rPr>
        <w:t xml:space="preserve"> free-surface and pressurized flows, storage dynamics, and wave propagation phenomena interact within complex multiscale dynamics. </w:t>
      </w:r>
      <w:r w:rsidR="00267D4D" w:rsidRPr="008240B4">
        <w:rPr>
          <w:rFonts w:ascii="Arial Narrow" w:hAnsi="Arial Narrow"/>
          <w:sz w:val="22"/>
          <w:szCs w:val="22"/>
          <w:lang w:val="en-US"/>
        </w:rPr>
        <w:t>T</w:t>
      </w:r>
      <w:r w:rsidR="009F1D29" w:rsidRPr="008240B4">
        <w:rPr>
          <w:rFonts w:ascii="Arial Narrow" w:hAnsi="Arial Narrow"/>
          <w:sz w:val="22"/>
          <w:szCs w:val="22"/>
          <w:lang w:val="en-US"/>
        </w:rPr>
        <w:t>he expansion of impermeable surfaces has</w:t>
      </w:r>
      <w:r w:rsidR="0063402E" w:rsidRPr="008240B4">
        <w:rPr>
          <w:rFonts w:ascii="Arial Narrow" w:hAnsi="Arial Narrow"/>
          <w:sz w:val="22"/>
          <w:szCs w:val="22"/>
          <w:lang w:val="en-US"/>
        </w:rPr>
        <w:t xml:space="preserve"> long been considered the</w:t>
      </w:r>
      <w:r w:rsidR="009F1D29" w:rsidRPr="008240B4">
        <w:rPr>
          <w:rFonts w:ascii="Arial Narrow" w:hAnsi="Arial Narrow"/>
          <w:sz w:val="22"/>
          <w:szCs w:val="22"/>
          <w:lang w:val="en-US"/>
        </w:rPr>
        <w:t xml:space="preserve"> dominant driver of hydrological and hydraulic alteration</w:t>
      </w:r>
      <w:r w:rsidR="00690D5D" w:rsidRPr="008240B4">
        <w:rPr>
          <w:rFonts w:ascii="Arial Narrow" w:hAnsi="Arial Narrow"/>
          <w:sz w:val="22"/>
          <w:szCs w:val="22"/>
          <w:lang w:val="en-US"/>
        </w:rPr>
        <w:t xml:space="preserve"> within these system</w:t>
      </w:r>
      <w:r w:rsidR="001625A7" w:rsidRPr="008240B4">
        <w:rPr>
          <w:rFonts w:ascii="Arial Narrow" w:hAnsi="Arial Narrow"/>
          <w:sz w:val="22"/>
          <w:szCs w:val="22"/>
          <w:lang w:val="en-US"/>
        </w:rPr>
        <w:t>s</w:t>
      </w:r>
      <w:r w:rsidR="009F1D29" w:rsidRPr="008240B4">
        <w:rPr>
          <w:rFonts w:ascii="Arial Narrow" w:hAnsi="Arial Narrow"/>
          <w:sz w:val="22"/>
          <w:szCs w:val="22"/>
          <w:lang w:val="en-US"/>
        </w:rPr>
        <w:t xml:space="preserve">, increasing runoff volumes, peak discharges, and flow velocities, contributing to flooding and receiving-water degradation </w:t>
      </w:r>
      <w:r w:rsidR="00717743" w:rsidRPr="008240B4">
        <w:rPr>
          <w:rFonts w:ascii="Arial Narrow" w:hAnsi="Arial Narrow"/>
          <w:sz w:val="22"/>
          <w:szCs w:val="22"/>
          <w:lang w:val="en-US"/>
        </w:rPr>
        <w:t>(Fletcher et al., 2013; Salvadore et al., 2015</w:t>
      </w:r>
      <w:r w:rsidR="008E00AE" w:rsidRPr="008240B4">
        <w:rPr>
          <w:rFonts w:ascii="Arial Narrow" w:hAnsi="Arial Narrow"/>
          <w:sz w:val="22"/>
          <w:szCs w:val="22"/>
          <w:lang w:val="en-US"/>
        </w:rPr>
        <w:t>; Ali et al., 2025</w:t>
      </w:r>
      <w:r w:rsidR="00717743" w:rsidRPr="008240B4">
        <w:rPr>
          <w:rFonts w:ascii="Arial Narrow" w:hAnsi="Arial Narrow"/>
          <w:sz w:val="22"/>
          <w:szCs w:val="22"/>
          <w:lang w:val="en-US"/>
        </w:rPr>
        <w:t xml:space="preserve">). This framing </w:t>
      </w:r>
      <w:r w:rsidR="00673172" w:rsidRPr="008240B4">
        <w:rPr>
          <w:rFonts w:ascii="Arial Narrow" w:hAnsi="Arial Narrow"/>
          <w:sz w:val="22"/>
          <w:szCs w:val="22"/>
          <w:lang w:val="en-US"/>
        </w:rPr>
        <w:t xml:space="preserve">has </w:t>
      </w:r>
      <w:r w:rsidR="00717743" w:rsidRPr="008240B4">
        <w:rPr>
          <w:rFonts w:ascii="Arial Narrow" w:hAnsi="Arial Narrow"/>
          <w:sz w:val="22"/>
          <w:szCs w:val="22"/>
          <w:lang w:val="en-US"/>
        </w:rPr>
        <w:t>shaped drainage design for decades, privileging capacity expansion and end-of-the-pipe conveyance strategies.</w:t>
      </w:r>
    </w:p>
    <w:p w14:paraId="50FC26BE" w14:textId="023E6708" w:rsidR="00717743" w:rsidRPr="008240B4" w:rsidRDefault="00717743"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Today, this paradigm proves insufficient. </w:t>
      </w:r>
      <w:r w:rsidR="000163F2" w:rsidRPr="008240B4">
        <w:rPr>
          <w:rFonts w:ascii="Arial Narrow" w:hAnsi="Arial Narrow"/>
          <w:sz w:val="22"/>
          <w:szCs w:val="22"/>
          <w:lang w:val="en-US"/>
        </w:rPr>
        <w:t xml:space="preserve">Climate change and hydrometeorological non-stationarity are unprecedentedly altering rainfall regimes and reconfiguring the hydraulic response of urban drainage networks </w:t>
      </w:r>
      <w:r w:rsidRPr="008240B4">
        <w:rPr>
          <w:rFonts w:ascii="Arial Narrow" w:hAnsi="Arial Narrow"/>
          <w:sz w:val="22"/>
          <w:szCs w:val="22"/>
          <w:lang w:val="en-US"/>
        </w:rPr>
        <w:t>(Cook et al., 2020</w:t>
      </w:r>
      <w:r w:rsidR="00B459A2" w:rsidRPr="008240B4">
        <w:rPr>
          <w:rFonts w:ascii="Arial Narrow" w:hAnsi="Arial Narrow"/>
          <w:sz w:val="22"/>
          <w:szCs w:val="22"/>
          <w:lang w:val="en-US"/>
        </w:rPr>
        <w:t>; Teku, 2025</w:t>
      </w:r>
      <w:r w:rsidRPr="008240B4">
        <w:rPr>
          <w:rFonts w:ascii="Arial Narrow" w:hAnsi="Arial Narrow"/>
          <w:sz w:val="22"/>
          <w:szCs w:val="22"/>
          <w:lang w:val="en-US"/>
        </w:rPr>
        <w:t xml:space="preserve">). </w:t>
      </w:r>
      <w:r w:rsidR="00CD10E1" w:rsidRPr="008240B4">
        <w:rPr>
          <w:rFonts w:ascii="Arial Narrow" w:hAnsi="Arial Narrow"/>
          <w:sz w:val="22"/>
          <w:szCs w:val="22"/>
          <w:lang w:val="en-US"/>
        </w:rPr>
        <w:t>Aging infrastructures designed under stationary assumptions now face intensified expectations for flood risk reduction, CSO control, pollutant mitigation, resilience, and cost-efficient operation, creating a mismatch between historical design logics and current performance requirements.</w:t>
      </w:r>
    </w:p>
    <w:p w14:paraId="74671A1E" w14:textId="101CDD84" w:rsidR="00717743" w:rsidRPr="008240B4" w:rsidRDefault="00717743"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In response, public policies increasingly promote </w:t>
      </w:r>
      <w:r w:rsidR="005121CB" w:rsidRPr="008240B4">
        <w:rPr>
          <w:rFonts w:ascii="Arial Narrow" w:hAnsi="Arial Narrow"/>
          <w:sz w:val="22"/>
          <w:szCs w:val="22"/>
          <w:lang w:val="en-US"/>
        </w:rPr>
        <w:t>N</w:t>
      </w:r>
      <w:r w:rsidRPr="008240B4">
        <w:rPr>
          <w:rFonts w:ascii="Arial Narrow" w:hAnsi="Arial Narrow"/>
          <w:sz w:val="22"/>
          <w:szCs w:val="22"/>
          <w:lang w:val="en-US"/>
        </w:rPr>
        <w:t>ature-</w:t>
      </w:r>
      <w:r w:rsidR="005121CB" w:rsidRPr="008240B4">
        <w:rPr>
          <w:rFonts w:ascii="Arial Narrow" w:hAnsi="Arial Narrow"/>
          <w:sz w:val="22"/>
          <w:szCs w:val="22"/>
          <w:lang w:val="en-US"/>
        </w:rPr>
        <w:t>B</w:t>
      </w:r>
      <w:r w:rsidRPr="008240B4">
        <w:rPr>
          <w:rFonts w:ascii="Arial Narrow" w:hAnsi="Arial Narrow"/>
          <w:sz w:val="22"/>
          <w:szCs w:val="22"/>
          <w:lang w:val="en-US"/>
        </w:rPr>
        <w:t xml:space="preserve">ased </w:t>
      </w:r>
      <w:r w:rsidR="005121CB" w:rsidRPr="008240B4">
        <w:rPr>
          <w:rFonts w:ascii="Arial Narrow" w:hAnsi="Arial Narrow"/>
          <w:sz w:val="22"/>
          <w:szCs w:val="22"/>
          <w:lang w:val="en-US"/>
        </w:rPr>
        <w:t>S</w:t>
      </w:r>
      <w:r w:rsidRPr="008240B4">
        <w:rPr>
          <w:rFonts w:ascii="Arial Narrow" w:hAnsi="Arial Narrow"/>
          <w:sz w:val="22"/>
          <w:szCs w:val="22"/>
          <w:lang w:val="en-US"/>
        </w:rPr>
        <w:t>olutions (NBS), decentralized storage, source disconnection, and water reuse (Jarden et al., 2016; Jones et al., 2022; Pons et al., 2023</w:t>
      </w:r>
      <w:r w:rsidR="00E62C22" w:rsidRPr="008240B4">
        <w:rPr>
          <w:rFonts w:ascii="Arial Narrow" w:hAnsi="Arial Narrow"/>
          <w:sz w:val="22"/>
          <w:szCs w:val="22"/>
          <w:lang w:val="en-US"/>
        </w:rPr>
        <w:t>; Urbis, 2024*</w:t>
      </w:r>
      <w:r w:rsidRPr="008240B4">
        <w:rPr>
          <w:rFonts w:ascii="Arial Narrow" w:hAnsi="Arial Narrow"/>
          <w:sz w:val="22"/>
          <w:szCs w:val="22"/>
          <w:lang w:val="en-US"/>
        </w:rPr>
        <w:t>). While their benefits are well documented at building and neighborhood scales (</w:t>
      </w:r>
      <w:r w:rsidR="00BC4686" w:rsidRPr="008240B4">
        <w:rPr>
          <w:rFonts w:ascii="Arial Narrow" w:hAnsi="Arial Narrow"/>
          <w:sz w:val="22"/>
          <w:szCs w:val="22"/>
          <w:lang w:val="en-US"/>
        </w:rPr>
        <w:t xml:space="preserve">Sandoval et al., 2019*; </w:t>
      </w:r>
      <w:r w:rsidRPr="008240B4">
        <w:rPr>
          <w:rFonts w:ascii="Arial Narrow" w:hAnsi="Arial Narrow"/>
          <w:sz w:val="22"/>
          <w:szCs w:val="22"/>
          <w:lang w:val="en-US"/>
        </w:rPr>
        <w:t>Broekhuizen et al., 2021</w:t>
      </w:r>
      <w:r w:rsidR="00BC4686" w:rsidRPr="008240B4">
        <w:rPr>
          <w:rFonts w:ascii="Arial Narrow" w:hAnsi="Arial Narrow"/>
          <w:sz w:val="22"/>
          <w:szCs w:val="22"/>
          <w:lang w:val="en-US"/>
        </w:rPr>
        <w:t>*</w:t>
      </w:r>
      <w:r w:rsidRPr="008240B4">
        <w:rPr>
          <w:rFonts w:ascii="Arial Narrow" w:hAnsi="Arial Narrow"/>
          <w:sz w:val="22"/>
          <w:szCs w:val="22"/>
          <w:lang w:val="en-US"/>
        </w:rPr>
        <w:t xml:space="preserve">; Brunetti et al., 2021), translating these results into robust city-scale evaluations remains </w:t>
      </w:r>
      <w:r w:rsidR="004212A8" w:rsidRPr="008240B4">
        <w:rPr>
          <w:rFonts w:ascii="Arial Narrow" w:hAnsi="Arial Narrow"/>
          <w:sz w:val="22"/>
          <w:szCs w:val="22"/>
          <w:lang w:val="en-US"/>
        </w:rPr>
        <w:t>an open question</w:t>
      </w:r>
      <w:r w:rsidRPr="008240B4">
        <w:rPr>
          <w:rFonts w:ascii="Arial Narrow" w:hAnsi="Arial Narrow"/>
          <w:sz w:val="22"/>
          <w:szCs w:val="22"/>
          <w:lang w:val="en-US"/>
        </w:rPr>
        <w:t>.</w:t>
      </w:r>
    </w:p>
    <w:p w14:paraId="3261DB99" w14:textId="1AA950E6" w:rsidR="00717743" w:rsidRPr="008240B4" w:rsidRDefault="00717743"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City-scale assessment relies largely on modelling to explore prospective scenarios (Lerer et al., 2015; Wang et al., 2017; Oberascher et al., 2022). Yet </w:t>
      </w:r>
      <w:r w:rsidR="00B15F41" w:rsidRPr="008240B4">
        <w:rPr>
          <w:rFonts w:ascii="Arial Narrow" w:hAnsi="Arial Narrow"/>
          <w:sz w:val="22"/>
          <w:szCs w:val="22"/>
          <w:lang w:val="en-US"/>
        </w:rPr>
        <w:t xml:space="preserve">modelling at this scale requires aggregation of interacting hydraulic processes—urban infiltration, transient routing, sediment transport, pollutant accumulation </w:t>
      </w:r>
      <w:r w:rsidRPr="008240B4">
        <w:rPr>
          <w:rFonts w:ascii="Arial Narrow" w:hAnsi="Arial Narrow"/>
          <w:sz w:val="22"/>
          <w:szCs w:val="22"/>
          <w:lang w:val="en-US"/>
        </w:rPr>
        <w:t>during extended dry periods, in-sewer transport—whose representation remains only partially understood (Salvadore et al., 2015; Bonhomme &amp; Petrucci, 2017</w:t>
      </w:r>
      <w:r w:rsidR="00CC03C8" w:rsidRPr="008240B4">
        <w:rPr>
          <w:rFonts w:ascii="Arial Narrow" w:hAnsi="Arial Narrow"/>
          <w:sz w:val="22"/>
          <w:szCs w:val="22"/>
          <w:lang w:val="en-US"/>
        </w:rPr>
        <w:t>; Sandoval et al., 2018</w:t>
      </w:r>
      <w:r w:rsidR="001C746C" w:rsidRPr="008240B4">
        <w:rPr>
          <w:rFonts w:ascii="Arial Narrow" w:hAnsi="Arial Narrow"/>
          <w:sz w:val="22"/>
          <w:szCs w:val="22"/>
          <w:lang w:val="en-US"/>
        </w:rPr>
        <w:t>a</w:t>
      </w:r>
      <w:r w:rsidR="00CC03C8" w:rsidRPr="008240B4">
        <w:rPr>
          <w:rFonts w:ascii="Arial Narrow" w:hAnsi="Arial Narrow"/>
          <w:sz w:val="22"/>
          <w:szCs w:val="22"/>
          <w:lang w:val="en-US"/>
        </w:rPr>
        <w:t>*</w:t>
      </w:r>
      <w:r w:rsidRPr="008240B4">
        <w:rPr>
          <w:rFonts w:ascii="Arial Narrow" w:hAnsi="Arial Narrow"/>
          <w:sz w:val="22"/>
          <w:szCs w:val="22"/>
          <w:lang w:val="en-US"/>
        </w:rPr>
        <w:t>). This introduces a structural tension between spatial resolution</w:t>
      </w:r>
      <w:r w:rsidR="00051262" w:rsidRPr="008240B4">
        <w:rPr>
          <w:rFonts w:ascii="Arial Narrow" w:hAnsi="Arial Narrow"/>
          <w:sz w:val="22"/>
          <w:szCs w:val="22"/>
          <w:lang w:val="en-US"/>
        </w:rPr>
        <w:t>,</w:t>
      </w:r>
      <w:r w:rsidRPr="008240B4">
        <w:rPr>
          <w:rFonts w:ascii="Arial Narrow" w:hAnsi="Arial Narrow"/>
          <w:sz w:val="22"/>
          <w:szCs w:val="22"/>
          <w:lang w:val="en-US"/>
        </w:rPr>
        <w:t xml:space="preserve"> parameter identifiability</w:t>
      </w:r>
      <w:r w:rsidR="00B15F41" w:rsidRPr="008240B4">
        <w:rPr>
          <w:rFonts w:ascii="Arial Narrow" w:hAnsi="Arial Narrow"/>
          <w:sz w:val="22"/>
          <w:szCs w:val="22"/>
          <w:lang w:val="en-US"/>
        </w:rPr>
        <w:t>, and hydraulic interpretability</w:t>
      </w:r>
      <w:r w:rsidRPr="008240B4">
        <w:rPr>
          <w:rFonts w:ascii="Arial Narrow" w:hAnsi="Arial Narrow"/>
          <w:sz w:val="22"/>
          <w:szCs w:val="22"/>
          <w:lang w:val="en-US"/>
        </w:rPr>
        <w:t>: simplified models may dilute dominant dynamics, whereas highly distributed models risk over-parameterization and equifinality (Thyer et al., 2009; Renard et al., 2010; Vrugt &amp; Beven, 2018</w:t>
      </w:r>
      <w:r w:rsidR="00E4164C" w:rsidRPr="008240B4">
        <w:rPr>
          <w:rFonts w:ascii="Arial Narrow" w:hAnsi="Arial Narrow"/>
          <w:sz w:val="22"/>
          <w:szCs w:val="22"/>
          <w:lang w:val="en-US"/>
        </w:rPr>
        <w:t xml:space="preserve">; </w:t>
      </w:r>
      <w:r w:rsidRPr="008240B4">
        <w:rPr>
          <w:rFonts w:ascii="Arial Narrow" w:hAnsi="Arial Narrow"/>
          <w:sz w:val="22"/>
          <w:szCs w:val="22"/>
          <w:lang w:val="en-US"/>
        </w:rPr>
        <w:t>Sandoval &amp; Bertrand-Krajewski, 2019*; Sandoval et al., 2022*). Under climatic non-stationarity, these limitations are amplified (Bacci et al., 2022).</w:t>
      </w:r>
    </w:p>
    <w:p w14:paraId="3F9A9C34" w14:textId="39B6FA82" w:rsidR="00A56A1D" w:rsidRPr="008240B4" w:rsidRDefault="00A56A1D"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As a result, structural transformations—such as the deployment of </w:t>
      </w:r>
      <w:r w:rsidR="00D4515C" w:rsidRPr="008240B4">
        <w:rPr>
          <w:rFonts w:ascii="Arial Narrow" w:hAnsi="Arial Narrow"/>
          <w:sz w:val="22"/>
          <w:szCs w:val="22"/>
          <w:lang w:val="en-US"/>
        </w:rPr>
        <w:t>NBS</w:t>
      </w:r>
      <w:r w:rsidRPr="008240B4">
        <w:rPr>
          <w:rFonts w:ascii="Arial Narrow" w:hAnsi="Arial Narrow"/>
          <w:sz w:val="22"/>
          <w:szCs w:val="22"/>
          <w:lang w:val="en-US"/>
        </w:rPr>
        <w:t xml:space="preserve"> and other distributed adaptation measures—do not automatically translate into detectable impacts at policy-relevant scales. Under strong interannual hydrometeorological variability, performance changes may remain statistically indistinguishable from background fluctuations and modelling uncertainty (Renard et al., 2010). </w:t>
      </w:r>
      <w:r w:rsidR="0076448C" w:rsidRPr="008240B4">
        <w:rPr>
          <w:rFonts w:ascii="Arial Narrow" w:hAnsi="Arial Narrow"/>
          <w:sz w:val="22"/>
          <w:szCs w:val="22"/>
          <w:lang w:val="en-US"/>
        </w:rPr>
        <w:t xml:space="preserve">In this context, </w:t>
      </w:r>
      <w:r w:rsidR="006C5EA0" w:rsidRPr="008240B4">
        <w:rPr>
          <w:rFonts w:ascii="Arial Narrow" w:hAnsi="Arial Narrow"/>
          <w:sz w:val="22"/>
          <w:szCs w:val="22"/>
          <w:lang w:val="en-US"/>
        </w:rPr>
        <w:t xml:space="preserve">long-term high-frequency monitoring networks have progressively gained importance </w:t>
      </w:r>
      <w:r w:rsidRPr="008240B4">
        <w:rPr>
          <w:rFonts w:ascii="Arial Narrow" w:hAnsi="Arial Narrow"/>
          <w:sz w:val="22"/>
          <w:szCs w:val="22"/>
          <w:lang w:val="en-US"/>
        </w:rPr>
        <w:t xml:space="preserve">(Métadier &amp; Bertrand-Krajewski, 2012; Lepot et al., 2016) </w:t>
      </w:r>
      <w:r w:rsidR="0067508D" w:rsidRPr="008240B4">
        <w:rPr>
          <w:rFonts w:ascii="Arial Narrow" w:hAnsi="Arial Narrow"/>
          <w:sz w:val="22"/>
          <w:szCs w:val="22"/>
          <w:lang w:val="en-US"/>
        </w:rPr>
        <w:t>to</w:t>
      </w:r>
      <w:r w:rsidRPr="008240B4">
        <w:rPr>
          <w:rFonts w:ascii="Arial Narrow" w:hAnsi="Arial Narrow"/>
          <w:sz w:val="22"/>
          <w:szCs w:val="22"/>
          <w:lang w:val="en-US"/>
        </w:rPr>
        <w:t xml:space="preserve"> support</w:t>
      </w:r>
      <w:r w:rsidR="00DD2148" w:rsidRPr="008240B4">
        <w:rPr>
          <w:rFonts w:ascii="Arial Narrow" w:hAnsi="Arial Narrow"/>
          <w:sz w:val="22"/>
          <w:szCs w:val="22"/>
          <w:lang w:val="en-US"/>
        </w:rPr>
        <w:t>, for example,</w:t>
      </w:r>
      <w:r w:rsidR="00D55AC5" w:rsidRPr="008240B4">
        <w:rPr>
          <w:rFonts w:ascii="Arial Narrow" w:hAnsi="Arial Narrow"/>
          <w:sz w:val="22"/>
          <w:szCs w:val="22"/>
          <w:lang w:val="en-US"/>
        </w:rPr>
        <w:t xml:space="preserve"> </w:t>
      </w:r>
      <w:r w:rsidRPr="008240B4">
        <w:rPr>
          <w:rFonts w:ascii="Arial Narrow" w:hAnsi="Arial Narrow"/>
          <w:sz w:val="22"/>
          <w:szCs w:val="22"/>
          <w:lang w:val="en-US"/>
        </w:rPr>
        <w:t xml:space="preserve">confrontation between </w:t>
      </w:r>
      <w:r w:rsidR="0067508D" w:rsidRPr="008240B4">
        <w:rPr>
          <w:rFonts w:ascii="Arial Narrow" w:hAnsi="Arial Narrow"/>
          <w:sz w:val="22"/>
          <w:szCs w:val="22"/>
          <w:lang w:val="en-US"/>
        </w:rPr>
        <w:t xml:space="preserve">models and data </w:t>
      </w:r>
      <w:r w:rsidRPr="008240B4">
        <w:rPr>
          <w:rFonts w:ascii="Arial Narrow" w:hAnsi="Arial Narrow"/>
          <w:sz w:val="22"/>
          <w:szCs w:val="22"/>
          <w:lang w:val="en-US"/>
        </w:rPr>
        <w:t>(Del Giudice et al., 2016; Sandoval et al., 2018</w:t>
      </w:r>
      <w:r w:rsidR="001C746C" w:rsidRPr="008240B4">
        <w:rPr>
          <w:rFonts w:ascii="Arial Narrow" w:hAnsi="Arial Narrow"/>
          <w:sz w:val="22"/>
          <w:szCs w:val="22"/>
          <w:lang w:val="en-US"/>
        </w:rPr>
        <w:t>a</w:t>
      </w:r>
      <w:r w:rsidRPr="008240B4">
        <w:rPr>
          <w:rFonts w:ascii="Arial Narrow" w:hAnsi="Arial Narrow"/>
          <w:sz w:val="22"/>
          <w:szCs w:val="22"/>
          <w:lang w:val="en-US"/>
        </w:rPr>
        <w:t xml:space="preserve">*). </w:t>
      </w:r>
    </w:p>
    <w:p w14:paraId="3B26FEE9" w14:textId="23819FB1" w:rsidR="007D75D7" w:rsidRPr="008240B4" w:rsidRDefault="007D75D7"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Beyond my academic work, my role as Project Manager and R&amp;D Expert within a French engineering consulting firm has exposed me to these issues in practice, including studies within the Seine River remediation program for the Paris 2024 Olympic Games. </w:t>
      </w:r>
      <w:r w:rsidR="00044C1A" w:rsidRPr="008240B4">
        <w:rPr>
          <w:rFonts w:ascii="Arial Narrow" w:hAnsi="Arial Narrow"/>
          <w:sz w:val="22"/>
          <w:szCs w:val="22"/>
          <w:lang w:val="en-US"/>
        </w:rPr>
        <w:t>These experiences—spanning hydrological and hydraulic modelling, porous-media hydrodynamics, monitoring, AI-assisted analysis, and uncertainty assessment—have shaped a research agenda grounded in practice.</w:t>
      </w:r>
    </w:p>
    <w:p w14:paraId="40C57CB9" w14:textId="3D19B72E" w:rsidR="009D4CA7" w:rsidRPr="008240B4" w:rsidRDefault="00720A07"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This agenda is structured around two axes. The first addresses the observability of hydraulically governed processes within urban drainage systems. The second focuses on modelling these processes—examining identifiability, aggregation strategies, and long-term impact evaluation—to determine the spatial and temporal </w:t>
      </w:r>
      <w:r w:rsidRPr="008240B4">
        <w:rPr>
          <w:rFonts w:ascii="Arial Narrow" w:hAnsi="Arial Narrow"/>
          <w:sz w:val="22"/>
          <w:szCs w:val="22"/>
          <w:lang w:val="en-US"/>
        </w:rPr>
        <w:lastRenderedPageBreak/>
        <w:t xml:space="preserve">conditions under which climate-driven structural transformations can be </w:t>
      </w:r>
      <w:r w:rsidR="00777258" w:rsidRPr="008240B4">
        <w:rPr>
          <w:rFonts w:ascii="Arial Narrow" w:hAnsi="Arial Narrow"/>
          <w:sz w:val="22"/>
          <w:szCs w:val="22"/>
          <w:lang w:val="en-US"/>
        </w:rPr>
        <w:t xml:space="preserve">reasonably </w:t>
      </w:r>
      <w:r w:rsidRPr="008240B4">
        <w:rPr>
          <w:rFonts w:ascii="Arial Narrow" w:hAnsi="Arial Narrow"/>
          <w:sz w:val="22"/>
          <w:szCs w:val="22"/>
          <w:lang w:val="en-US"/>
        </w:rPr>
        <w:t>quantified and integrated into decision-making.</w:t>
      </w:r>
    </w:p>
    <w:p w14:paraId="59D7CD8F" w14:textId="38E0E90D" w:rsidR="008C6B90" w:rsidRPr="008240B4" w:rsidRDefault="00FA2A31" w:rsidP="008240B4">
      <w:pPr>
        <w:spacing w:line="276" w:lineRule="auto"/>
        <w:jc w:val="both"/>
        <w:rPr>
          <w:rFonts w:ascii="Arial Narrow" w:hAnsi="Arial Narrow"/>
          <w:b/>
          <w:bCs/>
          <w:sz w:val="22"/>
          <w:szCs w:val="22"/>
          <w:lang w:val="en-US"/>
        </w:rPr>
      </w:pPr>
      <w:r w:rsidRPr="008240B4">
        <w:rPr>
          <w:rFonts w:ascii="Arial Narrow" w:hAnsi="Arial Narrow"/>
          <w:b/>
          <w:bCs/>
          <w:sz w:val="22"/>
          <w:szCs w:val="22"/>
          <w:lang w:val="en-US"/>
        </w:rPr>
        <w:t>2</w:t>
      </w:r>
      <w:r w:rsidR="008C6B90" w:rsidRPr="008240B4">
        <w:rPr>
          <w:rFonts w:ascii="Arial Narrow" w:hAnsi="Arial Narrow"/>
          <w:b/>
          <w:bCs/>
          <w:sz w:val="22"/>
          <w:szCs w:val="22"/>
          <w:lang w:val="en-US"/>
        </w:rPr>
        <w:t>. OBJECTIVES</w:t>
      </w:r>
    </w:p>
    <w:p w14:paraId="2C1CB2E4" w14:textId="77777777" w:rsidR="001E737C" w:rsidRDefault="00103F88" w:rsidP="008240B4">
      <w:pPr>
        <w:spacing w:line="276" w:lineRule="auto"/>
        <w:jc w:val="both"/>
        <w:rPr>
          <w:rFonts w:ascii="Arial Narrow" w:hAnsi="Arial Narrow"/>
          <w:b/>
          <w:bCs/>
          <w:sz w:val="22"/>
          <w:szCs w:val="22"/>
          <w:lang w:val="en-US"/>
        </w:rPr>
      </w:pPr>
      <w:r w:rsidRPr="008240B4">
        <w:rPr>
          <w:rFonts w:ascii="Arial Narrow" w:hAnsi="Arial Narrow"/>
          <w:b/>
          <w:bCs/>
          <w:sz w:val="22"/>
          <w:szCs w:val="22"/>
          <w:lang w:val="en-US"/>
        </w:rPr>
        <w:t>General Objective</w:t>
      </w:r>
    </w:p>
    <w:p w14:paraId="2A3E92A3" w14:textId="7293D343" w:rsidR="0092446B" w:rsidRPr="008240B4" w:rsidRDefault="003B3DBF" w:rsidP="008240B4">
      <w:pPr>
        <w:spacing w:line="276" w:lineRule="auto"/>
        <w:jc w:val="both"/>
        <w:rPr>
          <w:rFonts w:ascii="Arial Narrow" w:hAnsi="Arial Narrow"/>
          <w:b/>
          <w:bCs/>
          <w:sz w:val="22"/>
          <w:szCs w:val="22"/>
          <w:lang w:val="en-US"/>
        </w:rPr>
      </w:pPr>
      <w:r w:rsidRPr="008240B4">
        <w:rPr>
          <w:rFonts w:ascii="Arial Narrow" w:hAnsi="Arial Narrow"/>
          <w:sz w:val="22"/>
          <w:szCs w:val="22"/>
          <w:lang w:val="en-US"/>
        </w:rPr>
        <w:t xml:space="preserve">To contribute to the development of a </w:t>
      </w:r>
      <w:r w:rsidR="0092446B" w:rsidRPr="008240B4">
        <w:rPr>
          <w:rFonts w:ascii="Arial Narrow" w:hAnsi="Arial Narrow"/>
          <w:sz w:val="22"/>
          <w:szCs w:val="22"/>
          <w:lang w:val="en-US"/>
        </w:rPr>
        <w:t>coherent scientific framework that enhances the observability, identifiability, and evaluability of hydraulically governed processes in urban drainage systems under climate-driven structural transformations.</w:t>
      </w:r>
    </w:p>
    <w:p w14:paraId="1914E026" w14:textId="2016EAE8" w:rsidR="00103F88" w:rsidRPr="008240B4" w:rsidRDefault="00103F88" w:rsidP="008240B4">
      <w:pPr>
        <w:spacing w:line="276" w:lineRule="auto"/>
        <w:rPr>
          <w:rFonts w:ascii="Arial Narrow" w:hAnsi="Arial Narrow"/>
          <w:b/>
          <w:bCs/>
          <w:sz w:val="22"/>
          <w:szCs w:val="22"/>
          <w:lang w:val="en-US"/>
        </w:rPr>
      </w:pPr>
      <w:r w:rsidRPr="008240B4">
        <w:rPr>
          <w:rFonts w:ascii="Arial Narrow" w:hAnsi="Arial Narrow"/>
          <w:b/>
          <w:bCs/>
          <w:sz w:val="22"/>
          <w:szCs w:val="22"/>
          <w:lang w:val="en-US"/>
        </w:rPr>
        <w:t>Specific Objectives</w:t>
      </w:r>
    </w:p>
    <w:p w14:paraId="50E7DD68" w14:textId="595A8E15" w:rsidR="00103F88" w:rsidRPr="008240B4" w:rsidRDefault="00103F88" w:rsidP="008240B4">
      <w:pPr>
        <w:numPr>
          <w:ilvl w:val="0"/>
          <w:numId w:val="41"/>
        </w:numPr>
        <w:spacing w:line="276" w:lineRule="auto"/>
        <w:rPr>
          <w:rFonts w:ascii="Arial Narrow" w:hAnsi="Arial Narrow"/>
          <w:sz w:val="22"/>
          <w:szCs w:val="22"/>
          <w:lang w:val="en-US"/>
        </w:rPr>
      </w:pPr>
      <w:r w:rsidRPr="008240B4">
        <w:rPr>
          <w:rFonts w:ascii="Arial Narrow" w:hAnsi="Arial Narrow"/>
          <w:sz w:val="22"/>
          <w:szCs w:val="22"/>
          <w:lang w:val="en-US"/>
        </w:rPr>
        <w:t xml:space="preserve">Formalize the conditions of observability by quantifying how measurement uncertainty and spatial heterogeneity constrain inference in urban </w:t>
      </w:r>
      <w:r w:rsidR="009C7482" w:rsidRPr="008240B4">
        <w:rPr>
          <w:rFonts w:ascii="Arial Narrow" w:hAnsi="Arial Narrow"/>
          <w:sz w:val="22"/>
          <w:szCs w:val="22"/>
          <w:lang w:val="en-US"/>
        </w:rPr>
        <w:t>drainage</w:t>
      </w:r>
      <w:r w:rsidRPr="008240B4">
        <w:rPr>
          <w:rFonts w:ascii="Arial Narrow" w:hAnsi="Arial Narrow"/>
          <w:sz w:val="22"/>
          <w:szCs w:val="22"/>
          <w:lang w:val="en-US"/>
        </w:rPr>
        <w:t xml:space="preserve"> </w:t>
      </w:r>
      <w:r w:rsidR="00435B55" w:rsidRPr="008240B4">
        <w:rPr>
          <w:rFonts w:ascii="Arial Narrow" w:hAnsi="Arial Narrow"/>
          <w:sz w:val="22"/>
          <w:szCs w:val="22"/>
          <w:lang w:val="en-US"/>
        </w:rPr>
        <w:t>networks</w:t>
      </w:r>
      <w:r w:rsidRPr="008240B4">
        <w:rPr>
          <w:rFonts w:ascii="Arial Narrow" w:hAnsi="Arial Narrow"/>
          <w:sz w:val="22"/>
          <w:szCs w:val="22"/>
          <w:lang w:val="en-US"/>
        </w:rPr>
        <w:t>.</w:t>
      </w:r>
    </w:p>
    <w:p w14:paraId="6A25C32F" w14:textId="02318224" w:rsidR="00103F88" w:rsidRPr="008240B4" w:rsidRDefault="00103F88" w:rsidP="008240B4">
      <w:pPr>
        <w:numPr>
          <w:ilvl w:val="0"/>
          <w:numId w:val="41"/>
        </w:numPr>
        <w:spacing w:line="276" w:lineRule="auto"/>
        <w:rPr>
          <w:rFonts w:ascii="Arial Narrow" w:hAnsi="Arial Narrow"/>
          <w:sz w:val="22"/>
          <w:szCs w:val="22"/>
          <w:lang w:val="en-US"/>
        </w:rPr>
      </w:pPr>
      <w:r w:rsidRPr="008240B4">
        <w:rPr>
          <w:rFonts w:ascii="Arial Narrow" w:hAnsi="Arial Narrow"/>
          <w:sz w:val="22"/>
          <w:szCs w:val="22"/>
          <w:lang w:val="en-US"/>
        </w:rPr>
        <w:t xml:space="preserve">Develop identifiable and transferable modelling strategies capable of representing structural transformations without masking them through calibration under </w:t>
      </w:r>
      <w:r w:rsidR="00A43504" w:rsidRPr="008240B4">
        <w:rPr>
          <w:rFonts w:ascii="Arial Narrow" w:hAnsi="Arial Narrow"/>
          <w:sz w:val="22"/>
          <w:szCs w:val="22"/>
          <w:lang w:val="en-US"/>
        </w:rPr>
        <w:t xml:space="preserve">strong spatial aggregation and </w:t>
      </w:r>
      <w:r w:rsidRPr="008240B4">
        <w:rPr>
          <w:rFonts w:ascii="Arial Narrow" w:hAnsi="Arial Narrow"/>
          <w:sz w:val="22"/>
          <w:szCs w:val="22"/>
          <w:lang w:val="en-US"/>
        </w:rPr>
        <w:t>non-stationary conditions.</w:t>
      </w:r>
    </w:p>
    <w:p w14:paraId="0A6CBA94" w14:textId="77777777" w:rsidR="000B6C8E" w:rsidRPr="008240B4" w:rsidRDefault="00103F88" w:rsidP="008240B4">
      <w:pPr>
        <w:numPr>
          <w:ilvl w:val="0"/>
          <w:numId w:val="41"/>
        </w:numPr>
        <w:spacing w:line="276" w:lineRule="auto"/>
        <w:rPr>
          <w:rFonts w:ascii="Arial Narrow" w:hAnsi="Arial Narrow"/>
          <w:sz w:val="22"/>
          <w:szCs w:val="22"/>
          <w:lang w:val="en-US"/>
        </w:rPr>
      </w:pPr>
      <w:r w:rsidRPr="008240B4">
        <w:rPr>
          <w:rFonts w:ascii="Arial Narrow" w:hAnsi="Arial Narrow"/>
          <w:sz w:val="22"/>
          <w:szCs w:val="22"/>
          <w:lang w:val="en-US"/>
        </w:rPr>
        <w:t xml:space="preserve">Determine the detectability </w:t>
      </w:r>
      <w:r w:rsidR="00C53D5A" w:rsidRPr="008240B4">
        <w:rPr>
          <w:rFonts w:ascii="Arial Narrow" w:hAnsi="Arial Narrow"/>
          <w:sz w:val="22"/>
          <w:szCs w:val="22"/>
          <w:lang w:val="en-US"/>
        </w:rPr>
        <w:t xml:space="preserve">and quantifiability </w:t>
      </w:r>
      <w:r w:rsidRPr="008240B4">
        <w:rPr>
          <w:rFonts w:ascii="Arial Narrow" w:hAnsi="Arial Narrow"/>
          <w:sz w:val="22"/>
          <w:szCs w:val="22"/>
          <w:lang w:val="en-US"/>
        </w:rPr>
        <w:t>of adaptation impacts across operational, medium-term, and long-term decision horizons.</w:t>
      </w:r>
    </w:p>
    <w:p w14:paraId="3AF046A7" w14:textId="32C4D04E" w:rsidR="000B6C8E" w:rsidRPr="008240B4" w:rsidRDefault="000B6C8E" w:rsidP="008240B4">
      <w:pPr>
        <w:numPr>
          <w:ilvl w:val="0"/>
          <w:numId w:val="41"/>
        </w:numPr>
        <w:spacing w:line="276" w:lineRule="auto"/>
        <w:rPr>
          <w:rFonts w:ascii="Arial Narrow" w:hAnsi="Arial Narrow"/>
          <w:sz w:val="22"/>
          <w:szCs w:val="22"/>
          <w:lang w:val="en-US"/>
        </w:rPr>
      </w:pPr>
      <w:r w:rsidRPr="008240B4">
        <w:rPr>
          <w:rFonts w:ascii="Arial Narrow" w:hAnsi="Arial Narrow"/>
          <w:sz w:val="22"/>
          <w:szCs w:val="22"/>
          <w:lang w:val="en-US"/>
        </w:rPr>
        <w:t xml:space="preserve">Develop reproducible implementation frameworks </w:t>
      </w:r>
      <w:r w:rsidR="0084522B" w:rsidRPr="008240B4">
        <w:rPr>
          <w:rFonts w:ascii="Arial Narrow" w:hAnsi="Arial Narrow"/>
          <w:sz w:val="22"/>
          <w:szCs w:val="22"/>
          <w:lang w:val="en-US"/>
        </w:rPr>
        <w:t>to</w:t>
      </w:r>
      <w:r w:rsidRPr="008240B4">
        <w:rPr>
          <w:rFonts w:ascii="Arial Narrow" w:hAnsi="Arial Narrow"/>
          <w:sz w:val="22"/>
          <w:szCs w:val="22"/>
          <w:lang w:val="en-US"/>
        </w:rPr>
        <w:t xml:space="preserve"> support sustained evaluation and decision-making.</w:t>
      </w:r>
    </w:p>
    <w:p w14:paraId="59FF79D3" w14:textId="422FB2EF" w:rsidR="006C4644" w:rsidRPr="008240B4" w:rsidRDefault="00DF5F3E" w:rsidP="008240B4">
      <w:pPr>
        <w:spacing w:line="276" w:lineRule="auto"/>
        <w:rPr>
          <w:rFonts w:ascii="Arial Narrow" w:hAnsi="Arial Narrow"/>
          <w:b/>
          <w:bCs/>
          <w:sz w:val="22"/>
          <w:szCs w:val="22"/>
          <w:lang w:val="en-US"/>
        </w:rPr>
      </w:pPr>
      <w:r w:rsidRPr="008240B4">
        <w:rPr>
          <w:rFonts w:ascii="Arial Narrow" w:hAnsi="Arial Narrow"/>
          <w:b/>
          <w:bCs/>
          <w:sz w:val="22"/>
          <w:szCs w:val="22"/>
          <w:lang w:val="en-US"/>
        </w:rPr>
        <w:t>3</w:t>
      </w:r>
      <w:r w:rsidR="008C6B90" w:rsidRPr="008240B4">
        <w:rPr>
          <w:rFonts w:ascii="Arial Narrow" w:hAnsi="Arial Narrow"/>
          <w:b/>
          <w:bCs/>
          <w:sz w:val="22"/>
          <w:szCs w:val="22"/>
          <w:lang w:val="en-US"/>
        </w:rPr>
        <w:t>. RESEARCH FRAMEWORK</w:t>
      </w:r>
    </w:p>
    <w:p w14:paraId="3DA2B27E" w14:textId="450F1B9F" w:rsidR="00D81A8B" w:rsidRPr="008240B4" w:rsidRDefault="00D81A8B"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To address the combined challenges posed by climate change and </w:t>
      </w:r>
      <w:r w:rsidR="006C555E" w:rsidRPr="008240B4">
        <w:rPr>
          <w:rFonts w:ascii="Arial Narrow" w:hAnsi="Arial Narrow"/>
          <w:sz w:val="22"/>
          <w:szCs w:val="22"/>
          <w:lang w:val="en-US"/>
        </w:rPr>
        <w:t xml:space="preserve">assess the benefits of </w:t>
      </w:r>
      <w:r w:rsidRPr="008240B4">
        <w:rPr>
          <w:rFonts w:ascii="Arial Narrow" w:hAnsi="Arial Narrow"/>
          <w:sz w:val="22"/>
          <w:szCs w:val="22"/>
          <w:lang w:val="en-US"/>
        </w:rPr>
        <w:t xml:space="preserve">the deployment of adaptation measures in urban </w:t>
      </w:r>
      <w:r w:rsidR="0013631B" w:rsidRPr="008240B4">
        <w:rPr>
          <w:rFonts w:ascii="Arial Narrow" w:hAnsi="Arial Narrow"/>
          <w:sz w:val="22"/>
          <w:szCs w:val="22"/>
          <w:lang w:val="en-US"/>
        </w:rPr>
        <w:t>drainage</w:t>
      </w:r>
      <w:r w:rsidRPr="008240B4">
        <w:rPr>
          <w:rFonts w:ascii="Arial Narrow" w:hAnsi="Arial Narrow"/>
          <w:sz w:val="22"/>
          <w:szCs w:val="22"/>
          <w:lang w:val="en-US"/>
        </w:rPr>
        <w:t xml:space="preserve"> systems, this research is structured around two complementary and interdependent axes. The first focuses on observability and inference under real monitoring constraints. The second examines modelling strategies and identifiability at city scale to strengthen long-term impact evaluation under climatic non-stationarity.</w:t>
      </w:r>
    </w:p>
    <w:p w14:paraId="509626B6" w14:textId="76591EDC" w:rsidR="006C4644" w:rsidRPr="008240B4" w:rsidRDefault="00FA16CA" w:rsidP="008240B4">
      <w:pPr>
        <w:spacing w:line="276" w:lineRule="auto"/>
        <w:rPr>
          <w:rFonts w:ascii="Arial Narrow" w:hAnsi="Arial Narrow"/>
          <w:b/>
          <w:bCs/>
          <w:sz w:val="22"/>
          <w:szCs w:val="22"/>
          <w:lang w:val="en-US"/>
        </w:rPr>
      </w:pPr>
      <w:r w:rsidRPr="008240B4">
        <w:rPr>
          <w:rFonts w:ascii="Arial Narrow" w:hAnsi="Arial Narrow"/>
          <w:b/>
          <w:bCs/>
          <w:sz w:val="22"/>
          <w:szCs w:val="22"/>
          <w:lang w:val="en-US"/>
        </w:rPr>
        <w:t xml:space="preserve">3.1. </w:t>
      </w:r>
      <w:r w:rsidR="006C4644" w:rsidRPr="008240B4">
        <w:rPr>
          <w:rFonts w:ascii="Arial Narrow" w:hAnsi="Arial Narrow"/>
          <w:b/>
          <w:bCs/>
          <w:sz w:val="22"/>
          <w:szCs w:val="22"/>
          <w:lang w:val="en-US"/>
        </w:rPr>
        <w:t xml:space="preserve">Axis 1 — Observability, Inference, and Uncertainty </w:t>
      </w:r>
    </w:p>
    <w:p w14:paraId="31423938" w14:textId="0F6C8641" w:rsidR="003E3D85" w:rsidRPr="008240B4" w:rsidRDefault="009C7482"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Urban drainage networks </w:t>
      </w:r>
      <w:r w:rsidR="00E744F2" w:rsidRPr="008240B4">
        <w:rPr>
          <w:rFonts w:ascii="Arial Narrow" w:hAnsi="Arial Narrow"/>
          <w:sz w:val="22"/>
          <w:szCs w:val="22"/>
          <w:lang w:val="en-US"/>
        </w:rPr>
        <w:t>remain one of the most challenging engineered infrastructures to measure and observe reliably</w:t>
      </w:r>
      <w:r w:rsidR="007819EA" w:rsidRPr="008240B4">
        <w:rPr>
          <w:rFonts w:ascii="Arial Narrow" w:hAnsi="Arial Narrow"/>
          <w:sz w:val="22"/>
          <w:szCs w:val="22"/>
          <w:lang w:val="en-US"/>
        </w:rPr>
        <w:t xml:space="preserve"> (</w:t>
      </w:r>
      <w:r w:rsidR="00B458BC" w:rsidRPr="008240B4">
        <w:rPr>
          <w:rFonts w:ascii="Arial Narrow" w:hAnsi="Arial Narrow"/>
          <w:sz w:val="22"/>
          <w:szCs w:val="22"/>
          <w:lang w:val="en-US"/>
        </w:rPr>
        <w:t>Lepot et al., 2021</w:t>
      </w:r>
      <w:r w:rsidR="007819EA" w:rsidRPr="008240B4">
        <w:rPr>
          <w:rFonts w:ascii="Arial Narrow" w:hAnsi="Arial Narrow"/>
          <w:sz w:val="22"/>
          <w:szCs w:val="22"/>
          <w:lang w:val="en-US"/>
        </w:rPr>
        <w:t>)</w:t>
      </w:r>
      <w:r w:rsidR="003E3D85" w:rsidRPr="008240B4">
        <w:rPr>
          <w:rFonts w:ascii="Arial Narrow" w:hAnsi="Arial Narrow"/>
          <w:sz w:val="22"/>
          <w:szCs w:val="22"/>
          <w:lang w:val="en-US"/>
        </w:rPr>
        <w:t xml:space="preserve">. They operate under hydraulically unstable conditions, with rapid transitions between dry-weather flow, sediment-laden states, and extreme storm events. </w:t>
      </w:r>
      <w:r w:rsidR="008A67AA" w:rsidRPr="008240B4">
        <w:rPr>
          <w:rFonts w:ascii="Arial Narrow" w:hAnsi="Arial Narrow"/>
          <w:sz w:val="22"/>
          <w:szCs w:val="22"/>
          <w:lang w:val="en-US"/>
        </w:rPr>
        <w:t>Sensors are exposed to fouling, hydraulic disturbances, and corrosive conditions, while physical access remains limited and often hazardous</w:t>
      </w:r>
      <w:r w:rsidR="003E3D85" w:rsidRPr="008240B4">
        <w:rPr>
          <w:rFonts w:ascii="Arial Narrow" w:hAnsi="Arial Narrow"/>
          <w:sz w:val="22"/>
          <w:szCs w:val="22"/>
          <w:lang w:val="en-US"/>
        </w:rPr>
        <w:t>. Under such conditions, monitoring cannot be treated as a purely technical operation; it becomes a scientific problem of inference in a dynamically evolving and constrained environment.</w:t>
      </w:r>
    </w:p>
    <w:p w14:paraId="513D3793" w14:textId="1E21CAE6" w:rsidR="00CD0312" w:rsidRPr="008240B4" w:rsidRDefault="003E3D85"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Over the past decades, online monitoring using surrogate sensors—such as </w:t>
      </w:r>
      <w:r w:rsidR="00AC4E91" w:rsidRPr="008240B4">
        <w:rPr>
          <w:rFonts w:ascii="Arial Narrow" w:hAnsi="Arial Narrow"/>
          <w:sz w:val="22"/>
          <w:szCs w:val="22"/>
          <w:lang w:val="en-US"/>
        </w:rPr>
        <w:t xml:space="preserve">water level sensors, </w:t>
      </w:r>
      <w:r w:rsidRPr="008240B4">
        <w:rPr>
          <w:rFonts w:ascii="Arial Narrow" w:hAnsi="Arial Narrow"/>
          <w:sz w:val="22"/>
          <w:szCs w:val="22"/>
          <w:lang w:val="en-US"/>
        </w:rPr>
        <w:t>turbidimeters</w:t>
      </w:r>
      <w:r w:rsidR="00AC4E91" w:rsidRPr="008240B4">
        <w:rPr>
          <w:rFonts w:ascii="Arial Narrow" w:hAnsi="Arial Narrow"/>
          <w:sz w:val="22"/>
          <w:szCs w:val="22"/>
          <w:lang w:val="en-US"/>
        </w:rPr>
        <w:t xml:space="preserve"> and </w:t>
      </w:r>
      <w:r w:rsidRPr="008240B4">
        <w:rPr>
          <w:rFonts w:ascii="Arial Narrow" w:hAnsi="Arial Narrow"/>
          <w:sz w:val="22"/>
          <w:szCs w:val="22"/>
          <w:lang w:val="en-US"/>
        </w:rPr>
        <w:t xml:space="preserve">conductivity probes—has progressively complemented </w:t>
      </w:r>
      <w:r w:rsidR="009E1D81" w:rsidRPr="008240B4">
        <w:rPr>
          <w:rFonts w:ascii="Arial Narrow" w:hAnsi="Arial Narrow"/>
          <w:sz w:val="22"/>
          <w:szCs w:val="22"/>
          <w:lang w:val="en-US"/>
        </w:rPr>
        <w:t>sporadic</w:t>
      </w:r>
      <w:r w:rsidRPr="008240B4">
        <w:rPr>
          <w:rFonts w:ascii="Arial Narrow" w:hAnsi="Arial Narrow"/>
          <w:sz w:val="22"/>
          <w:szCs w:val="22"/>
          <w:lang w:val="en-US"/>
        </w:rPr>
        <w:t xml:space="preserve"> </w:t>
      </w:r>
      <w:r w:rsidR="00CE188D">
        <w:rPr>
          <w:rFonts w:ascii="Arial Narrow" w:hAnsi="Arial Narrow"/>
          <w:sz w:val="22"/>
          <w:szCs w:val="22"/>
          <w:lang w:val="en-US"/>
        </w:rPr>
        <w:t xml:space="preserve">measurements </w:t>
      </w:r>
      <w:r w:rsidRPr="008240B4">
        <w:rPr>
          <w:rFonts w:ascii="Arial Narrow" w:hAnsi="Arial Narrow"/>
          <w:sz w:val="22"/>
          <w:szCs w:val="22"/>
          <w:lang w:val="en-US"/>
        </w:rPr>
        <w:t xml:space="preserve">in urban drainage </w:t>
      </w:r>
      <w:r w:rsidR="00484300" w:rsidRPr="008240B4">
        <w:rPr>
          <w:rFonts w:ascii="Arial Narrow" w:hAnsi="Arial Narrow"/>
          <w:sz w:val="22"/>
          <w:szCs w:val="22"/>
          <w:lang w:val="en-US"/>
        </w:rPr>
        <w:t>networks</w:t>
      </w:r>
      <w:r w:rsidRPr="008240B4">
        <w:rPr>
          <w:rFonts w:ascii="Arial Narrow" w:hAnsi="Arial Narrow"/>
          <w:sz w:val="22"/>
          <w:szCs w:val="22"/>
          <w:lang w:val="en-US"/>
        </w:rPr>
        <w:t xml:space="preserve"> (Métadier &amp; Bertrand-Krajewski, 2012; Lepot et al., 2016). </w:t>
      </w:r>
      <w:r w:rsidR="00BB0505" w:rsidRPr="008240B4">
        <w:rPr>
          <w:rFonts w:ascii="Arial Narrow" w:hAnsi="Arial Narrow"/>
          <w:sz w:val="22"/>
          <w:szCs w:val="22"/>
          <w:lang w:val="en-US"/>
        </w:rPr>
        <w:t>High-frequency measurements have revealed rapid transient flow responses and associated pollutant transport dynamics that cannot be captured by conventional low-frequency monitoring</w:t>
      </w:r>
      <w:r w:rsidRPr="008240B4">
        <w:rPr>
          <w:rFonts w:ascii="Arial Narrow" w:hAnsi="Arial Narrow"/>
          <w:sz w:val="22"/>
          <w:szCs w:val="22"/>
          <w:lang w:val="en-US"/>
        </w:rPr>
        <w:t xml:space="preserve">. Yet increased temporal resolution does not automatically translate into improved knowledge. Surrogate signals embed complex error structures that must be explicitly characterized if monitoring is to </w:t>
      </w:r>
      <w:r w:rsidR="00E62B2A" w:rsidRPr="008240B4">
        <w:rPr>
          <w:rFonts w:ascii="Arial Narrow" w:hAnsi="Arial Narrow"/>
          <w:sz w:val="22"/>
          <w:szCs w:val="22"/>
          <w:lang w:val="en-US"/>
        </w:rPr>
        <w:t xml:space="preserve">support operational and </w:t>
      </w:r>
      <w:r w:rsidRPr="008240B4">
        <w:rPr>
          <w:rFonts w:ascii="Arial Narrow" w:hAnsi="Arial Narrow"/>
          <w:sz w:val="22"/>
          <w:szCs w:val="22"/>
          <w:lang w:val="en-US"/>
        </w:rPr>
        <w:t xml:space="preserve">long-term </w:t>
      </w:r>
      <w:r w:rsidR="00E62B2A" w:rsidRPr="008240B4">
        <w:rPr>
          <w:rFonts w:ascii="Arial Narrow" w:hAnsi="Arial Narrow"/>
          <w:sz w:val="22"/>
          <w:szCs w:val="22"/>
          <w:lang w:val="en-US"/>
        </w:rPr>
        <w:t>assessments</w:t>
      </w:r>
      <w:r w:rsidR="001720BB" w:rsidRPr="008240B4">
        <w:rPr>
          <w:rFonts w:ascii="Arial Narrow" w:hAnsi="Arial Narrow"/>
          <w:sz w:val="22"/>
          <w:szCs w:val="22"/>
          <w:lang w:val="en-US"/>
        </w:rPr>
        <w:t xml:space="preserve"> (Métadier &amp; Bertrand-Krajewski, 2012)</w:t>
      </w:r>
      <w:r w:rsidR="00E62B2A" w:rsidRPr="008240B4">
        <w:rPr>
          <w:rFonts w:ascii="Arial Narrow" w:hAnsi="Arial Narrow"/>
          <w:sz w:val="22"/>
          <w:szCs w:val="22"/>
          <w:lang w:val="en-US"/>
        </w:rPr>
        <w:t>.</w:t>
      </w:r>
    </w:p>
    <w:p w14:paraId="3D2F662D" w14:textId="1B672C54" w:rsidR="003E3D85" w:rsidRPr="008240B4" w:rsidRDefault="003E3D85" w:rsidP="008240B4">
      <w:pPr>
        <w:spacing w:line="276" w:lineRule="auto"/>
        <w:jc w:val="both"/>
        <w:rPr>
          <w:rFonts w:ascii="Arial Narrow" w:hAnsi="Arial Narrow"/>
          <w:b/>
          <w:bCs/>
          <w:sz w:val="22"/>
          <w:szCs w:val="22"/>
          <w:lang w:val="en-US"/>
        </w:rPr>
      </w:pPr>
      <w:r w:rsidRPr="008240B4">
        <w:rPr>
          <w:rFonts w:ascii="Arial Narrow" w:hAnsi="Arial Narrow"/>
          <w:b/>
          <w:bCs/>
          <w:sz w:val="22"/>
          <w:szCs w:val="22"/>
          <w:lang w:val="en-US"/>
        </w:rPr>
        <w:t xml:space="preserve">Sensor-Level Reliability </w:t>
      </w:r>
    </w:p>
    <w:p w14:paraId="1DDAA6CE" w14:textId="4C2993AC" w:rsidR="005C137C" w:rsidRPr="008240B4" w:rsidRDefault="005C137C"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Surrogate sensors require local calibration against laboratory analyses (for water quality) or velocity measurements (for </w:t>
      </w:r>
      <w:r w:rsidR="008017AF" w:rsidRPr="008240B4">
        <w:rPr>
          <w:rFonts w:ascii="Arial Narrow" w:hAnsi="Arial Narrow"/>
          <w:sz w:val="22"/>
          <w:szCs w:val="22"/>
          <w:lang w:val="en-US"/>
        </w:rPr>
        <w:t>flowrate</w:t>
      </w:r>
      <w:r w:rsidRPr="008240B4">
        <w:rPr>
          <w:rFonts w:ascii="Arial Narrow" w:hAnsi="Arial Narrow"/>
          <w:sz w:val="22"/>
          <w:szCs w:val="22"/>
          <w:lang w:val="en-US"/>
        </w:rPr>
        <w:t xml:space="preserve"> estimation). Their signals are influenced by drift, clogging, hydraulic irregularities, vertical stratification, and installation-specific constraints (Métadier &amp; Bertrand-Krajewski, 2012; Hannouche et al., 2017). My previous </w:t>
      </w:r>
      <w:r w:rsidRPr="008240B4">
        <w:rPr>
          <w:rFonts w:ascii="Arial Narrow" w:hAnsi="Arial Narrow"/>
          <w:sz w:val="22"/>
          <w:szCs w:val="22"/>
          <w:lang w:val="en-US"/>
        </w:rPr>
        <w:lastRenderedPageBreak/>
        <w:t>work has demonstrated that uncertainties linked to field installation conditions—such as sampling intake position or pumping configuration—propagate significantly into pollutant load estimations and associated performance indicators (Sandoval &amp; Bertrand-Krajewski, 2016; Sandoval et al., 2018a</w:t>
      </w:r>
      <w:r w:rsidR="001C746C" w:rsidRPr="008240B4">
        <w:rPr>
          <w:rFonts w:ascii="Arial Narrow" w:hAnsi="Arial Narrow"/>
          <w:sz w:val="22"/>
          <w:szCs w:val="22"/>
          <w:lang w:val="en-US"/>
        </w:rPr>
        <w:t>*</w:t>
      </w:r>
      <w:r w:rsidRPr="008240B4">
        <w:rPr>
          <w:rFonts w:ascii="Arial Narrow" w:hAnsi="Arial Narrow"/>
          <w:sz w:val="22"/>
          <w:szCs w:val="22"/>
          <w:lang w:val="en-US"/>
        </w:rPr>
        <w:t>; Peña-Heredia et al., 2021).</w:t>
      </w:r>
    </w:p>
    <w:p w14:paraId="4C7C3E6C" w14:textId="268BA83E" w:rsidR="00350852" w:rsidRPr="008240B4" w:rsidRDefault="00E12055"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These uncertainties are not incidental; they define the inferential limits of monitoring. Sensor calibration must therefore be formulated within uncertainty-aware inferential frameworks that explicitly represent complex, heteroscedastic, and correlated error structures (Sandoval et al., 2021</w:t>
      </w:r>
      <w:r w:rsidR="007F7017" w:rsidRPr="008240B4">
        <w:rPr>
          <w:rFonts w:ascii="Arial Narrow" w:hAnsi="Arial Narrow"/>
          <w:sz w:val="22"/>
          <w:szCs w:val="22"/>
          <w:lang w:val="en-US"/>
        </w:rPr>
        <w:t>*; Peña-Heredia et al., 2021*</w:t>
      </w:r>
      <w:r w:rsidRPr="008240B4">
        <w:rPr>
          <w:rFonts w:ascii="Arial Narrow" w:hAnsi="Arial Narrow"/>
          <w:sz w:val="22"/>
          <w:szCs w:val="22"/>
          <w:lang w:val="en-US"/>
        </w:rPr>
        <w:t xml:space="preserve">). </w:t>
      </w:r>
      <w:r w:rsidR="008A67AA" w:rsidRPr="008240B4">
        <w:rPr>
          <w:rFonts w:ascii="Arial Narrow" w:hAnsi="Arial Narrow"/>
          <w:sz w:val="22"/>
          <w:szCs w:val="22"/>
          <w:lang w:val="en-US"/>
        </w:rPr>
        <w:t>Fo</w:t>
      </w:r>
      <w:r w:rsidR="00F34F94" w:rsidRPr="008240B4">
        <w:rPr>
          <w:rFonts w:ascii="Arial Narrow" w:hAnsi="Arial Narrow"/>
          <w:sz w:val="22"/>
          <w:szCs w:val="22"/>
          <w:lang w:val="en-US"/>
        </w:rPr>
        <w:t>r</w:t>
      </w:r>
      <w:r w:rsidR="008A67AA" w:rsidRPr="008240B4">
        <w:rPr>
          <w:rFonts w:ascii="Arial Narrow" w:hAnsi="Arial Narrow"/>
          <w:sz w:val="22"/>
          <w:szCs w:val="22"/>
          <w:lang w:val="en-US"/>
        </w:rPr>
        <w:t xml:space="preserve"> this </w:t>
      </w:r>
      <w:r w:rsidR="00CC5282" w:rsidRPr="008240B4">
        <w:rPr>
          <w:rFonts w:ascii="Arial Narrow" w:hAnsi="Arial Narrow"/>
          <w:sz w:val="22"/>
          <w:szCs w:val="22"/>
          <w:lang w:val="en-US"/>
        </w:rPr>
        <w:t>purpose,</w:t>
      </w:r>
      <w:r w:rsidR="008A67AA" w:rsidRPr="008240B4">
        <w:rPr>
          <w:rFonts w:ascii="Arial Narrow" w:hAnsi="Arial Narrow"/>
          <w:sz w:val="22"/>
          <w:szCs w:val="22"/>
          <w:lang w:val="en-US"/>
        </w:rPr>
        <w:t xml:space="preserve"> </w:t>
      </w:r>
      <w:r w:rsidR="005C137C" w:rsidRPr="008240B4">
        <w:rPr>
          <w:rFonts w:ascii="Arial Narrow" w:hAnsi="Arial Narrow"/>
          <w:sz w:val="22"/>
          <w:szCs w:val="22"/>
          <w:lang w:val="en-US"/>
        </w:rPr>
        <w:t xml:space="preserve">Bayesian calibration approaches (Horner et al., 2018), non-parametric regression methods (Pedregosa et al., 2011), and simulation-based validation strategies (Sandoval et al., </w:t>
      </w:r>
      <w:r w:rsidR="008A2A41" w:rsidRPr="008240B4">
        <w:rPr>
          <w:rFonts w:ascii="Arial Narrow" w:hAnsi="Arial Narrow"/>
          <w:sz w:val="22"/>
          <w:szCs w:val="22"/>
          <w:lang w:val="en-US"/>
        </w:rPr>
        <w:t>2018b</w:t>
      </w:r>
      <w:r w:rsidR="00FB7793" w:rsidRPr="008240B4">
        <w:rPr>
          <w:rFonts w:ascii="Arial Narrow" w:hAnsi="Arial Narrow"/>
          <w:sz w:val="22"/>
          <w:szCs w:val="22"/>
          <w:lang w:val="en-US"/>
        </w:rPr>
        <w:t>*</w:t>
      </w:r>
      <w:r w:rsidR="005C137C" w:rsidRPr="008240B4">
        <w:rPr>
          <w:rFonts w:ascii="Arial Narrow" w:hAnsi="Arial Narrow"/>
          <w:sz w:val="22"/>
          <w:szCs w:val="22"/>
          <w:lang w:val="en-US"/>
        </w:rPr>
        <w:t xml:space="preserve">) offer complementary avenues to characterize surrogate relationships and quantify their uncertainty envelopes. </w:t>
      </w:r>
      <w:r w:rsidR="00350852" w:rsidRPr="008240B4">
        <w:rPr>
          <w:rFonts w:ascii="Arial Narrow" w:hAnsi="Arial Narrow"/>
          <w:sz w:val="22"/>
          <w:szCs w:val="22"/>
          <w:lang w:val="en-US"/>
        </w:rPr>
        <w:t>Building on my R&amp;D experience in applied engineering contexts, artificial intelligence constitutes a powerful methodological extension of classical inferential tools within the data construction chain. AI-assisted approaches for anomaly detection, drift correction</w:t>
      </w:r>
      <w:r w:rsidR="00216AEF" w:rsidRPr="008240B4">
        <w:rPr>
          <w:rFonts w:ascii="Arial Narrow" w:hAnsi="Arial Narrow"/>
          <w:sz w:val="22"/>
          <w:szCs w:val="22"/>
          <w:lang w:val="en-US"/>
        </w:rPr>
        <w:t>,</w:t>
      </w:r>
      <w:r w:rsidR="00620C14" w:rsidRPr="008240B4">
        <w:rPr>
          <w:rFonts w:ascii="Arial Narrow" w:hAnsi="Arial Narrow"/>
          <w:sz w:val="22"/>
          <w:szCs w:val="22"/>
          <w:lang w:val="en-US"/>
        </w:rPr>
        <w:t xml:space="preserve"> and</w:t>
      </w:r>
      <w:r w:rsidR="00350852" w:rsidRPr="008240B4">
        <w:rPr>
          <w:rFonts w:ascii="Arial Narrow" w:hAnsi="Arial Narrow"/>
          <w:sz w:val="22"/>
          <w:szCs w:val="22"/>
          <w:lang w:val="en-US"/>
        </w:rPr>
        <w:t xml:space="preserve"> proxy reconstruction can significantly enhance data </w:t>
      </w:r>
      <w:r w:rsidR="00A70E2D" w:rsidRPr="008240B4">
        <w:rPr>
          <w:rFonts w:ascii="Arial Narrow" w:hAnsi="Arial Narrow"/>
          <w:sz w:val="22"/>
          <w:szCs w:val="22"/>
          <w:lang w:val="en-US"/>
        </w:rPr>
        <w:t>quality</w:t>
      </w:r>
      <w:r w:rsidR="00350852" w:rsidRPr="008240B4">
        <w:rPr>
          <w:rFonts w:ascii="Arial Narrow" w:hAnsi="Arial Narrow"/>
          <w:sz w:val="22"/>
          <w:szCs w:val="22"/>
          <w:lang w:val="en-US"/>
        </w:rPr>
        <w:t xml:space="preserve"> in high-frequency monitoring </w:t>
      </w:r>
      <w:r w:rsidR="00536F0C" w:rsidRPr="008240B4">
        <w:rPr>
          <w:rFonts w:ascii="Arial Narrow" w:hAnsi="Arial Narrow"/>
          <w:sz w:val="22"/>
          <w:szCs w:val="22"/>
          <w:lang w:val="en-US"/>
        </w:rPr>
        <w:t>initiatives</w:t>
      </w:r>
      <w:r w:rsidR="00350852" w:rsidRPr="008240B4">
        <w:rPr>
          <w:rFonts w:ascii="Arial Narrow" w:hAnsi="Arial Narrow"/>
          <w:sz w:val="22"/>
          <w:szCs w:val="22"/>
          <w:lang w:val="en-US"/>
        </w:rPr>
        <w:t xml:space="preserve">. </w:t>
      </w:r>
    </w:p>
    <w:p w14:paraId="320D2DC4" w14:textId="7D7F4DCE" w:rsidR="00CD0312" w:rsidRPr="008240B4" w:rsidRDefault="00CD0312"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Ultimately, this axis seeks to formalize what can be reliably inferred from sensors under real conditions and how uncertainty propagates into system-level indicators and impact detection.</w:t>
      </w:r>
    </w:p>
    <w:p w14:paraId="5CBDAD41" w14:textId="2710294D" w:rsidR="00554E58" w:rsidRPr="008240B4" w:rsidRDefault="00554E58" w:rsidP="008240B4">
      <w:pPr>
        <w:spacing w:line="276" w:lineRule="auto"/>
        <w:jc w:val="both"/>
        <w:rPr>
          <w:rFonts w:ascii="Arial Narrow" w:hAnsi="Arial Narrow"/>
          <w:b/>
          <w:bCs/>
          <w:sz w:val="22"/>
          <w:szCs w:val="22"/>
          <w:lang w:val="en-US"/>
        </w:rPr>
      </w:pPr>
      <w:r w:rsidRPr="008240B4">
        <w:rPr>
          <w:rFonts w:ascii="Arial Narrow" w:hAnsi="Arial Narrow"/>
          <w:b/>
          <w:bCs/>
          <w:sz w:val="22"/>
          <w:szCs w:val="22"/>
          <w:lang w:val="en-US"/>
        </w:rPr>
        <w:t xml:space="preserve">Monitoring Network Design and Observability </w:t>
      </w:r>
    </w:p>
    <w:p w14:paraId="7697BB82" w14:textId="36B73D3C" w:rsidR="00A30377" w:rsidRPr="0048467B" w:rsidRDefault="003E3D85" w:rsidP="008240B4">
      <w:pPr>
        <w:spacing w:line="276" w:lineRule="auto"/>
        <w:jc w:val="both"/>
        <w:rPr>
          <w:rFonts w:ascii="Arial Narrow" w:hAnsi="Arial Narrow"/>
          <w:b/>
          <w:bCs/>
          <w:sz w:val="22"/>
          <w:szCs w:val="22"/>
          <w:lang w:val="en-US"/>
        </w:rPr>
      </w:pPr>
      <w:r w:rsidRPr="008240B4">
        <w:rPr>
          <w:rFonts w:ascii="Arial Narrow" w:hAnsi="Arial Narrow"/>
          <w:sz w:val="22"/>
          <w:szCs w:val="22"/>
          <w:lang w:val="en-US"/>
        </w:rPr>
        <w:t>Monitoring in urban drainage</w:t>
      </w:r>
      <w:r w:rsidR="00484300" w:rsidRPr="008240B4">
        <w:rPr>
          <w:rFonts w:ascii="Arial Narrow" w:hAnsi="Arial Narrow"/>
          <w:sz w:val="22"/>
          <w:szCs w:val="22"/>
          <w:lang w:val="en-US"/>
        </w:rPr>
        <w:t xml:space="preserve"> networks</w:t>
      </w:r>
      <w:r w:rsidRPr="008240B4">
        <w:rPr>
          <w:rFonts w:ascii="Arial Narrow" w:hAnsi="Arial Narrow"/>
          <w:sz w:val="22"/>
          <w:szCs w:val="22"/>
          <w:lang w:val="en-US"/>
        </w:rPr>
        <w:t xml:space="preserve"> has traditionally focused on outlet measurements of large catchments, implicitly assuming spatial representativeness. However, spatial variability </w:t>
      </w:r>
      <w:r w:rsidR="009B2EF4" w:rsidRPr="008240B4">
        <w:rPr>
          <w:rFonts w:ascii="Arial Narrow" w:hAnsi="Arial Narrow"/>
          <w:sz w:val="22"/>
          <w:szCs w:val="22"/>
          <w:lang w:val="en-US"/>
        </w:rPr>
        <w:t xml:space="preserve">in hydraulic conditions, </w:t>
      </w:r>
      <w:r w:rsidRPr="008240B4">
        <w:rPr>
          <w:rFonts w:ascii="Arial Narrow" w:hAnsi="Arial Narrow"/>
          <w:sz w:val="22"/>
          <w:szCs w:val="22"/>
          <w:lang w:val="en-US"/>
        </w:rPr>
        <w:t>pollutant transport</w:t>
      </w:r>
      <w:r w:rsidR="00966482">
        <w:rPr>
          <w:rFonts w:ascii="Arial Narrow" w:hAnsi="Arial Narrow"/>
          <w:sz w:val="22"/>
          <w:szCs w:val="22"/>
          <w:lang w:val="en-US"/>
        </w:rPr>
        <w:t>,</w:t>
      </w:r>
      <w:r w:rsidRPr="008240B4">
        <w:rPr>
          <w:rFonts w:ascii="Arial Narrow" w:hAnsi="Arial Narrow"/>
          <w:sz w:val="22"/>
          <w:szCs w:val="22"/>
          <w:lang w:val="en-US"/>
        </w:rPr>
        <w:t xml:space="preserve"> and sediment dynamics </w:t>
      </w:r>
      <w:r w:rsidR="009B2EF4" w:rsidRPr="008240B4">
        <w:rPr>
          <w:rFonts w:ascii="Arial Narrow" w:hAnsi="Arial Narrow"/>
          <w:sz w:val="22"/>
          <w:szCs w:val="22"/>
          <w:lang w:val="en-US"/>
        </w:rPr>
        <w:t>limit</w:t>
      </w:r>
      <w:r w:rsidRPr="008240B4">
        <w:rPr>
          <w:rFonts w:ascii="Arial Narrow" w:hAnsi="Arial Narrow"/>
          <w:sz w:val="22"/>
          <w:szCs w:val="22"/>
          <w:lang w:val="en-US"/>
        </w:rPr>
        <w:t xml:space="preserve"> this assumption (Bonhomme &amp; Petrucci, 2017; Sandoval et al., 2018b</w:t>
      </w:r>
      <w:r w:rsidR="00994212" w:rsidRPr="008240B4">
        <w:rPr>
          <w:rFonts w:ascii="Arial Narrow" w:hAnsi="Arial Narrow"/>
          <w:sz w:val="22"/>
          <w:szCs w:val="22"/>
          <w:lang w:val="en-US"/>
        </w:rPr>
        <w:t>*</w:t>
      </w:r>
      <w:r w:rsidRPr="008240B4">
        <w:rPr>
          <w:rFonts w:ascii="Arial Narrow" w:hAnsi="Arial Narrow"/>
          <w:sz w:val="22"/>
          <w:szCs w:val="22"/>
          <w:lang w:val="en-US"/>
        </w:rPr>
        <w:t>). Capturing internal heterogeneity is therefore essential for improving system understanding.</w:t>
      </w:r>
      <w:r w:rsidR="0048467B">
        <w:rPr>
          <w:rFonts w:ascii="Arial Narrow" w:hAnsi="Arial Narrow"/>
          <w:sz w:val="22"/>
          <w:szCs w:val="22"/>
          <w:lang w:val="en-US"/>
        </w:rPr>
        <w:t xml:space="preserve"> </w:t>
      </w:r>
      <w:r w:rsidR="00415186" w:rsidRPr="00415186">
        <w:rPr>
          <w:rFonts w:ascii="Arial Narrow" w:hAnsi="Arial Narrow"/>
          <w:sz w:val="22"/>
          <w:szCs w:val="22"/>
          <w:lang w:val="en-US"/>
        </w:rPr>
        <w:t>In</w:t>
      </w:r>
      <w:r w:rsidR="00A30377">
        <w:rPr>
          <w:rFonts w:ascii="Arial Narrow" w:hAnsi="Arial Narrow"/>
          <w:sz w:val="22"/>
          <w:szCs w:val="22"/>
          <w:lang w:val="en-US"/>
        </w:rPr>
        <w:t xml:space="preserve"> </w:t>
      </w:r>
      <w:r w:rsidR="00415186" w:rsidRPr="00415186">
        <w:rPr>
          <w:rFonts w:ascii="Arial Narrow" w:hAnsi="Arial Narrow"/>
          <w:sz w:val="22"/>
          <w:szCs w:val="22"/>
          <w:lang w:val="en-US"/>
        </w:rPr>
        <w:t xml:space="preserve">this perspective, the deployment of low-cost sensors to increase spatial coverage constitutes a relevant research pathway (Cherqui et al., 2020). </w:t>
      </w:r>
      <w:r w:rsidR="0048467B" w:rsidRPr="00415186">
        <w:rPr>
          <w:rFonts w:ascii="Arial Narrow" w:hAnsi="Arial Narrow"/>
          <w:sz w:val="22"/>
          <w:szCs w:val="22"/>
          <w:lang w:val="en-US"/>
        </w:rPr>
        <w:t xml:space="preserve">The scientific opportunity </w:t>
      </w:r>
      <w:r w:rsidR="0048467B" w:rsidRPr="008240B4">
        <w:rPr>
          <w:rFonts w:ascii="Arial Narrow" w:hAnsi="Arial Narrow"/>
          <w:sz w:val="22"/>
          <w:szCs w:val="22"/>
          <w:lang w:val="en-US"/>
        </w:rPr>
        <w:t>lies not in sensor densification per se, but in maximizing information content under hydraulic, financial, and operational constraints.</w:t>
      </w:r>
    </w:p>
    <w:p w14:paraId="3F3F9AA1" w14:textId="69A89387" w:rsidR="00415186" w:rsidRPr="00D342AC" w:rsidRDefault="00992486" w:rsidP="008240B4">
      <w:pPr>
        <w:spacing w:line="276" w:lineRule="auto"/>
        <w:jc w:val="both"/>
        <w:rPr>
          <w:rFonts w:ascii="Arial Narrow" w:hAnsi="Arial Narrow"/>
          <w:b/>
          <w:bCs/>
          <w:sz w:val="22"/>
          <w:szCs w:val="22"/>
          <w:lang w:val="en-US"/>
        </w:rPr>
      </w:pPr>
      <w:r w:rsidRPr="00992486">
        <w:rPr>
          <w:rFonts w:ascii="Arial Narrow" w:hAnsi="Arial Narrow"/>
          <w:sz w:val="22"/>
          <w:szCs w:val="22"/>
          <w:lang w:val="en-US"/>
        </w:rPr>
        <w:t>To structure this information gain,</w:t>
      </w:r>
      <w:r>
        <w:rPr>
          <w:rFonts w:ascii="Arial Narrow" w:hAnsi="Arial Narrow"/>
          <w:sz w:val="22"/>
          <w:szCs w:val="22"/>
          <w:lang w:val="en-US"/>
        </w:rPr>
        <w:t xml:space="preserve"> </w:t>
      </w:r>
      <w:r w:rsidR="00220079">
        <w:rPr>
          <w:rFonts w:ascii="Arial Narrow" w:hAnsi="Arial Narrow"/>
          <w:sz w:val="22"/>
          <w:szCs w:val="22"/>
          <w:lang w:val="en-US"/>
        </w:rPr>
        <w:t>a</w:t>
      </w:r>
      <w:r w:rsidR="0048467B">
        <w:rPr>
          <w:rFonts w:ascii="Arial Narrow" w:hAnsi="Arial Narrow"/>
          <w:sz w:val="22"/>
          <w:szCs w:val="22"/>
          <w:lang w:val="en-US"/>
        </w:rPr>
        <w:t xml:space="preserve"> </w:t>
      </w:r>
      <w:r w:rsidR="00415186" w:rsidRPr="00415186">
        <w:rPr>
          <w:rFonts w:ascii="Arial Narrow" w:hAnsi="Arial Narrow"/>
          <w:sz w:val="22"/>
          <w:szCs w:val="22"/>
          <w:lang w:val="en-US"/>
        </w:rPr>
        <w:t xml:space="preserve">promising direction lies in coupling </w:t>
      </w:r>
      <w:r w:rsidR="00C171A8">
        <w:rPr>
          <w:rFonts w:ascii="Arial Narrow" w:hAnsi="Arial Narrow"/>
          <w:sz w:val="22"/>
          <w:szCs w:val="22"/>
          <w:lang w:val="en-US"/>
        </w:rPr>
        <w:t>hydraulic</w:t>
      </w:r>
      <w:r w:rsidR="00415186" w:rsidRPr="00415186">
        <w:rPr>
          <w:rFonts w:ascii="Arial Narrow" w:hAnsi="Arial Narrow"/>
          <w:sz w:val="22"/>
          <w:szCs w:val="22"/>
          <w:lang w:val="en-US"/>
        </w:rPr>
        <w:t xml:space="preserve"> modelling with inverse inference and information-theoretic design criteria (Lepot et al., 2021). </w:t>
      </w:r>
      <w:r w:rsidR="004E5383">
        <w:rPr>
          <w:rFonts w:ascii="Arial Narrow" w:hAnsi="Arial Narrow"/>
          <w:sz w:val="22"/>
          <w:szCs w:val="22"/>
          <w:lang w:val="en-US"/>
        </w:rPr>
        <w:t>M</w:t>
      </w:r>
      <w:r w:rsidR="00415186" w:rsidRPr="00415186">
        <w:rPr>
          <w:rFonts w:ascii="Arial Narrow" w:hAnsi="Arial Narrow"/>
          <w:sz w:val="22"/>
          <w:szCs w:val="22"/>
          <w:lang w:val="en-US"/>
        </w:rPr>
        <w:t xml:space="preserve">onitoring and modelling can be conceived as an iterative process in which observational data reveal structural modelling gaps, and modelling diagnostics inform revised monitoring strategies. Such “revisiting model” approaches, explored in my previous work (Sandoval et al., 2018b*), remain largely underdeveloped in systematic monitoring network optimization. </w:t>
      </w:r>
    </w:p>
    <w:p w14:paraId="5139372D" w14:textId="031E2B6D" w:rsidR="0070399F" w:rsidRPr="0070399F" w:rsidRDefault="005A391A" w:rsidP="008240B4">
      <w:pPr>
        <w:spacing w:line="276" w:lineRule="auto"/>
        <w:jc w:val="both"/>
        <w:rPr>
          <w:rFonts w:ascii="Arial Narrow" w:hAnsi="Arial Narrow"/>
          <w:sz w:val="22"/>
          <w:szCs w:val="22"/>
          <w:lang w:val="en-US"/>
        </w:rPr>
      </w:pPr>
      <w:r w:rsidRPr="0000631C">
        <w:rPr>
          <w:rFonts w:ascii="Arial Narrow" w:hAnsi="Arial Narrow"/>
          <w:sz w:val="22"/>
          <w:szCs w:val="22"/>
          <w:lang w:val="en-US"/>
        </w:rPr>
        <w:t>From this standpoint</w:t>
      </w:r>
      <w:r w:rsidR="0070399F" w:rsidRPr="0070399F">
        <w:rPr>
          <w:rFonts w:ascii="Arial Narrow" w:hAnsi="Arial Narrow"/>
          <w:sz w:val="22"/>
          <w:szCs w:val="22"/>
          <w:lang w:val="en-US"/>
        </w:rPr>
        <w:t>, monitoring becomes a foundation for evaluation. Long-term, high-frequency datasets enable statistically grounded performance assessment, support attribution within observable time horizons, and reduce epistemic uncertainty regarding system functioning.</w:t>
      </w:r>
    </w:p>
    <w:p w14:paraId="72B9C64A" w14:textId="13055828" w:rsidR="00A71DE0" w:rsidRPr="008240B4" w:rsidRDefault="00A71DE0"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However, certain questions extend beyond what observation alone can resolve—particularly those concerning prospective structural transformations, alternative adaptation pathways, and system evolution under climatic change. Addressing these questions requires </w:t>
      </w:r>
      <w:r w:rsidR="00D342AC">
        <w:rPr>
          <w:rFonts w:ascii="Arial Narrow" w:hAnsi="Arial Narrow"/>
          <w:sz w:val="22"/>
          <w:szCs w:val="22"/>
          <w:lang w:val="en-US"/>
        </w:rPr>
        <w:t>predictive</w:t>
      </w:r>
      <w:r w:rsidRPr="008240B4">
        <w:rPr>
          <w:rFonts w:ascii="Arial Narrow" w:hAnsi="Arial Narrow"/>
          <w:sz w:val="22"/>
          <w:szCs w:val="22"/>
          <w:lang w:val="en-US"/>
        </w:rPr>
        <w:t xml:space="preserve"> modelling strategies capable of handling spatial aggregation and parameter identifiability at city scale. In this context, robust monitoring datasets do not replace modelling; they strengthen it by constraining assumptions, improving identifiability, and enhancing predictive robustness.</w:t>
      </w:r>
    </w:p>
    <w:p w14:paraId="28B8FDDA" w14:textId="1D8E57F3" w:rsidR="00CD0312" w:rsidRPr="008240B4" w:rsidRDefault="00421617"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This transition—from observing what has changed to evaluating what may change—motivates the second axis.</w:t>
      </w:r>
    </w:p>
    <w:p w14:paraId="550D67C9" w14:textId="60DA98FB" w:rsidR="004B2CB7" w:rsidRPr="008240B4" w:rsidRDefault="00FA16CA" w:rsidP="008240B4">
      <w:pPr>
        <w:spacing w:line="276" w:lineRule="auto"/>
        <w:jc w:val="both"/>
        <w:rPr>
          <w:rFonts w:ascii="Arial Narrow" w:hAnsi="Arial Narrow"/>
          <w:b/>
          <w:bCs/>
          <w:sz w:val="22"/>
          <w:szCs w:val="22"/>
          <w:lang w:val="en-US"/>
        </w:rPr>
      </w:pPr>
      <w:r w:rsidRPr="008240B4">
        <w:rPr>
          <w:rFonts w:ascii="Arial Narrow" w:hAnsi="Arial Narrow"/>
          <w:b/>
          <w:bCs/>
          <w:sz w:val="22"/>
          <w:szCs w:val="22"/>
          <w:lang w:val="en-US"/>
        </w:rPr>
        <w:t xml:space="preserve">3.2. </w:t>
      </w:r>
      <w:r w:rsidR="004B2CB7" w:rsidRPr="008240B4">
        <w:rPr>
          <w:rFonts w:ascii="Arial Narrow" w:hAnsi="Arial Narrow"/>
          <w:b/>
          <w:bCs/>
          <w:sz w:val="22"/>
          <w:szCs w:val="22"/>
          <w:lang w:val="en-US"/>
        </w:rPr>
        <w:t xml:space="preserve">Axis 2 — Modelling and Evaluation of Climate Adaptation in </w:t>
      </w:r>
      <w:r w:rsidR="0013631B" w:rsidRPr="008240B4">
        <w:rPr>
          <w:rFonts w:ascii="Arial Narrow" w:hAnsi="Arial Narrow"/>
          <w:b/>
          <w:bCs/>
          <w:sz w:val="22"/>
          <w:szCs w:val="22"/>
          <w:lang w:val="en-US"/>
        </w:rPr>
        <w:t xml:space="preserve">Urban Drainage </w:t>
      </w:r>
      <w:r w:rsidR="00EE47C0" w:rsidRPr="008240B4">
        <w:rPr>
          <w:rFonts w:ascii="Arial Narrow" w:hAnsi="Arial Narrow"/>
          <w:b/>
          <w:bCs/>
          <w:sz w:val="22"/>
          <w:szCs w:val="22"/>
          <w:lang w:val="en-US"/>
        </w:rPr>
        <w:t>Networks</w:t>
      </w:r>
    </w:p>
    <w:p w14:paraId="71049F59" w14:textId="77777777" w:rsidR="005616DF" w:rsidRPr="008240B4" w:rsidRDefault="005616DF" w:rsidP="008240B4">
      <w:pPr>
        <w:spacing w:line="276" w:lineRule="auto"/>
        <w:jc w:val="both"/>
        <w:rPr>
          <w:rFonts w:ascii="Arial Narrow" w:hAnsi="Arial Narrow"/>
          <w:b/>
          <w:bCs/>
          <w:sz w:val="22"/>
          <w:szCs w:val="22"/>
          <w:lang w:val="en-US"/>
        </w:rPr>
      </w:pPr>
      <w:r w:rsidRPr="008240B4">
        <w:rPr>
          <w:rFonts w:ascii="Arial Narrow" w:hAnsi="Arial Narrow"/>
          <w:b/>
          <w:bCs/>
          <w:sz w:val="22"/>
          <w:szCs w:val="22"/>
          <w:lang w:val="en-US"/>
        </w:rPr>
        <w:t>Modelling Under Structural Transformation</w:t>
      </w:r>
    </w:p>
    <w:p w14:paraId="6E33AF66" w14:textId="40DCB986" w:rsidR="00F54CC3" w:rsidRPr="008240B4" w:rsidRDefault="005E0CDE"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Urban drainage </w:t>
      </w:r>
      <w:r w:rsidR="002B5110" w:rsidRPr="008240B4">
        <w:rPr>
          <w:rFonts w:ascii="Arial Narrow" w:hAnsi="Arial Narrow"/>
          <w:sz w:val="22"/>
          <w:szCs w:val="22"/>
          <w:lang w:val="en-US"/>
        </w:rPr>
        <w:t>networks</w:t>
      </w:r>
      <w:r w:rsidRPr="008240B4">
        <w:rPr>
          <w:rFonts w:ascii="Arial Narrow" w:hAnsi="Arial Narrow"/>
          <w:sz w:val="22"/>
          <w:szCs w:val="22"/>
          <w:lang w:val="en-US"/>
        </w:rPr>
        <w:t xml:space="preserve"> are no longer evolving solely through urbanization, but through proactive structural transformation driven by climate adaptation policies</w:t>
      </w:r>
      <w:r w:rsidR="00F54CC3" w:rsidRPr="008240B4">
        <w:rPr>
          <w:rFonts w:ascii="Arial Narrow" w:hAnsi="Arial Narrow"/>
          <w:sz w:val="22"/>
          <w:szCs w:val="22"/>
          <w:lang w:val="en-US"/>
        </w:rPr>
        <w:t xml:space="preserve">. Nature-based solutions (NBS), decentralized storage, source disconnection, and water reuse represent a major step toward more resilient and multifunctional urban water </w:t>
      </w:r>
      <w:r w:rsidR="00F54CC3" w:rsidRPr="008240B4">
        <w:rPr>
          <w:rFonts w:ascii="Arial Narrow" w:hAnsi="Arial Narrow"/>
          <w:sz w:val="22"/>
          <w:szCs w:val="22"/>
          <w:lang w:val="en-US"/>
        </w:rPr>
        <w:lastRenderedPageBreak/>
        <w:t>systems. Yet, from a hydraulic perspective, they do not simply reduce inflows; they redistribute water volumes across time and space, alter hydraulic connectivity, influence groundwater–network exchanges, and reshape dry-weather accumulation and storm-event flushing dynamics.</w:t>
      </w:r>
    </w:p>
    <w:p w14:paraId="2EDE636B" w14:textId="57EDDAAE" w:rsidR="005616DF" w:rsidRPr="008240B4" w:rsidRDefault="00357172"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These transformations introduce complex interactions that classical drainage models were not designed to represent</w:t>
      </w:r>
      <w:r w:rsidR="005616DF" w:rsidRPr="008240B4">
        <w:rPr>
          <w:rFonts w:ascii="Arial Narrow" w:hAnsi="Arial Narrow"/>
          <w:sz w:val="22"/>
          <w:szCs w:val="22"/>
          <w:lang w:val="en-US"/>
        </w:rPr>
        <w:t xml:space="preserve">. </w:t>
      </w:r>
      <w:r w:rsidR="004F27B7" w:rsidRPr="008240B4">
        <w:rPr>
          <w:rFonts w:ascii="Arial Narrow" w:hAnsi="Arial Narrow"/>
          <w:sz w:val="22"/>
          <w:szCs w:val="22"/>
          <w:lang w:val="en-US"/>
        </w:rPr>
        <w:t xml:space="preserve">Large-scale infiltration may modify </w:t>
      </w:r>
      <w:r w:rsidR="007F4460" w:rsidRPr="008240B4">
        <w:rPr>
          <w:rFonts w:ascii="Arial Narrow" w:hAnsi="Arial Narrow"/>
          <w:sz w:val="22"/>
          <w:szCs w:val="22"/>
          <w:lang w:val="en-US"/>
        </w:rPr>
        <w:t xml:space="preserve">urban soil moisture </w:t>
      </w:r>
      <w:r w:rsidR="00A922CE" w:rsidRPr="008240B4">
        <w:rPr>
          <w:rFonts w:ascii="Arial Narrow" w:hAnsi="Arial Narrow"/>
          <w:sz w:val="22"/>
          <w:szCs w:val="22"/>
          <w:lang w:val="en-US"/>
        </w:rPr>
        <w:t>regimes and shallow subsurface exchanges</w:t>
      </w:r>
      <w:r w:rsidR="004F27B7" w:rsidRPr="008240B4">
        <w:rPr>
          <w:rFonts w:ascii="Arial Narrow" w:hAnsi="Arial Narrow"/>
          <w:sz w:val="22"/>
          <w:szCs w:val="22"/>
          <w:lang w:val="en-US"/>
        </w:rPr>
        <w:t>, while disconnection strategies may lengthen dry periods and increase in-network sediment deposition.</w:t>
      </w:r>
      <w:r w:rsidR="00F003AD" w:rsidRPr="008240B4">
        <w:rPr>
          <w:rFonts w:ascii="Arial Narrow" w:hAnsi="Arial Narrow"/>
          <w:sz w:val="22"/>
          <w:szCs w:val="22"/>
          <w:lang w:val="en-US"/>
        </w:rPr>
        <w:t xml:space="preserve"> </w:t>
      </w:r>
      <w:r w:rsidR="005616DF" w:rsidRPr="008240B4">
        <w:rPr>
          <w:rFonts w:ascii="Arial Narrow" w:hAnsi="Arial Narrow"/>
          <w:sz w:val="22"/>
          <w:szCs w:val="22"/>
          <w:lang w:val="en-US"/>
        </w:rPr>
        <w:t>At the same time, most urban drainage models rely on parameters calibrated under historical conditions and assumed to be time-invariant. Under progressive adaptation and climatic non-stationarity, this assumption becomes increasingly fragile. Infiltration capacity, effective imperviousness, connectivity patterns, and pollutant source dynamics evolve over time. When stochastic or time-dependent parameterizations are introduced, deeper identifiability questions emerge: are we estimating physical processes, or compensating for structural mismatch?</w:t>
      </w:r>
    </w:p>
    <w:p w14:paraId="144FCA89" w14:textId="2B4CBA49" w:rsidR="005616DF" w:rsidRPr="008240B4" w:rsidRDefault="005616DF"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Increasing spatial resolution does not automatically resolve these issues. Highly distributed models require parameterization of processes that are only partially understood and rarely directly measurable</w:t>
      </w:r>
      <w:r w:rsidR="00EB03AE" w:rsidRPr="008240B4">
        <w:rPr>
          <w:rFonts w:ascii="Arial Narrow" w:hAnsi="Arial Narrow"/>
          <w:sz w:val="22"/>
          <w:szCs w:val="22"/>
          <w:lang w:val="en-US"/>
        </w:rPr>
        <w:t xml:space="preserve"> (</w:t>
      </w:r>
      <w:r w:rsidR="00E62C22" w:rsidRPr="008240B4">
        <w:rPr>
          <w:rFonts w:ascii="Arial Narrow" w:hAnsi="Arial Narrow"/>
          <w:sz w:val="22"/>
          <w:szCs w:val="22"/>
          <w:lang w:val="en-US"/>
        </w:rPr>
        <w:t>Vrugt &amp; Beven, 2018</w:t>
      </w:r>
      <w:r w:rsidR="00EB03AE" w:rsidRPr="008240B4">
        <w:rPr>
          <w:rFonts w:ascii="Arial Narrow" w:hAnsi="Arial Narrow"/>
          <w:sz w:val="22"/>
          <w:szCs w:val="22"/>
          <w:lang w:val="en-US"/>
        </w:rPr>
        <w:t>)</w:t>
      </w:r>
      <w:r w:rsidRPr="008240B4">
        <w:rPr>
          <w:rFonts w:ascii="Arial Narrow" w:hAnsi="Arial Narrow"/>
          <w:sz w:val="22"/>
          <w:szCs w:val="22"/>
          <w:lang w:val="en-US"/>
        </w:rPr>
        <w:t>, thereby amplifying equifinality and weakening interpretability.</w:t>
      </w:r>
      <w:r w:rsidR="00EB03AE" w:rsidRPr="008240B4">
        <w:rPr>
          <w:rFonts w:ascii="Arial Narrow" w:hAnsi="Arial Narrow"/>
          <w:sz w:val="22"/>
          <w:szCs w:val="22"/>
          <w:lang w:val="en-US"/>
        </w:rPr>
        <w:t xml:space="preserve"> </w:t>
      </w:r>
      <w:r w:rsidRPr="008240B4">
        <w:rPr>
          <w:rFonts w:ascii="Arial Narrow" w:hAnsi="Arial Narrow"/>
          <w:sz w:val="22"/>
          <w:szCs w:val="22"/>
          <w:lang w:val="en-US"/>
        </w:rPr>
        <w:t xml:space="preserve">The objective of this axis is therefore not to maximize model complexity, but to develop aggregation strategies that preserve dominant </w:t>
      </w:r>
      <w:r w:rsidR="00B673A1" w:rsidRPr="008240B4">
        <w:rPr>
          <w:rFonts w:ascii="Arial Narrow" w:hAnsi="Arial Narrow"/>
          <w:sz w:val="22"/>
          <w:szCs w:val="22"/>
          <w:lang w:val="en-US"/>
        </w:rPr>
        <w:t xml:space="preserve">hydraulically mediated </w:t>
      </w:r>
      <w:r w:rsidRPr="008240B4">
        <w:rPr>
          <w:rFonts w:ascii="Arial Narrow" w:hAnsi="Arial Narrow"/>
          <w:sz w:val="22"/>
          <w:szCs w:val="22"/>
          <w:lang w:val="en-US"/>
        </w:rPr>
        <w:t>dynamics</w:t>
      </w:r>
      <w:r w:rsidR="00195FD8" w:rsidRPr="008240B4">
        <w:rPr>
          <w:rFonts w:ascii="Arial Narrow" w:hAnsi="Arial Narrow"/>
          <w:sz w:val="22"/>
          <w:szCs w:val="22"/>
          <w:lang w:val="en-US"/>
        </w:rPr>
        <w:t>,</w:t>
      </w:r>
      <w:r w:rsidRPr="008240B4">
        <w:rPr>
          <w:rFonts w:ascii="Arial Narrow" w:hAnsi="Arial Narrow"/>
          <w:sz w:val="22"/>
          <w:szCs w:val="22"/>
          <w:lang w:val="en-US"/>
        </w:rPr>
        <w:t xml:space="preserve"> while maintaining parameter identifiability under evolving conditions. This includes:</w:t>
      </w:r>
    </w:p>
    <w:p w14:paraId="79B19D84" w14:textId="0FAFD601" w:rsidR="005616DF" w:rsidRPr="008240B4" w:rsidRDefault="00EB03AE" w:rsidP="008240B4">
      <w:pPr>
        <w:numPr>
          <w:ilvl w:val="0"/>
          <w:numId w:val="39"/>
        </w:numPr>
        <w:spacing w:line="276" w:lineRule="auto"/>
        <w:rPr>
          <w:rFonts w:ascii="Arial Narrow" w:hAnsi="Arial Narrow"/>
          <w:sz w:val="22"/>
          <w:szCs w:val="22"/>
          <w:lang w:val="en-US"/>
        </w:rPr>
      </w:pPr>
      <w:r w:rsidRPr="008240B4">
        <w:rPr>
          <w:rFonts w:ascii="Arial Narrow" w:hAnsi="Arial Narrow"/>
          <w:sz w:val="22"/>
          <w:szCs w:val="22"/>
          <w:lang w:val="en-US"/>
        </w:rPr>
        <w:t>Assessing</w:t>
      </w:r>
      <w:r w:rsidR="005616DF" w:rsidRPr="008240B4">
        <w:rPr>
          <w:rFonts w:ascii="Arial Narrow" w:hAnsi="Arial Narrow"/>
          <w:sz w:val="22"/>
          <w:szCs w:val="22"/>
          <w:lang w:val="en-US"/>
        </w:rPr>
        <w:t xml:space="preserve"> parameter transferability across climatic regimes</w:t>
      </w:r>
      <w:r w:rsidRPr="008240B4">
        <w:rPr>
          <w:rFonts w:ascii="Arial Narrow" w:hAnsi="Arial Narrow"/>
          <w:sz w:val="22"/>
          <w:szCs w:val="22"/>
          <w:lang w:val="en-US"/>
        </w:rPr>
        <w:t xml:space="preserve"> (</w:t>
      </w:r>
      <w:r w:rsidR="00E62C22" w:rsidRPr="008240B4">
        <w:rPr>
          <w:rFonts w:ascii="Arial Narrow" w:hAnsi="Arial Narrow"/>
          <w:sz w:val="22"/>
          <w:szCs w:val="22"/>
          <w:lang w:val="en-US"/>
        </w:rPr>
        <w:t>Broekhuizen et al., 2021</w:t>
      </w:r>
      <w:r w:rsidR="007A3AC6" w:rsidRPr="008240B4">
        <w:rPr>
          <w:rFonts w:ascii="Arial Narrow" w:hAnsi="Arial Narrow"/>
          <w:sz w:val="22"/>
          <w:szCs w:val="22"/>
          <w:lang w:val="en-US"/>
        </w:rPr>
        <w:t>*</w:t>
      </w:r>
      <w:r w:rsidRPr="008240B4">
        <w:rPr>
          <w:rFonts w:ascii="Arial Narrow" w:hAnsi="Arial Narrow"/>
          <w:sz w:val="22"/>
          <w:szCs w:val="22"/>
          <w:lang w:val="en-US"/>
        </w:rPr>
        <w:t>)</w:t>
      </w:r>
      <w:r w:rsidR="00ED0A0B" w:rsidRPr="008240B4">
        <w:rPr>
          <w:rFonts w:ascii="Arial Narrow" w:hAnsi="Arial Narrow"/>
          <w:sz w:val="22"/>
          <w:szCs w:val="22"/>
          <w:lang w:val="en-US"/>
        </w:rPr>
        <w:t>.</w:t>
      </w:r>
    </w:p>
    <w:p w14:paraId="2DF4C76B" w14:textId="67B1A2B4" w:rsidR="005616DF" w:rsidRPr="008240B4" w:rsidRDefault="005616DF" w:rsidP="008240B4">
      <w:pPr>
        <w:numPr>
          <w:ilvl w:val="0"/>
          <w:numId w:val="39"/>
        </w:numPr>
        <w:spacing w:line="276" w:lineRule="auto"/>
        <w:rPr>
          <w:rFonts w:ascii="Arial Narrow" w:hAnsi="Arial Narrow"/>
          <w:sz w:val="22"/>
          <w:szCs w:val="22"/>
          <w:lang w:val="en-US"/>
        </w:rPr>
      </w:pPr>
      <w:r w:rsidRPr="008240B4">
        <w:rPr>
          <w:rFonts w:ascii="Arial Narrow" w:hAnsi="Arial Narrow"/>
          <w:sz w:val="22"/>
          <w:szCs w:val="22"/>
          <w:lang w:val="en-US"/>
        </w:rPr>
        <w:t xml:space="preserve">Explicitly diagnosing structural </w:t>
      </w:r>
      <w:r w:rsidR="006B1EED" w:rsidRPr="008240B4">
        <w:rPr>
          <w:rFonts w:ascii="Arial Narrow" w:hAnsi="Arial Narrow"/>
          <w:sz w:val="22"/>
          <w:szCs w:val="22"/>
          <w:lang w:val="en-US"/>
        </w:rPr>
        <w:t xml:space="preserve">changes </w:t>
      </w:r>
      <w:r w:rsidRPr="008240B4">
        <w:rPr>
          <w:rFonts w:ascii="Arial Narrow" w:hAnsi="Arial Narrow"/>
          <w:sz w:val="22"/>
          <w:szCs w:val="22"/>
          <w:lang w:val="en-US"/>
        </w:rPr>
        <w:t>rather than absorbing them into calibration</w:t>
      </w:r>
      <w:r w:rsidR="00EB03AE" w:rsidRPr="008240B4">
        <w:rPr>
          <w:rFonts w:ascii="Arial Narrow" w:hAnsi="Arial Narrow"/>
          <w:sz w:val="22"/>
          <w:szCs w:val="22"/>
          <w:lang w:val="en-US"/>
        </w:rPr>
        <w:t xml:space="preserve"> (</w:t>
      </w:r>
      <w:r w:rsidR="00620C14" w:rsidRPr="008240B4">
        <w:rPr>
          <w:rFonts w:ascii="Arial Narrow" w:hAnsi="Arial Narrow"/>
          <w:sz w:val="22"/>
          <w:szCs w:val="22"/>
          <w:lang w:val="en-US"/>
        </w:rPr>
        <w:t>Sandoval</w:t>
      </w:r>
      <w:r w:rsidR="007A3AC6" w:rsidRPr="008240B4">
        <w:rPr>
          <w:rFonts w:ascii="Arial Narrow" w:hAnsi="Arial Narrow"/>
          <w:sz w:val="22"/>
          <w:szCs w:val="22"/>
          <w:lang w:val="en-US"/>
        </w:rPr>
        <w:t xml:space="preserve"> et al., 2018b</w:t>
      </w:r>
      <w:r w:rsidR="00A95F3E" w:rsidRPr="008240B4">
        <w:rPr>
          <w:rFonts w:ascii="Arial Narrow" w:hAnsi="Arial Narrow"/>
          <w:sz w:val="22"/>
          <w:szCs w:val="22"/>
          <w:lang w:val="en-US"/>
        </w:rPr>
        <w:t>*</w:t>
      </w:r>
      <w:r w:rsidR="00EB03AE" w:rsidRPr="008240B4">
        <w:rPr>
          <w:rFonts w:ascii="Arial Narrow" w:hAnsi="Arial Narrow"/>
          <w:sz w:val="22"/>
          <w:szCs w:val="22"/>
          <w:lang w:val="en-US"/>
        </w:rPr>
        <w:t>)</w:t>
      </w:r>
      <w:r w:rsidR="00ED0A0B" w:rsidRPr="008240B4">
        <w:rPr>
          <w:rFonts w:ascii="Arial Narrow" w:hAnsi="Arial Narrow"/>
          <w:sz w:val="22"/>
          <w:szCs w:val="22"/>
          <w:lang w:val="en-US"/>
        </w:rPr>
        <w:t>.</w:t>
      </w:r>
    </w:p>
    <w:p w14:paraId="22930E18" w14:textId="24BBB207" w:rsidR="005616DF" w:rsidRPr="008240B4" w:rsidRDefault="005616DF" w:rsidP="008240B4">
      <w:pPr>
        <w:numPr>
          <w:ilvl w:val="0"/>
          <w:numId w:val="39"/>
        </w:numPr>
        <w:spacing w:line="276" w:lineRule="auto"/>
        <w:rPr>
          <w:rFonts w:ascii="Arial Narrow" w:hAnsi="Arial Narrow"/>
          <w:sz w:val="22"/>
          <w:szCs w:val="22"/>
          <w:lang w:val="en-US"/>
        </w:rPr>
      </w:pPr>
      <w:r w:rsidRPr="008240B4">
        <w:rPr>
          <w:rFonts w:ascii="Arial Narrow" w:hAnsi="Arial Narrow"/>
          <w:sz w:val="22"/>
          <w:szCs w:val="22"/>
          <w:lang w:val="en-US"/>
        </w:rPr>
        <w:t>Evaluating how alternative aggregation s</w:t>
      </w:r>
      <w:r w:rsidR="00EB03AE" w:rsidRPr="008240B4">
        <w:rPr>
          <w:rFonts w:ascii="Arial Narrow" w:hAnsi="Arial Narrow"/>
          <w:sz w:val="22"/>
          <w:szCs w:val="22"/>
          <w:lang w:val="en-US"/>
        </w:rPr>
        <w:t>trategies</w:t>
      </w:r>
      <w:r w:rsidRPr="008240B4">
        <w:rPr>
          <w:rFonts w:ascii="Arial Narrow" w:hAnsi="Arial Narrow"/>
          <w:sz w:val="22"/>
          <w:szCs w:val="22"/>
          <w:lang w:val="en-US"/>
        </w:rPr>
        <w:t xml:space="preserve"> influence projections of key performance indicators (CSO frequency, pollutant loads, flood risk)</w:t>
      </w:r>
      <w:r w:rsidR="00ED0A0B" w:rsidRPr="008240B4">
        <w:rPr>
          <w:rFonts w:ascii="Arial Narrow" w:hAnsi="Arial Narrow"/>
          <w:sz w:val="22"/>
          <w:szCs w:val="22"/>
          <w:lang w:val="en-US"/>
        </w:rPr>
        <w:t>.</w:t>
      </w:r>
    </w:p>
    <w:p w14:paraId="41170118" w14:textId="4117B2AE" w:rsidR="00B279A5" w:rsidRPr="008240B4" w:rsidRDefault="005235E6"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Within this perspective, modelling provides a structured foundation for interrogating representational limits. It examines how spatial aggregation shapes the visibility of adaptation effects at city scale and determines when localized interventions consolidate into measurable catchment-scale impacts rather than being diluted. </w:t>
      </w:r>
      <w:r w:rsidR="00F05763" w:rsidRPr="008240B4">
        <w:rPr>
          <w:rFonts w:ascii="Arial Narrow" w:hAnsi="Arial Narrow"/>
          <w:sz w:val="22"/>
          <w:szCs w:val="22"/>
          <w:lang w:val="en-US"/>
        </w:rPr>
        <w:t xml:space="preserve">It further contributes to delimiting the temporal horizons under which such impacts can emerge relative to climatic variability and modelling uncertainty. </w:t>
      </w:r>
      <w:r w:rsidR="000D627F" w:rsidRPr="008240B4">
        <w:rPr>
          <w:rFonts w:ascii="Arial Narrow" w:hAnsi="Arial Narrow"/>
          <w:sz w:val="22"/>
          <w:szCs w:val="22"/>
          <w:lang w:val="en-US"/>
        </w:rPr>
        <w:t>City-scale models thus become strategic analytical frameworks for planning and decision-making under climatic variability and deep uncertainty.</w:t>
      </w:r>
    </w:p>
    <w:p w14:paraId="52970DDE" w14:textId="3BF99D82" w:rsidR="005616DF" w:rsidRPr="008240B4" w:rsidRDefault="005616DF" w:rsidP="008240B4">
      <w:pPr>
        <w:spacing w:line="276" w:lineRule="auto"/>
        <w:jc w:val="both"/>
        <w:rPr>
          <w:rFonts w:ascii="Arial Narrow" w:hAnsi="Arial Narrow"/>
          <w:b/>
          <w:bCs/>
          <w:sz w:val="22"/>
          <w:szCs w:val="22"/>
          <w:lang w:val="en-US"/>
        </w:rPr>
      </w:pPr>
      <w:r w:rsidRPr="008240B4">
        <w:rPr>
          <w:rFonts w:ascii="Arial Narrow" w:hAnsi="Arial Narrow"/>
          <w:b/>
          <w:bCs/>
          <w:sz w:val="22"/>
          <w:szCs w:val="22"/>
          <w:lang w:val="en-US"/>
        </w:rPr>
        <w:t>Impact Evaluation at City Scale</w:t>
      </w:r>
    </w:p>
    <w:p w14:paraId="07FBEE0B" w14:textId="25C1E6E3" w:rsidR="005616DF" w:rsidRPr="008240B4" w:rsidRDefault="005616DF"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At city scale, impact evaluation is not a single analytical exercise but a hierarchy of decision contexts, with distinct evidentiary requirements</w:t>
      </w:r>
      <w:r w:rsidR="004F27B7" w:rsidRPr="008240B4">
        <w:rPr>
          <w:rFonts w:ascii="Arial Narrow" w:hAnsi="Arial Narrow"/>
          <w:sz w:val="22"/>
          <w:szCs w:val="22"/>
          <w:lang w:val="en-US"/>
        </w:rPr>
        <w:t>, between operational control and structural reform.</w:t>
      </w:r>
    </w:p>
    <w:p w14:paraId="66E7E127" w14:textId="20D8CFB1" w:rsidR="005616DF" w:rsidRPr="008240B4" w:rsidRDefault="005616DF"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This axis structures modelling and monitoring according to differentiated decision horizons</w:t>
      </w:r>
      <w:r w:rsidR="00CF43DB" w:rsidRPr="008240B4">
        <w:rPr>
          <w:rFonts w:ascii="Arial Narrow" w:hAnsi="Arial Narrow"/>
          <w:sz w:val="22"/>
          <w:szCs w:val="22"/>
          <w:lang w:val="en-US"/>
        </w:rPr>
        <w:t>, for example</w:t>
      </w:r>
      <w:r w:rsidRPr="008240B4">
        <w:rPr>
          <w:rFonts w:ascii="Arial Narrow" w:hAnsi="Arial Narrow"/>
          <w:sz w:val="22"/>
          <w:szCs w:val="22"/>
          <w:lang w:val="en-US"/>
        </w:rPr>
        <w:t>:</w:t>
      </w:r>
    </w:p>
    <w:p w14:paraId="68B5881B" w14:textId="59159675" w:rsidR="005616DF" w:rsidRPr="008240B4" w:rsidRDefault="005616DF" w:rsidP="008240B4">
      <w:pPr>
        <w:spacing w:line="276" w:lineRule="auto"/>
        <w:jc w:val="both"/>
        <w:rPr>
          <w:rFonts w:ascii="Arial Narrow" w:hAnsi="Arial Narrow"/>
          <w:sz w:val="22"/>
          <w:szCs w:val="22"/>
          <w:lang w:val="en-US"/>
        </w:rPr>
      </w:pPr>
      <w:r w:rsidRPr="008240B4">
        <w:rPr>
          <w:rFonts w:ascii="Arial Narrow" w:hAnsi="Arial Narrow"/>
          <w:b/>
          <w:bCs/>
          <w:sz w:val="22"/>
          <w:szCs w:val="22"/>
          <w:lang w:val="en-US"/>
        </w:rPr>
        <w:t xml:space="preserve">Operational adjustments: </w:t>
      </w:r>
      <w:r w:rsidRPr="008240B4">
        <w:rPr>
          <w:rFonts w:ascii="Arial Narrow" w:hAnsi="Arial Narrow"/>
          <w:sz w:val="22"/>
          <w:szCs w:val="22"/>
          <w:lang w:val="en-US"/>
        </w:rPr>
        <w:t>Short-term operational measures—such as modifying pump control rules or temporarily closing a gate—can be evaluated over months. High-frequency monitoring (Axis 1) may provide sufficient statistical contrast against recent baselines. The inference horizon is short, and detectability thresholds are lower because interventions are discrete and localized.</w:t>
      </w:r>
    </w:p>
    <w:p w14:paraId="17336614" w14:textId="541AC7FB" w:rsidR="005616DF" w:rsidRPr="008240B4" w:rsidRDefault="005616DF" w:rsidP="008240B4">
      <w:pPr>
        <w:spacing w:line="276" w:lineRule="auto"/>
        <w:jc w:val="both"/>
        <w:rPr>
          <w:rFonts w:ascii="Arial Narrow" w:hAnsi="Arial Narrow"/>
          <w:sz w:val="22"/>
          <w:szCs w:val="22"/>
          <w:lang w:val="en-US"/>
        </w:rPr>
      </w:pPr>
      <w:r w:rsidRPr="008240B4">
        <w:rPr>
          <w:rFonts w:ascii="Arial Narrow" w:hAnsi="Arial Narrow"/>
          <w:b/>
          <w:bCs/>
          <w:sz w:val="22"/>
          <w:szCs w:val="22"/>
          <w:lang w:val="en-US"/>
        </w:rPr>
        <w:t xml:space="preserve">Medium-term performance assessment: </w:t>
      </w:r>
      <w:r w:rsidRPr="008240B4">
        <w:rPr>
          <w:rFonts w:ascii="Arial Narrow" w:hAnsi="Arial Narrow"/>
          <w:sz w:val="22"/>
          <w:szCs w:val="22"/>
          <w:lang w:val="en-US"/>
        </w:rPr>
        <w:t xml:space="preserve">Indicators such as annual CSO frequency reduction or pollutant load compliance align with political and budgetary cycles (typically 4–6 years). Here, </w:t>
      </w:r>
      <w:r w:rsidR="00620C14" w:rsidRPr="008240B4">
        <w:rPr>
          <w:rFonts w:ascii="Arial Narrow" w:hAnsi="Arial Narrow"/>
          <w:sz w:val="22"/>
          <w:szCs w:val="22"/>
          <w:lang w:val="en-US"/>
        </w:rPr>
        <w:t>m</w:t>
      </w:r>
      <w:r w:rsidRPr="008240B4">
        <w:rPr>
          <w:rFonts w:ascii="Arial Narrow" w:hAnsi="Arial Narrow"/>
          <w:sz w:val="22"/>
          <w:szCs w:val="22"/>
          <w:lang w:val="en-US"/>
        </w:rPr>
        <w:t>ulti-year datasets are required to distinguish structural performance shifts from interannual hydrometeorological variability. Attribution becomes a statistical problem requiring sustained observation and explicit uncertainty characterization.</w:t>
      </w:r>
    </w:p>
    <w:p w14:paraId="77BA93DE" w14:textId="706180A6" w:rsidR="00620C14" w:rsidRPr="008240B4" w:rsidRDefault="00620C14" w:rsidP="008240B4">
      <w:pPr>
        <w:spacing w:line="276" w:lineRule="auto"/>
        <w:jc w:val="both"/>
        <w:rPr>
          <w:rFonts w:ascii="Arial Narrow" w:hAnsi="Arial Narrow"/>
          <w:sz w:val="22"/>
          <w:szCs w:val="22"/>
          <w:lang w:val="en-US"/>
        </w:rPr>
      </w:pPr>
      <w:r w:rsidRPr="008240B4">
        <w:rPr>
          <w:rFonts w:ascii="Arial Narrow" w:hAnsi="Arial Narrow"/>
          <w:b/>
          <w:bCs/>
          <w:sz w:val="22"/>
          <w:szCs w:val="22"/>
          <w:lang w:val="en-US"/>
        </w:rPr>
        <w:t xml:space="preserve">Strategic remediation programs: </w:t>
      </w:r>
      <w:r w:rsidRPr="008240B4">
        <w:rPr>
          <w:rFonts w:ascii="Arial Narrow" w:hAnsi="Arial Narrow"/>
          <w:sz w:val="22"/>
          <w:szCs w:val="22"/>
          <w:lang w:val="en-US"/>
        </w:rPr>
        <w:t xml:space="preserve">Metropolitan river restoration and integrated infrastructure programs operate over extended planning horizons and involve interacting subsystems. </w:t>
      </w:r>
      <w:r w:rsidR="00A9637E" w:rsidRPr="008240B4">
        <w:rPr>
          <w:rFonts w:ascii="Arial Narrow" w:hAnsi="Arial Narrow"/>
          <w:sz w:val="22"/>
          <w:szCs w:val="22"/>
          <w:lang w:val="en-US"/>
        </w:rPr>
        <w:t xml:space="preserve">Evaluation must therefore assess whether </w:t>
      </w:r>
      <w:r w:rsidR="00A9637E" w:rsidRPr="008240B4">
        <w:rPr>
          <w:rFonts w:ascii="Arial Narrow" w:hAnsi="Arial Narrow"/>
          <w:sz w:val="22"/>
          <w:szCs w:val="22"/>
          <w:lang w:val="en-US"/>
        </w:rPr>
        <w:lastRenderedPageBreak/>
        <w:t>coordinated configurations of measures generate measurable catchment-scale improvements, typically through a combination of monitoring evidence and model-based analysis of cumulative effects.</w:t>
      </w:r>
    </w:p>
    <w:p w14:paraId="37558270" w14:textId="4F93FE46" w:rsidR="00620C14" w:rsidRPr="008240B4" w:rsidRDefault="00620C14" w:rsidP="008240B4">
      <w:pPr>
        <w:spacing w:line="276" w:lineRule="auto"/>
        <w:jc w:val="both"/>
        <w:rPr>
          <w:rFonts w:ascii="Arial Narrow" w:hAnsi="Arial Narrow"/>
          <w:sz w:val="22"/>
          <w:szCs w:val="22"/>
          <w:lang w:val="en-US"/>
        </w:rPr>
      </w:pPr>
      <w:r w:rsidRPr="008240B4">
        <w:rPr>
          <w:rFonts w:ascii="Arial Narrow" w:hAnsi="Arial Narrow"/>
          <w:b/>
          <w:bCs/>
          <w:sz w:val="22"/>
          <w:szCs w:val="22"/>
          <w:lang w:val="en-US"/>
        </w:rPr>
        <w:t xml:space="preserve">Long-term climate adaptation and NBS deployment: </w:t>
      </w:r>
      <w:r w:rsidR="00AB338D" w:rsidRPr="008240B4">
        <w:rPr>
          <w:rFonts w:ascii="Arial Narrow" w:hAnsi="Arial Narrow"/>
          <w:sz w:val="22"/>
          <w:szCs w:val="22"/>
          <w:lang w:val="en-US"/>
        </w:rPr>
        <w:t>When cities design adaptation pathways under climatic non-stationarity, evaluation becomes prospective. Scenario-based hydraulic models, calibrated against long-term observational datasets and then driven by climatic projections, can be used to test alternative structural configurations and guide NBS deployment under deep uncertainty.</w:t>
      </w:r>
    </w:p>
    <w:p w14:paraId="59D791F1" w14:textId="1E970C75" w:rsidR="005616DF" w:rsidRPr="008240B4" w:rsidRDefault="005616DF"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Across these layers, the intensity and structure of required data vary. Immediate diagnostics demand temporal resolution; medium-term attribution demands statistical robustness; long-term adaptation planning demands </w:t>
      </w:r>
      <w:r w:rsidR="003E1B01" w:rsidRPr="008240B4">
        <w:rPr>
          <w:rFonts w:ascii="Arial Narrow" w:hAnsi="Arial Narrow"/>
          <w:sz w:val="22"/>
          <w:szCs w:val="22"/>
          <w:lang w:val="en-US"/>
        </w:rPr>
        <w:t xml:space="preserve">robust </w:t>
      </w:r>
      <w:r w:rsidRPr="008240B4">
        <w:rPr>
          <w:rFonts w:ascii="Arial Narrow" w:hAnsi="Arial Narrow"/>
          <w:sz w:val="22"/>
          <w:szCs w:val="22"/>
          <w:lang w:val="en-US"/>
        </w:rPr>
        <w:t>models.</w:t>
      </w:r>
    </w:p>
    <w:p w14:paraId="09050141" w14:textId="5F110698" w:rsidR="005616DF" w:rsidRPr="008240B4" w:rsidRDefault="005616DF"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The contribution of this axis lies in structuring this continuum. </w:t>
      </w:r>
      <w:r w:rsidR="00582A54" w:rsidRPr="008240B4">
        <w:rPr>
          <w:rFonts w:ascii="Arial Narrow" w:hAnsi="Arial Narrow"/>
          <w:sz w:val="22"/>
          <w:szCs w:val="22"/>
          <w:lang w:val="en-US"/>
        </w:rPr>
        <w:t xml:space="preserve">Rather than increasing model complexity, it seeks to better characterize the conditions under which adaptation impacts may become observable, attributable, and </w:t>
      </w:r>
      <w:r w:rsidR="007F6FD3" w:rsidRPr="008240B4">
        <w:rPr>
          <w:rFonts w:ascii="Arial Narrow" w:hAnsi="Arial Narrow"/>
          <w:sz w:val="22"/>
          <w:szCs w:val="22"/>
          <w:lang w:val="en-US"/>
        </w:rPr>
        <w:t>anticipable</w:t>
      </w:r>
      <w:r w:rsidRPr="008240B4">
        <w:rPr>
          <w:rFonts w:ascii="Arial Narrow" w:hAnsi="Arial Narrow"/>
          <w:sz w:val="22"/>
          <w:szCs w:val="22"/>
          <w:lang w:val="en-US"/>
        </w:rPr>
        <w:t xml:space="preserve">. </w:t>
      </w:r>
      <w:r w:rsidR="006469C9" w:rsidRPr="008240B4">
        <w:rPr>
          <w:rFonts w:ascii="Arial Narrow" w:hAnsi="Arial Narrow"/>
          <w:sz w:val="22"/>
          <w:szCs w:val="22"/>
          <w:lang w:val="en-US"/>
        </w:rPr>
        <w:t>Impact evaluation thus becomes a problem of coherence between model structure, observational capacity, and institutional temporality—so that structural transformations can be not only technically implemented, but also evaluable and decision-relevant across scales.</w:t>
      </w:r>
    </w:p>
    <w:p w14:paraId="6CD7E581" w14:textId="30E694CE" w:rsidR="008C6B90" w:rsidRPr="008240B4" w:rsidRDefault="00F2136A" w:rsidP="008240B4">
      <w:pPr>
        <w:spacing w:line="276" w:lineRule="auto"/>
        <w:jc w:val="both"/>
        <w:rPr>
          <w:rFonts w:ascii="Arial Narrow" w:hAnsi="Arial Narrow"/>
          <w:b/>
          <w:bCs/>
          <w:sz w:val="22"/>
          <w:szCs w:val="22"/>
          <w:lang w:val="en-US"/>
        </w:rPr>
      </w:pPr>
      <w:r w:rsidRPr="008240B4">
        <w:rPr>
          <w:rFonts w:ascii="Arial Narrow" w:hAnsi="Arial Narrow"/>
          <w:b/>
          <w:bCs/>
          <w:sz w:val="22"/>
          <w:szCs w:val="22"/>
          <w:lang w:val="en-US"/>
        </w:rPr>
        <w:t>4. TEACHING PROPOSAL</w:t>
      </w:r>
    </w:p>
    <w:p w14:paraId="25F91B64" w14:textId="5D791B20" w:rsidR="000F5B1B" w:rsidRPr="008240B4" w:rsidRDefault="00C31C41"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Teaching is central to my academic project. I view education not merely as knowledge transmission, but as training students to reason rigorously and act responsibly in the face of ongoing environmental challenges</w:t>
      </w:r>
      <w:r w:rsidR="000F5B1B" w:rsidRPr="008240B4">
        <w:rPr>
          <w:rFonts w:ascii="Arial Narrow" w:hAnsi="Arial Narrow"/>
          <w:sz w:val="22"/>
          <w:szCs w:val="22"/>
          <w:lang w:val="en-US"/>
        </w:rPr>
        <w:t xml:space="preserve">. </w:t>
      </w:r>
      <w:r w:rsidR="00F41E70" w:rsidRPr="008240B4">
        <w:rPr>
          <w:rFonts w:ascii="Arial Narrow" w:hAnsi="Arial Narrow"/>
          <w:sz w:val="22"/>
          <w:szCs w:val="22"/>
          <w:lang w:val="en-US"/>
        </w:rPr>
        <w:t>Students must learn to connect theory, data, and decision-making, and to understand that models are not neutral truths but analytical tools whose assumptions, limitations, and uncertainties require explicit scrutiny.</w:t>
      </w:r>
    </w:p>
    <w:p w14:paraId="609C8C4A" w14:textId="77777777" w:rsidR="000F5B1B" w:rsidRPr="008240B4" w:rsidRDefault="000F5B1B"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My teaching approach is problem-based and project-oriented, combining lectures, numerical implementation, field data analysis, and project-based learning using real monitoring datasets. Across Colombia, France, and Switzerland, I have taught and supervised students at bachelor’s, master’s, and doctoral levels, explicitly linking observation, modeling, uncertainty, and decision-making.</w:t>
      </w:r>
    </w:p>
    <w:p w14:paraId="67BADB98" w14:textId="28AE3915" w:rsidR="006061D5" w:rsidRPr="008240B4" w:rsidRDefault="000F5B1B" w:rsidP="008240B4">
      <w:pPr>
        <w:spacing w:line="276" w:lineRule="auto"/>
        <w:jc w:val="both"/>
        <w:rPr>
          <w:rFonts w:ascii="Arial Narrow" w:hAnsi="Arial Narrow"/>
          <w:sz w:val="22"/>
          <w:szCs w:val="22"/>
          <w:lang w:val="en-US"/>
        </w:rPr>
      </w:pPr>
      <w:r w:rsidRPr="008240B4">
        <w:rPr>
          <w:rFonts w:ascii="Arial Narrow" w:hAnsi="Arial Narrow"/>
          <w:b/>
          <w:bCs/>
          <w:sz w:val="22"/>
          <w:szCs w:val="22"/>
          <w:lang w:val="en-US"/>
        </w:rPr>
        <w:t>Undergraduate Courses</w:t>
      </w:r>
      <w:r w:rsidR="00286159" w:rsidRPr="008240B4">
        <w:rPr>
          <w:rFonts w:ascii="Arial Narrow" w:hAnsi="Arial Narrow"/>
          <w:b/>
          <w:bCs/>
          <w:sz w:val="22"/>
          <w:szCs w:val="22"/>
          <w:lang w:val="en-US"/>
        </w:rPr>
        <w:t xml:space="preserve">. </w:t>
      </w:r>
      <w:r w:rsidR="006061D5" w:rsidRPr="008240B4">
        <w:rPr>
          <w:rFonts w:ascii="Arial Narrow" w:hAnsi="Arial Narrow"/>
          <w:sz w:val="22"/>
          <w:szCs w:val="22"/>
          <w:lang w:val="en-US"/>
        </w:rPr>
        <w:t>At the undergraduate level, I would contribute to core engineering formation through:</w:t>
      </w:r>
    </w:p>
    <w:p w14:paraId="0361D7D0" w14:textId="2E7877F2" w:rsidR="00640500" w:rsidRPr="008240B4" w:rsidRDefault="00640500" w:rsidP="008240B4">
      <w:pPr>
        <w:numPr>
          <w:ilvl w:val="0"/>
          <w:numId w:val="37"/>
        </w:numPr>
        <w:spacing w:line="276" w:lineRule="auto"/>
        <w:jc w:val="both"/>
        <w:rPr>
          <w:rFonts w:ascii="Arial Narrow" w:hAnsi="Arial Narrow"/>
          <w:sz w:val="22"/>
          <w:szCs w:val="22"/>
        </w:rPr>
      </w:pPr>
      <w:r w:rsidRPr="008240B4">
        <w:rPr>
          <w:rFonts w:ascii="Arial Narrow" w:hAnsi="Arial Narrow"/>
          <w:sz w:val="22"/>
          <w:szCs w:val="22"/>
        </w:rPr>
        <w:t>Applied Hydraulics</w:t>
      </w:r>
    </w:p>
    <w:p w14:paraId="48290AED" w14:textId="1ACE9CCB" w:rsidR="00640500" w:rsidRPr="008240B4" w:rsidRDefault="00640500" w:rsidP="008240B4">
      <w:pPr>
        <w:numPr>
          <w:ilvl w:val="0"/>
          <w:numId w:val="37"/>
        </w:numPr>
        <w:spacing w:line="276" w:lineRule="auto"/>
        <w:jc w:val="both"/>
        <w:rPr>
          <w:rFonts w:ascii="Arial Narrow" w:hAnsi="Arial Narrow"/>
          <w:sz w:val="22"/>
          <w:szCs w:val="22"/>
        </w:rPr>
      </w:pPr>
      <w:r w:rsidRPr="008240B4">
        <w:rPr>
          <w:rFonts w:ascii="Arial Narrow" w:hAnsi="Arial Narrow"/>
          <w:sz w:val="22"/>
          <w:szCs w:val="22"/>
        </w:rPr>
        <w:t>Fluid Mechanics</w:t>
      </w:r>
    </w:p>
    <w:p w14:paraId="141D0C82" w14:textId="77777777" w:rsidR="00640500" w:rsidRPr="008240B4" w:rsidRDefault="00640500" w:rsidP="008240B4">
      <w:pPr>
        <w:numPr>
          <w:ilvl w:val="0"/>
          <w:numId w:val="37"/>
        </w:numPr>
        <w:spacing w:line="276" w:lineRule="auto"/>
        <w:jc w:val="both"/>
        <w:rPr>
          <w:rFonts w:ascii="Arial Narrow" w:hAnsi="Arial Narrow"/>
          <w:sz w:val="22"/>
          <w:szCs w:val="22"/>
        </w:rPr>
      </w:pPr>
      <w:r w:rsidRPr="008240B4">
        <w:rPr>
          <w:rFonts w:ascii="Arial Narrow" w:hAnsi="Arial Narrow"/>
          <w:sz w:val="22"/>
          <w:szCs w:val="22"/>
        </w:rPr>
        <w:t xml:space="preserve">Hydrology </w:t>
      </w:r>
    </w:p>
    <w:p w14:paraId="39759EDC" w14:textId="77777777" w:rsidR="00640500" w:rsidRPr="008240B4" w:rsidRDefault="00640500" w:rsidP="008240B4">
      <w:pPr>
        <w:numPr>
          <w:ilvl w:val="0"/>
          <w:numId w:val="37"/>
        </w:numPr>
        <w:spacing w:line="276" w:lineRule="auto"/>
        <w:jc w:val="both"/>
        <w:rPr>
          <w:rFonts w:ascii="Arial Narrow" w:hAnsi="Arial Narrow"/>
          <w:sz w:val="22"/>
          <w:szCs w:val="22"/>
        </w:rPr>
      </w:pPr>
      <w:r w:rsidRPr="008240B4">
        <w:rPr>
          <w:rFonts w:ascii="Arial Narrow" w:hAnsi="Arial Narrow"/>
          <w:sz w:val="22"/>
          <w:szCs w:val="22"/>
        </w:rPr>
        <w:t>Water Resources Management</w:t>
      </w:r>
    </w:p>
    <w:p w14:paraId="1C5420B5" w14:textId="79D962ED" w:rsidR="000F5B1B" w:rsidRPr="008240B4" w:rsidRDefault="003F070C" w:rsidP="008240B4">
      <w:pPr>
        <w:numPr>
          <w:ilvl w:val="0"/>
          <w:numId w:val="37"/>
        </w:num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Drainage and </w:t>
      </w:r>
      <w:r w:rsidR="000F5B1B" w:rsidRPr="008240B4">
        <w:rPr>
          <w:rFonts w:ascii="Arial Narrow" w:hAnsi="Arial Narrow"/>
          <w:sz w:val="22"/>
          <w:szCs w:val="22"/>
          <w:lang w:val="en-US"/>
        </w:rPr>
        <w:t>Drinking Water Systems</w:t>
      </w:r>
    </w:p>
    <w:p w14:paraId="4F912D33" w14:textId="545A208E" w:rsidR="00293F73" w:rsidRPr="008240B4" w:rsidRDefault="00293F73" w:rsidP="008240B4">
      <w:pPr>
        <w:numPr>
          <w:ilvl w:val="0"/>
          <w:numId w:val="37"/>
        </w:numPr>
        <w:spacing w:line="276" w:lineRule="auto"/>
        <w:jc w:val="both"/>
        <w:rPr>
          <w:rFonts w:ascii="Arial Narrow" w:hAnsi="Arial Narrow"/>
          <w:sz w:val="22"/>
          <w:szCs w:val="22"/>
          <w:lang w:val="en-US"/>
        </w:rPr>
      </w:pPr>
      <w:r w:rsidRPr="008240B4">
        <w:rPr>
          <w:rFonts w:ascii="Arial Narrow" w:hAnsi="Arial Narrow"/>
          <w:sz w:val="22"/>
          <w:szCs w:val="22"/>
          <w:lang w:val="en-US"/>
        </w:rPr>
        <w:t>Water quality modelling</w:t>
      </w:r>
    </w:p>
    <w:p w14:paraId="590C365E" w14:textId="77777777" w:rsidR="000F5B1B" w:rsidRPr="008240B4" w:rsidRDefault="000F5B1B" w:rsidP="008240B4">
      <w:pPr>
        <w:numPr>
          <w:ilvl w:val="0"/>
          <w:numId w:val="37"/>
        </w:numPr>
        <w:spacing w:line="276" w:lineRule="auto"/>
        <w:jc w:val="both"/>
        <w:rPr>
          <w:rFonts w:ascii="Arial Narrow" w:hAnsi="Arial Narrow"/>
          <w:sz w:val="22"/>
          <w:szCs w:val="22"/>
        </w:rPr>
      </w:pPr>
      <w:r w:rsidRPr="008240B4">
        <w:rPr>
          <w:rFonts w:ascii="Arial Narrow" w:hAnsi="Arial Narrow"/>
          <w:sz w:val="22"/>
          <w:szCs w:val="22"/>
        </w:rPr>
        <w:t>Numerical Methods</w:t>
      </w:r>
    </w:p>
    <w:p w14:paraId="62CD14FD" w14:textId="77777777" w:rsidR="000F5B1B" w:rsidRPr="008240B4" w:rsidRDefault="000F5B1B"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In these courses, I emphasize physical understanding, structured mathematical reasoning, reproducibility of calculations, and transparent interpretation of results. Students are trained to critically interpret data, understand model limitations, and responsibly integrate computational and AI tools into engineering practice.</w:t>
      </w:r>
    </w:p>
    <w:p w14:paraId="6EF8A407" w14:textId="1CCDF7FB" w:rsidR="000F5B1B" w:rsidRPr="008240B4" w:rsidRDefault="000F5B1B" w:rsidP="008240B4">
      <w:pPr>
        <w:spacing w:line="276" w:lineRule="auto"/>
        <w:jc w:val="both"/>
        <w:rPr>
          <w:rFonts w:ascii="Arial Narrow" w:hAnsi="Arial Narrow"/>
          <w:b/>
          <w:bCs/>
          <w:sz w:val="22"/>
          <w:szCs w:val="22"/>
          <w:lang w:val="en-US"/>
        </w:rPr>
      </w:pPr>
      <w:r w:rsidRPr="008240B4">
        <w:rPr>
          <w:rFonts w:ascii="Arial Narrow" w:hAnsi="Arial Narrow"/>
          <w:b/>
          <w:bCs/>
          <w:sz w:val="22"/>
          <w:szCs w:val="22"/>
          <w:lang w:val="en-US"/>
        </w:rPr>
        <w:t>Graduate Courses</w:t>
      </w:r>
      <w:r w:rsidR="00286159" w:rsidRPr="008240B4">
        <w:rPr>
          <w:rFonts w:ascii="Arial Narrow" w:hAnsi="Arial Narrow"/>
          <w:b/>
          <w:bCs/>
          <w:sz w:val="22"/>
          <w:szCs w:val="22"/>
          <w:lang w:val="en-US"/>
        </w:rPr>
        <w:t xml:space="preserve">. </w:t>
      </w:r>
      <w:r w:rsidRPr="008240B4">
        <w:rPr>
          <w:rFonts w:ascii="Arial Narrow" w:hAnsi="Arial Narrow"/>
          <w:sz w:val="22"/>
          <w:szCs w:val="22"/>
          <w:lang w:val="en-US"/>
        </w:rPr>
        <w:t>At the graduate level, I offer advanced modules directly aligned with my research axes:</w:t>
      </w:r>
    </w:p>
    <w:p w14:paraId="4F4DADB5" w14:textId="3D2DC02C" w:rsidR="00FA015A" w:rsidRPr="008240B4" w:rsidRDefault="00FA015A" w:rsidP="008240B4">
      <w:pPr>
        <w:numPr>
          <w:ilvl w:val="0"/>
          <w:numId w:val="38"/>
        </w:numPr>
        <w:spacing w:line="276" w:lineRule="auto"/>
        <w:jc w:val="both"/>
        <w:rPr>
          <w:rFonts w:ascii="Arial Narrow" w:hAnsi="Arial Narrow"/>
          <w:sz w:val="22"/>
          <w:szCs w:val="22"/>
          <w:lang w:val="en-US"/>
        </w:rPr>
      </w:pPr>
      <w:r w:rsidRPr="008240B4">
        <w:rPr>
          <w:rFonts w:ascii="Arial Narrow" w:hAnsi="Arial Narrow"/>
          <w:sz w:val="22"/>
          <w:szCs w:val="22"/>
          <w:lang w:val="en-US"/>
        </w:rPr>
        <w:t>Environmental Fluid Mechanics</w:t>
      </w:r>
    </w:p>
    <w:p w14:paraId="7E172494" w14:textId="58A1141F" w:rsidR="003560E0" w:rsidRPr="008240B4" w:rsidRDefault="003560E0" w:rsidP="008240B4">
      <w:pPr>
        <w:numPr>
          <w:ilvl w:val="0"/>
          <w:numId w:val="38"/>
        </w:num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Advanced Hydraulic Network Design </w:t>
      </w:r>
    </w:p>
    <w:p w14:paraId="1433092E" w14:textId="75D67DFC" w:rsidR="00BF553B" w:rsidRPr="008240B4" w:rsidRDefault="00BF553B" w:rsidP="008240B4">
      <w:pPr>
        <w:numPr>
          <w:ilvl w:val="0"/>
          <w:numId w:val="38"/>
        </w:numPr>
        <w:spacing w:line="276" w:lineRule="auto"/>
        <w:jc w:val="both"/>
        <w:rPr>
          <w:rFonts w:ascii="Arial Narrow" w:hAnsi="Arial Narrow"/>
          <w:sz w:val="22"/>
          <w:szCs w:val="22"/>
          <w:lang w:val="en-US"/>
        </w:rPr>
      </w:pPr>
      <w:r w:rsidRPr="008240B4">
        <w:rPr>
          <w:rFonts w:ascii="Arial Narrow" w:hAnsi="Arial Narrow"/>
          <w:sz w:val="22"/>
          <w:szCs w:val="22"/>
          <w:lang w:val="en-US"/>
        </w:rPr>
        <w:lastRenderedPageBreak/>
        <w:t>Hydrodynamics of Porous Media</w:t>
      </w:r>
    </w:p>
    <w:p w14:paraId="53B99701" w14:textId="1352171F" w:rsidR="000F5B1B" w:rsidRPr="008240B4" w:rsidRDefault="000F5B1B" w:rsidP="008240B4">
      <w:pPr>
        <w:numPr>
          <w:ilvl w:val="0"/>
          <w:numId w:val="38"/>
        </w:num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Stochastic </w:t>
      </w:r>
      <w:r w:rsidR="00293F73" w:rsidRPr="008240B4">
        <w:rPr>
          <w:rFonts w:ascii="Arial Narrow" w:hAnsi="Arial Narrow"/>
          <w:sz w:val="22"/>
          <w:szCs w:val="22"/>
          <w:lang w:val="en-US"/>
        </w:rPr>
        <w:t>Modelling</w:t>
      </w:r>
      <w:r w:rsidRPr="008240B4">
        <w:rPr>
          <w:rFonts w:ascii="Arial Narrow" w:hAnsi="Arial Narrow"/>
          <w:sz w:val="22"/>
          <w:szCs w:val="22"/>
          <w:lang w:val="en-US"/>
        </w:rPr>
        <w:t xml:space="preserve"> and Risk</w:t>
      </w:r>
    </w:p>
    <w:p w14:paraId="4802DFEC" w14:textId="6C58F26E" w:rsidR="000F5B1B" w:rsidRPr="008240B4" w:rsidRDefault="000F5B1B" w:rsidP="008240B4">
      <w:pPr>
        <w:numPr>
          <w:ilvl w:val="0"/>
          <w:numId w:val="38"/>
        </w:num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Inverse Methods in </w:t>
      </w:r>
      <w:r w:rsidR="00072E56" w:rsidRPr="008240B4">
        <w:rPr>
          <w:rFonts w:ascii="Arial Narrow" w:hAnsi="Arial Narrow"/>
          <w:sz w:val="22"/>
          <w:szCs w:val="22"/>
          <w:lang w:val="en-US"/>
        </w:rPr>
        <w:t>Hydraulics</w:t>
      </w:r>
      <w:r w:rsidR="00293F73" w:rsidRPr="008240B4">
        <w:rPr>
          <w:rFonts w:ascii="Arial Narrow" w:hAnsi="Arial Narrow"/>
          <w:sz w:val="22"/>
          <w:szCs w:val="22"/>
          <w:lang w:val="en-US"/>
        </w:rPr>
        <w:t xml:space="preserve"> and Hydrology</w:t>
      </w:r>
    </w:p>
    <w:p w14:paraId="315546DD" w14:textId="77777777" w:rsidR="000F5B1B" w:rsidRPr="008240B4" w:rsidRDefault="000F5B1B" w:rsidP="008240B4">
      <w:pPr>
        <w:numPr>
          <w:ilvl w:val="0"/>
          <w:numId w:val="38"/>
        </w:numPr>
        <w:spacing w:line="276" w:lineRule="auto"/>
        <w:jc w:val="both"/>
        <w:rPr>
          <w:rFonts w:ascii="Arial Narrow" w:hAnsi="Arial Narrow"/>
          <w:sz w:val="22"/>
          <w:szCs w:val="22"/>
          <w:lang w:val="en-US"/>
        </w:rPr>
      </w:pPr>
      <w:r w:rsidRPr="008240B4">
        <w:rPr>
          <w:rFonts w:ascii="Arial Narrow" w:hAnsi="Arial Narrow"/>
          <w:sz w:val="22"/>
          <w:szCs w:val="22"/>
          <w:lang w:val="en-US"/>
        </w:rPr>
        <w:t>AI-Based Hybrid Modeling</w:t>
      </w:r>
    </w:p>
    <w:p w14:paraId="3635F188" w14:textId="2EC68B57" w:rsidR="000D1C54" w:rsidRPr="008240B4" w:rsidRDefault="000D1C54"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These courses address uncertainty propagation, identifiability, scenario analysis, and decision-support. Students work with real datasets and apply models to infrastructure planning </w:t>
      </w:r>
      <w:r w:rsidR="001B30EB" w:rsidRPr="008240B4">
        <w:rPr>
          <w:rFonts w:ascii="Arial Narrow" w:hAnsi="Arial Narrow"/>
          <w:sz w:val="22"/>
          <w:szCs w:val="22"/>
          <w:lang w:val="en-US"/>
        </w:rPr>
        <w:t xml:space="preserve">in the context of contemporary challenges such as </w:t>
      </w:r>
      <w:r w:rsidRPr="008240B4">
        <w:rPr>
          <w:rFonts w:ascii="Arial Narrow" w:hAnsi="Arial Narrow"/>
          <w:sz w:val="22"/>
          <w:szCs w:val="22"/>
          <w:lang w:val="en-US"/>
        </w:rPr>
        <w:t>climate adaptation.</w:t>
      </w:r>
    </w:p>
    <w:p w14:paraId="4F33C68F" w14:textId="5D2A2E10" w:rsidR="00440C6E" w:rsidRPr="008240B4" w:rsidRDefault="000F5B1B" w:rsidP="008240B4">
      <w:pPr>
        <w:spacing w:line="276" w:lineRule="auto"/>
        <w:jc w:val="both"/>
        <w:rPr>
          <w:rFonts w:ascii="Arial Narrow" w:hAnsi="Arial Narrow"/>
          <w:sz w:val="22"/>
          <w:szCs w:val="22"/>
          <w:lang w:val="en-US"/>
        </w:rPr>
      </w:pPr>
      <w:r w:rsidRPr="008240B4">
        <w:rPr>
          <w:rFonts w:ascii="Arial Narrow" w:hAnsi="Arial Narrow"/>
          <w:b/>
          <w:bCs/>
          <w:sz w:val="22"/>
          <w:szCs w:val="22"/>
          <w:lang w:val="en-US"/>
        </w:rPr>
        <w:t>Research–Teaching Integration</w:t>
      </w:r>
      <w:r w:rsidR="00286159" w:rsidRPr="008240B4">
        <w:rPr>
          <w:rFonts w:ascii="Arial Narrow" w:hAnsi="Arial Narrow"/>
          <w:b/>
          <w:bCs/>
          <w:sz w:val="22"/>
          <w:szCs w:val="22"/>
          <w:lang w:val="en-US"/>
        </w:rPr>
        <w:t xml:space="preserve">: </w:t>
      </w:r>
      <w:r w:rsidR="00537B48" w:rsidRPr="008240B4">
        <w:rPr>
          <w:rFonts w:ascii="Arial Narrow" w:hAnsi="Arial Narrow"/>
          <w:sz w:val="22"/>
          <w:szCs w:val="22"/>
          <w:lang w:val="en-US"/>
        </w:rPr>
        <w:t xml:space="preserve">I plan to implement “living laboratory” initiatives in coordination with SIGREH and SIHU, based on campus-scale monitoring, hydraulic analysis, </w:t>
      </w:r>
      <w:r w:rsidR="00425101" w:rsidRPr="008240B4">
        <w:rPr>
          <w:rFonts w:ascii="Arial Narrow" w:hAnsi="Arial Narrow"/>
          <w:sz w:val="22"/>
          <w:szCs w:val="22"/>
          <w:lang w:val="en-US"/>
        </w:rPr>
        <w:t>NBS</w:t>
      </w:r>
      <w:r w:rsidR="00537B48" w:rsidRPr="008240B4">
        <w:rPr>
          <w:rFonts w:ascii="Arial Narrow" w:hAnsi="Arial Narrow"/>
          <w:sz w:val="22"/>
          <w:szCs w:val="22"/>
          <w:lang w:val="en-US"/>
        </w:rPr>
        <w:t xml:space="preserve"> evaluation, and urban soil–infiltration assessment. These initiatives allow students to participate in monitoring design, sensor calibration, uncertainty analysis, model development, and interpretation of performance indicators. </w:t>
      </w:r>
      <w:r w:rsidRPr="008240B4">
        <w:rPr>
          <w:rFonts w:ascii="Arial Narrow" w:hAnsi="Arial Narrow"/>
          <w:sz w:val="22"/>
          <w:szCs w:val="22"/>
          <w:lang w:val="en-US"/>
        </w:rPr>
        <w:t xml:space="preserve"> </w:t>
      </w:r>
    </w:p>
    <w:p w14:paraId="50D358F3" w14:textId="1B14C65C" w:rsidR="008C6B90" w:rsidRPr="008240B4" w:rsidRDefault="00F2136A" w:rsidP="008240B4">
      <w:pPr>
        <w:spacing w:line="276" w:lineRule="auto"/>
        <w:jc w:val="both"/>
        <w:rPr>
          <w:rFonts w:ascii="Arial Narrow" w:hAnsi="Arial Narrow"/>
          <w:b/>
          <w:bCs/>
          <w:sz w:val="22"/>
          <w:szCs w:val="22"/>
          <w:lang w:val="en-US"/>
        </w:rPr>
      </w:pPr>
      <w:r w:rsidRPr="008240B4">
        <w:rPr>
          <w:rFonts w:ascii="Arial Narrow" w:hAnsi="Arial Narrow"/>
          <w:b/>
          <w:bCs/>
          <w:sz w:val="22"/>
          <w:szCs w:val="22"/>
          <w:lang w:val="en-US"/>
        </w:rPr>
        <w:t>5. EXTENSION AND TERRITORIAL ENGAGEMENT</w:t>
      </w:r>
    </w:p>
    <w:p w14:paraId="26EBA1D5" w14:textId="77777777" w:rsidR="0070386B" w:rsidRPr="008240B4" w:rsidRDefault="0070386B"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My approach to extension is built around a simple principle: territories are not “case studies,” they are partners in a learning chain. In complex hydrosystems, where decisions must be justified under uncertainty and non-stationarity, extension work is most effective when it links operational needs, existing monitoring initiatives, and real evaluation cycles. At the national level, this approach can be developed in collaboration with actors such as IDEAM, CARs and metropolitan environmental authorities (e.g., SDA Bogotá), risk-management agencies (e.g., IDIGER), and public utilities (e.g., EAAB). For this purpose, I plan to build on three complementary forms of engagement:</w:t>
      </w:r>
    </w:p>
    <w:p w14:paraId="38AC3AA7" w14:textId="77777777" w:rsidR="0070386B" w:rsidRPr="008240B4" w:rsidRDefault="0070386B" w:rsidP="008240B4">
      <w:pPr>
        <w:spacing w:line="276" w:lineRule="auto"/>
        <w:jc w:val="both"/>
        <w:rPr>
          <w:rFonts w:ascii="Arial Narrow" w:hAnsi="Arial Narrow"/>
          <w:sz w:val="22"/>
          <w:szCs w:val="22"/>
          <w:lang w:val="en-US"/>
        </w:rPr>
      </w:pPr>
      <w:r w:rsidRPr="008240B4">
        <w:rPr>
          <w:rFonts w:ascii="Arial Narrow" w:hAnsi="Arial Narrow"/>
          <w:b/>
          <w:bCs/>
          <w:sz w:val="22"/>
          <w:szCs w:val="22"/>
          <w:lang w:val="en-US"/>
        </w:rPr>
        <w:t>Co-definition of evaluation questions with operators and public authorities:</w:t>
      </w:r>
      <w:r w:rsidRPr="008240B4">
        <w:rPr>
          <w:rFonts w:ascii="Arial Narrow" w:hAnsi="Arial Narrow"/>
          <w:sz w:val="22"/>
          <w:szCs w:val="22"/>
          <w:lang w:val="en-US"/>
        </w:rPr>
        <w:t xml:space="preserve"> Joint diagnostic phases to identify (i) decision timelines, (ii) indicator(s) used, and (iii) the level of monitoring and modelling evidence required for different decision contexts, in coordination with authorities, regulators, and utilities.</w:t>
      </w:r>
    </w:p>
    <w:p w14:paraId="4252DD14" w14:textId="77777777" w:rsidR="0070386B" w:rsidRPr="008240B4" w:rsidRDefault="0070386B" w:rsidP="008240B4">
      <w:pPr>
        <w:spacing w:line="276" w:lineRule="auto"/>
        <w:jc w:val="both"/>
        <w:rPr>
          <w:rFonts w:ascii="Arial Narrow" w:hAnsi="Arial Narrow"/>
          <w:sz w:val="22"/>
          <w:szCs w:val="22"/>
          <w:lang w:val="en-US"/>
        </w:rPr>
      </w:pPr>
      <w:r w:rsidRPr="008240B4">
        <w:rPr>
          <w:rFonts w:ascii="Arial Narrow" w:hAnsi="Arial Narrow"/>
          <w:b/>
          <w:bCs/>
          <w:sz w:val="22"/>
          <w:szCs w:val="22"/>
          <w:lang w:val="en-US"/>
        </w:rPr>
        <w:t>Decision-oriented monitoring and evaluation support:</w:t>
      </w:r>
      <w:r w:rsidRPr="008240B4">
        <w:rPr>
          <w:rFonts w:ascii="Arial Narrow" w:hAnsi="Arial Narrow"/>
          <w:sz w:val="22"/>
          <w:szCs w:val="22"/>
          <w:lang w:val="en-US"/>
        </w:rPr>
        <w:t xml:space="preserve"> Supporting new and existing monitoring initiatives and promoting their alignment with decision needs: operational control (short horizon), medium-term compliance and attribution (multi-year), and long-term scenario evaluation (model-based), in dialogue with agencies responsible for water management and urban risk.</w:t>
      </w:r>
    </w:p>
    <w:p w14:paraId="7FF81BE2" w14:textId="77777777" w:rsidR="0070386B" w:rsidRPr="008240B4" w:rsidRDefault="0070386B" w:rsidP="008240B4">
      <w:pPr>
        <w:spacing w:line="276" w:lineRule="auto"/>
        <w:jc w:val="both"/>
        <w:rPr>
          <w:rFonts w:ascii="Arial Narrow" w:hAnsi="Arial Narrow"/>
          <w:sz w:val="22"/>
          <w:szCs w:val="22"/>
          <w:lang w:val="en-US"/>
        </w:rPr>
      </w:pPr>
      <w:r w:rsidRPr="008240B4">
        <w:rPr>
          <w:rFonts w:ascii="Arial Narrow" w:hAnsi="Arial Narrow"/>
          <w:b/>
          <w:bCs/>
          <w:sz w:val="22"/>
          <w:szCs w:val="22"/>
          <w:lang w:val="en-US"/>
        </w:rPr>
        <w:t>Capacity building and knowledge transfer:</w:t>
      </w:r>
      <w:r w:rsidRPr="008240B4">
        <w:rPr>
          <w:rFonts w:ascii="Arial Narrow" w:hAnsi="Arial Narrow"/>
          <w:sz w:val="22"/>
          <w:szCs w:val="22"/>
          <w:lang w:val="en-US"/>
        </w:rPr>
        <w:t xml:space="preserve"> Short courses and workshops on monitoring validation, performance indicators, scenario modelling, and AI-assisted data processing, aligned with the digitalization needs of utilities, environmental authorities, and technical agencies.</w:t>
      </w:r>
    </w:p>
    <w:p w14:paraId="29A222F3" w14:textId="4C2394FA" w:rsidR="00440C6E" w:rsidRPr="008240B4" w:rsidRDefault="0070386B" w:rsidP="008240B4">
      <w:pPr>
        <w:spacing w:line="276" w:lineRule="auto"/>
        <w:jc w:val="both"/>
        <w:rPr>
          <w:rFonts w:ascii="Arial Narrow" w:hAnsi="Arial Narrow"/>
          <w:sz w:val="22"/>
          <w:szCs w:val="22"/>
          <w:lang w:val="en-US"/>
        </w:rPr>
      </w:pPr>
      <w:r w:rsidRPr="008240B4">
        <w:rPr>
          <w:rFonts w:ascii="Arial Narrow" w:hAnsi="Arial Narrow"/>
          <w:sz w:val="22"/>
          <w:szCs w:val="22"/>
          <w:lang w:val="en-US"/>
        </w:rPr>
        <w:t>This extension model also naturally integrates student projects, internships, and thesis work, fostering continuous interaction between teaching, research, and territorial needs.</w:t>
      </w:r>
    </w:p>
    <w:p w14:paraId="302AF5E2" w14:textId="54EE15C0" w:rsidR="008E1D5B" w:rsidRPr="008240B4" w:rsidRDefault="00F2136A" w:rsidP="008240B4">
      <w:pPr>
        <w:spacing w:line="276" w:lineRule="auto"/>
        <w:jc w:val="both"/>
        <w:rPr>
          <w:rFonts w:ascii="Arial Narrow" w:hAnsi="Arial Narrow"/>
          <w:b/>
          <w:bCs/>
          <w:sz w:val="22"/>
          <w:szCs w:val="22"/>
          <w:lang w:val="en-US"/>
        </w:rPr>
      </w:pPr>
      <w:r w:rsidRPr="008240B4">
        <w:rPr>
          <w:rFonts w:ascii="Arial Narrow" w:hAnsi="Arial Narrow"/>
          <w:b/>
          <w:bCs/>
          <w:sz w:val="22"/>
          <w:szCs w:val="22"/>
          <w:lang w:val="en-US"/>
        </w:rPr>
        <w:t>6. INTEGRATION</w:t>
      </w:r>
      <w:r w:rsidR="00925348" w:rsidRPr="008240B4">
        <w:rPr>
          <w:rFonts w:ascii="Arial Narrow" w:hAnsi="Arial Narrow"/>
          <w:b/>
          <w:bCs/>
          <w:sz w:val="22"/>
          <w:szCs w:val="22"/>
          <w:lang w:val="en-US"/>
        </w:rPr>
        <w:t xml:space="preserve"> </w:t>
      </w:r>
      <w:r w:rsidRPr="008240B4">
        <w:rPr>
          <w:rFonts w:ascii="Arial Narrow" w:hAnsi="Arial Narrow"/>
          <w:b/>
          <w:bCs/>
          <w:sz w:val="22"/>
          <w:szCs w:val="22"/>
          <w:lang w:val="en-US"/>
        </w:rPr>
        <w:t>AND RESOURCE MOBILIZATION</w:t>
      </w:r>
    </w:p>
    <w:p w14:paraId="466F1A49" w14:textId="77777777" w:rsidR="00DC6DBD" w:rsidRPr="008240B4" w:rsidRDefault="00DC6DBD" w:rsidP="008240B4">
      <w:pPr>
        <w:tabs>
          <w:tab w:val="left" w:pos="924"/>
        </w:tabs>
        <w:spacing w:line="276" w:lineRule="auto"/>
        <w:jc w:val="both"/>
        <w:rPr>
          <w:rFonts w:ascii="Arial Narrow" w:hAnsi="Arial Narrow"/>
          <w:sz w:val="22"/>
          <w:szCs w:val="22"/>
          <w:lang w:val="en-US"/>
        </w:rPr>
      </w:pPr>
      <w:r w:rsidRPr="008240B4">
        <w:rPr>
          <w:rFonts w:ascii="Arial Narrow" w:hAnsi="Arial Narrow"/>
          <w:sz w:val="22"/>
          <w:szCs w:val="22"/>
          <w:lang w:val="en-US"/>
        </w:rPr>
        <w:t>My integration strategy is to consolidate a coherent long-term research program structured around the two axes above, grounded in shared datasets, uncertainty-based methods, and operational partnerships. As PI or co-PI, I have secured over 300 k€ in funding, contributed to large collaborative programs (e.g., GreenStorm, 2 M€), and coordinated projects in Colombia and Switzerland (TTV, 170 k€). This trajectory demonstrates my capacity to lead projects from initial scientific concepts to funded implementation, supporting the development of sustained, externally supported research activities.</w:t>
      </w:r>
    </w:p>
    <w:p w14:paraId="2F503CE2" w14:textId="05E53ECB" w:rsidR="00DC6DBD" w:rsidRPr="008240B4" w:rsidRDefault="00DC6DBD" w:rsidP="008240B4">
      <w:pPr>
        <w:tabs>
          <w:tab w:val="left" w:pos="924"/>
        </w:tabs>
        <w:spacing w:line="276" w:lineRule="auto"/>
        <w:jc w:val="both"/>
        <w:rPr>
          <w:rFonts w:ascii="Arial Narrow" w:hAnsi="Arial Narrow"/>
          <w:sz w:val="22"/>
          <w:szCs w:val="22"/>
          <w:lang w:val="en-US"/>
        </w:rPr>
      </w:pPr>
      <w:r w:rsidRPr="008240B4">
        <w:rPr>
          <w:rFonts w:ascii="Arial Narrow" w:hAnsi="Arial Narrow"/>
          <w:b/>
          <w:bCs/>
          <w:sz w:val="22"/>
          <w:szCs w:val="22"/>
          <w:lang w:val="en-US"/>
        </w:rPr>
        <w:t>Within Universidad Nacional</w:t>
      </w:r>
      <w:r w:rsidRPr="008240B4">
        <w:rPr>
          <w:rFonts w:ascii="Arial Narrow" w:hAnsi="Arial Narrow"/>
          <w:sz w:val="22"/>
          <w:szCs w:val="22"/>
          <w:lang w:val="en-US"/>
        </w:rPr>
        <w:t xml:space="preserve">, my first priority will be to integrate into GIREH across its hydrology–meteorology and water-resources planning lines, strengthening research on urban hydraulics, scale transitions, and uncertainty-aware modelling. </w:t>
      </w:r>
      <w:r w:rsidR="00FE2204" w:rsidRPr="008240B4">
        <w:rPr>
          <w:rFonts w:ascii="Arial Narrow" w:hAnsi="Arial Narrow"/>
          <w:sz w:val="22"/>
          <w:szCs w:val="22"/>
          <w:lang w:val="en-US"/>
        </w:rPr>
        <w:t xml:space="preserve">Building on my experience in porous-media hydrodynamics, collaboration with the HYDS </w:t>
      </w:r>
      <w:r w:rsidR="00FE2204" w:rsidRPr="008240B4">
        <w:rPr>
          <w:rFonts w:ascii="Arial Narrow" w:hAnsi="Arial Narrow"/>
          <w:sz w:val="22"/>
          <w:szCs w:val="22"/>
          <w:lang w:val="en-US"/>
        </w:rPr>
        <w:lastRenderedPageBreak/>
        <w:t>research group on subsurface processes represents a promising line of joint development toward improving the representation of infiltration in urban soils and drainage systems.</w:t>
      </w:r>
    </w:p>
    <w:p w14:paraId="343C8631" w14:textId="12959C74" w:rsidR="00DC6DBD" w:rsidRPr="000B63D5" w:rsidRDefault="004A78B5" w:rsidP="008240B4">
      <w:pPr>
        <w:tabs>
          <w:tab w:val="left" w:pos="924"/>
        </w:tabs>
        <w:spacing w:line="276" w:lineRule="auto"/>
        <w:jc w:val="both"/>
        <w:rPr>
          <w:rFonts w:ascii="Arial Narrow" w:hAnsi="Arial Narrow"/>
          <w:sz w:val="22"/>
          <w:szCs w:val="22"/>
          <w:lang w:val="en-US"/>
        </w:rPr>
      </w:pPr>
      <w:r w:rsidRPr="008240B4">
        <w:rPr>
          <w:rFonts w:ascii="Arial Narrow" w:hAnsi="Arial Narrow"/>
          <w:b/>
          <w:bCs/>
          <w:sz w:val="22"/>
          <w:szCs w:val="22"/>
          <w:lang w:val="en-US"/>
        </w:rPr>
        <w:t xml:space="preserve">At the national level, </w:t>
      </w:r>
      <w:r w:rsidR="000B63D5" w:rsidRPr="000B63D5">
        <w:rPr>
          <w:rFonts w:ascii="Arial Narrow" w:hAnsi="Arial Narrow"/>
          <w:sz w:val="22"/>
          <w:szCs w:val="22"/>
          <w:lang w:val="en-US"/>
        </w:rPr>
        <w:t>my agenda will connect with key actors, leverage LEH partnerships (e.g., CORMAGDALENA, SGC, ECOPETROL), and collaborate with leading universities (e.g., PUJ and Uniandes) to mobilize Minciencias and other national instruments on water, climate, risk, and territorial sustainability. These partnerships will anchor research in real datasets, operational constraints, and planning cycles, ensuring alignment with national priorities.</w:t>
      </w:r>
    </w:p>
    <w:p w14:paraId="10F4C259" w14:textId="185277BA" w:rsidR="00DC6DBD" w:rsidRPr="008240B4" w:rsidRDefault="00DC6DBD" w:rsidP="008240B4">
      <w:pPr>
        <w:tabs>
          <w:tab w:val="left" w:pos="924"/>
        </w:tabs>
        <w:spacing w:line="276" w:lineRule="auto"/>
        <w:jc w:val="both"/>
        <w:rPr>
          <w:rFonts w:ascii="Arial Narrow" w:hAnsi="Arial Narrow"/>
          <w:sz w:val="22"/>
          <w:szCs w:val="22"/>
          <w:lang w:val="en-US"/>
        </w:rPr>
      </w:pPr>
      <w:r w:rsidRPr="008240B4">
        <w:rPr>
          <w:rFonts w:ascii="Arial Narrow" w:hAnsi="Arial Narrow"/>
          <w:b/>
          <w:bCs/>
          <w:sz w:val="22"/>
          <w:szCs w:val="22"/>
          <w:lang w:val="en-US"/>
        </w:rPr>
        <w:t>At the international level</w:t>
      </w:r>
      <w:r w:rsidRPr="008240B4">
        <w:rPr>
          <w:rFonts w:ascii="Arial Narrow" w:hAnsi="Arial Narrow"/>
          <w:sz w:val="22"/>
          <w:szCs w:val="22"/>
          <w:lang w:val="en-US"/>
        </w:rPr>
        <w:t xml:space="preserve">, </w:t>
      </w:r>
      <w:r w:rsidR="00F53419" w:rsidRPr="008240B4">
        <w:rPr>
          <w:rFonts w:ascii="Arial Narrow" w:hAnsi="Arial Narrow"/>
          <w:sz w:val="22"/>
          <w:szCs w:val="22"/>
          <w:lang w:val="en-US"/>
        </w:rPr>
        <w:t xml:space="preserve">I will build upon established partnerships </w:t>
      </w:r>
      <w:r w:rsidRPr="008240B4">
        <w:rPr>
          <w:rFonts w:ascii="Arial Narrow" w:hAnsi="Arial Narrow"/>
          <w:sz w:val="22"/>
          <w:szCs w:val="22"/>
          <w:lang w:val="en-US"/>
        </w:rPr>
        <w:t xml:space="preserve">with research groups in France, Switzerland, Denmark, and Sweden (INSA Lyon, ENPC, HEIA-FR, DTU, LTU) to develop bilateral and multilateral </w:t>
      </w:r>
      <w:r w:rsidR="00F53419" w:rsidRPr="008240B4">
        <w:rPr>
          <w:rFonts w:ascii="Arial Narrow" w:hAnsi="Arial Narrow"/>
          <w:sz w:val="22"/>
          <w:szCs w:val="22"/>
          <w:lang w:val="en-US"/>
        </w:rPr>
        <w:t>collaborations</w:t>
      </w:r>
      <w:r w:rsidRPr="008240B4">
        <w:rPr>
          <w:rFonts w:ascii="Arial Narrow" w:hAnsi="Arial Narrow"/>
          <w:sz w:val="22"/>
          <w:szCs w:val="22"/>
          <w:lang w:val="en-US"/>
        </w:rPr>
        <w:t xml:space="preserve">, joint doctoral supervision, and research exchanges through European and international funding schemes, </w:t>
      </w:r>
      <w:r w:rsidR="00EA5CA7" w:rsidRPr="008240B4">
        <w:rPr>
          <w:rFonts w:ascii="Arial Narrow" w:hAnsi="Arial Narrow"/>
          <w:sz w:val="22"/>
          <w:szCs w:val="22"/>
          <w:lang w:val="en-US"/>
        </w:rPr>
        <w:t>strengthening collaborative research, data sharing</w:t>
      </w:r>
      <w:r w:rsidR="005D2077" w:rsidRPr="008240B4">
        <w:rPr>
          <w:rFonts w:ascii="Arial Narrow" w:hAnsi="Arial Narrow"/>
          <w:sz w:val="22"/>
          <w:szCs w:val="22"/>
          <w:lang w:val="en-US"/>
        </w:rPr>
        <w:t xml:space="preserve">, </w:t>
      </w:r>
      <w:r w:rsidRPr="008240B4">
        <w:rPr>
          <w:rFonts w:ascii="Arial Narrow" w:hAnsi="Arial Narrow"/>
          <w:sz w:val="22"/>
          <w:szCs w:val="22"/>
          <w:lang w:val="en-US"/>
        </w:rPr>
        <w:t xml:space="preserve">methodological </w:t>
      </w:r>
      <w:r w:rsidR="00DC1771" w:rsidRPr="008240B4">
        <w:rPr>
          <w:rFonts w:ascii="Arial Narrow" w:hAnsi="Arial Narrow"/>
          <w:sz w:val="22"/>
          <w:szCs w:val="22"/>
          <w:lang w:val="en-US"/>
        </w:rPr>
        <w:t>innovation</w:t>
      </w:r>
      <w:r w:rsidRPr="008240B4">
        <w:rPr>
          <w:rFonts w:ascii="Arial Narrow" w:hAnsi="Arial Narrow"/>
          <w:sz w:val="22"/>
          <w:szCs w:val="22"/>
          <w:lang w:val="en-US"/>
        </w:rPr>
        <w:t xml:space="preserve"> and international </w:t>
      </w:r>
      <w:r w:rsidR="00DC1771" w:rsidRPr="008240B4">
        <w:rPr>
          <w:rFonts w:ascii="Arial Narrow" w:hAnsi="Arial Narrow"/>
          <w:sz w:val="22"/>
          <w:szCs w:val="22"/>
          <w:lang w:val="en-US"/>
        </w:rPr>
        <w:t>visibility</w:t>
      </w:r>
      <w:r w:rsidRPr="008240B4">
        <w:rPr>
          <w:rFonts w:ascii="Arial Narrow" w:hAnsi="Arial Narrow"/>
          <w:sz w:val="22"/>
          <w:szCs w:val="22"/>
          <w:lang w:val="en-US"/>
        </w:rPr>
        <w:t>.</w:t>
      </w:r>
    </w:p>
    <w:p w14:paraId="5A84C9DB" w14:textId="77777777" w:rsidR="002F4982" w:rsidRPr="008240B4" w:rsidRDefault="00DC6DBD" w:rsidP="008240B4">
      <w:pPr>
        <w:tabs>
          <w:tab w:val="left" w:pos="924"/>
        </w:tabs>
        <w:spacing w:line="276" w:lineRule="auto"/>
        <w:jc w:val="both"/>
        <w:rPr>
          <w:rFonts w:ascii="Arial Narrow" w:hAnsi="Arial Narrow"/>
          <w:sz w:val="22"/>
          <w:szCs w:val="22"/>
          <w:lang w:val="en-US"/>
        </w:rPr>
      </w:pPr>
      <w:r w:rsidRPr="008240B4">
        <w:rPr>
          <w:rFonts w:ascii="Arial Narrow" w:hAnsi="Arial Narrow"/>
          <w:sz w:val="22"/>
          <w:szCs w:val="22"/>
          <w:lang w:val="en-US"/>
        </w:rPr>
        <w:t xml:space="preserve">Structurally, this agenda offers a durable platform for projects in climate adaptation, urban resilience, monitoring and digitalization of water systems, Nature-Based Solutions evaluation, and uncertainty-aware modelling. </w:t>
      </w:r>
      <w:r w:rsidR="002F4982" w:rsidRPr="008240B4">
        <w:rPr>
          <w:rFonts w:ascii="Arial Narrow" w:hAnsi="Arial Narrow"/>
          <w:sz w:val="22"/>
          <w:szCs w:val="22"/>
          <w:lang w:val="en-US"/>
        </w:rPr>
        <w:t>Linking shared study sites (Axis 1) with decision-support frameworks (Axis 2) sustains research and graduate training.</w:t>
      </w:r>
    </w:p>
    <w:p w14:paraId="11047D65" w14:textId="39D9259D" w:rsidR="00DC6DBD" w:rsidRPr="008240B4" w:rsidRDefault="00DC6DBD" w:rsidP="008240B4">
      <w:pPr>
        <w:tabs>
          <w:tab w:val="left" w:pos="924"/>
        </w:tabs>
        <w:spacing w:line="276" w:lineRule="auto"/>
        <w:jc w:val="both"/>
        <w:rPr>
          <w:rFonts w:ascii="Arial Narrow" w:hAnsi="Arial Narrow"/>
          <w:sz w:val="22"/>
          <w:szCs w:val="22"/>
          <w:lang w:val="en-US"/>
        </w:rPr>
      </w:pPr>
      <w:r w:rsidRPr="008240B4">
        <w:rPr>
          <w:rFonts w:ascii="Arial Narrow" w:hAnsi="Arial Narrow"/>
          <w:sz w:val="22"/>
          <w:szCs w:val="22"/>
          <w:lang w:val="en-US"/>
        </w:rPr>
        <w:t>Through this strategy, my recruitment would contribute to strengthening institutional research capacity, expanding collaborative networks, and reinforcing Universidad Nacional’s positioning in Water Resources Engineering in Colombia and Latin America.</w:t>
      </w:r>
    </w:p>
    <w:p w14:paraId="2DB7E7E8" w14:textId="77777777" w:rsidR="00B93353" w:rsidRPr="008240B4" w:rsidRDefault="00B93353" w:rsidP="008240B4">
      <w:pPr>
        <w:tabs>
          <w:tab w:val="left" w:pos="924"/>
        </w:tabs>
        <w:spacing w:line="276" w:lineRule="auto"/>
        <w:jc w:val="both"/>
        <w:rPr>
          <w:rFonts w:ascii="Arial Narrow" w:hAnsi="Arial Narrow"/>
          <w:sz w:val="22"/>
          <w:szCs w:val="22"/>
          <w:lang w:val="en-US"/>
        </w:rPr>
      </w:pPr>
    </w:p>
    <w:p w14:paraId="39349DAB" w14:textId="77777777" w:rsidR="008E1D5B" w:rsidRPr="008240B4" w:rsidRDefault="008E1D5B" w:rsidP="008240B4">
      <w:pPr>
        <w:tabs>
          <w:tab w:val="left" w:pos="924"/>
        </w:tabs>
        <w:spacing w:line="276" w:lineRule="auto"/>
        <w:jc w:val="both"/>
        <w:rPr>
          <w:rFonts w:ascii="Arial Narrow" w:hAnsi="Arial Narrow"/>
          <w:sz w:val="22"/>
          <w:szCs w:val="22"/>
          <w:lang w:val="en-US"/>
        </w:rPr>
      </w:pPr>
    </w:p>
    <w:p w14:paraId="14961AD1" w14:textId="77777777" w:rsidR="008E1D5B" w:rsidRPr="00C7611E" w:rsidRDefault="008E1D5B" w:rsidP="00C7611E">
      <w:pPr>
        <w:tabs>
          <w:tab w:val="left" w:pos="924"/>
        </w:tabs>
        <w:spacing w:line="276" w:lineRule="auto"/>
        <w:jc w:val="both"/>
        <w:rPr>
          <w:rFonts w:ascii="Arial Narrow" w:hAnsi="Arial Narrow"/>
          <w:sz w:val="22"/>
          <w:szCs w:val="22"/>
          <w:lang w:val="en-US"/>
        </w:rPr>
      </w:pPr>
    </w:p>
    <w:p w14:paraId="64E170B5" w14:textId="77777777" w:rsidR="008E1D5B" w:rsidRDefault="008E1D5B" w:rsidP="008E1D5B">
      <w:pPr>
        <w:tabs>
          <w:tab w:val="left" w:pos="924"/>
        </w:tabs>
        <w:spacing w:line="276" w:lineRule="auto"/>
        <w:jc w:val="both"/>
        <w:rPr>
          <w:rFonts w:ascii="Arial Narrow" w:hAnsi="Arial Narrow"/>
          <w:sz w:val="22"/>
          <w:szCs w:val="22"/>
          <w:lang w:val="en-US"/>
        </w:rPr>
      </w:pPr>
    </w:p>
    <w:p w14:paraId="1F639A75" w14:textId="77777777" w:rsidR="008E1D5B" w:rsidRDefault="008E1D5B" w:rsidP="008E1D5B">
      <w:pPr>
        <w:tabs>
          <w:tab w:val="left" w:pos="924"/>
        </w:tabs>
        <w:spacing w:line="276" w:lineRule="auto"/>
        <w:jc w:val="both"/>
        <w:rPr>
          <w:rFonts w:ascii="Arial Narrow" w:hAnsi="Arial Narrow"/>
          <w:sz w:val="22"/>
          <w:szCs w:val="22"/>
          <w:lang w:val="en-US"/>
        </w:rPr>
      </w:pPr>
    </w:p>
    <w:p w14:paraId="779D355A" w14:textId="77777777" w:rsidR="000D4CC8" w:rsidRDefault="000D4CC8" w:rsidP="008E1D5B">
      <w:pPr>
        <w:tabs>
          <w:tab w:val="left" w:pos="924"/>
        </w:tabs>
        <w:spacing w:line="276" w:lineRule="auto"/>
        <w:jc w:val="both"/>
        <w:rPr>
          <w:rFonts w:ascii="Arial Narrow" w:hAnsi="Arial Narrow"/>
          <w:sz w:val="22"/>
          <w:szCs w:val="22"/>
          <w:lang w:val="en-US"/>
        </w:rPr>
      </w:pPr>
    </w:p>
    <w:p w14:paraId="6869CADA" w14:textId="77777777" w:rsidR="000D4CC8" w:rsidRDefault="000D4CC8" w:rsidP="008E1D5B">
      <w:pPr>
        <w:tabs>
          <w:tab w:val="left" w:pos="924"/>
        </w:tabs>
        <w:spacing w:line="276" w:lineRule="auto"/>
        <w:jc w:val="both"/>
        <w:rPr>
          <w:rFonts w:ascii="Arial Narrow" w:hAnsi="Arial Narrow"/>
          <w:sz w:val="22"/>
          <w:szCs w:val="22"/>
          <w:lang w:val="en-US"/>
        </w:rPr>
      </w:pPr>
    </w:p>
    <w:p w14:paraId="0C807CA7" w14:textId="77777777" w:rsidR="000D4CC8" w:rsidRDefault="000D4CC8" w:rsidP="008E1D5B">
      <w:pPr>
        <w:tabs>
          <w:tab w:val="left" w:pos="924"/>
        </w:tabs>
        <w:spacing w:line="276" w:lineRule="auto"/>
        <w:jc w:val="both"/>
        <w:rPr>
          <w:rFonts w:ascii="Arial Narrow" w:hAnsi="Arial Narrow"/>
          <w:sz w:val="22"/>
          <w:szCs w:val="22"/>
          <w:lang w:val="en-US"/>
        </w:rPr>
      </w:pPr>
    </w:p>
    <w:p w14:paraId="441D909A" w14:textId="77777777" w:rsidR="000D4CC8" w:rsidRDefault="000D4CC8" w:rsidP="008E1D5B">
      <w:pPr>
        <w:tabs>
          <w:tab w:val="left" w:pos="924"/>
        </w:tabs>
        <w:spacing w:line="276" w:lineRule="auto"/>
        <w:jc w:val="both"/>
        <w:rPr>
          <w:rFonts w:ascii="Arial Narrow" w:hAnsi="Arial Narrow"/>
          <w:sz w:val="22"/>
          <w:szCs w:val="22"/>
          <w:lang w:val="en-US"/>
        </w:rPr>
      </w:pPr>
    </w:p>
    <w:p w14:paraId="55C17372" w14:textId="77777777" w:rsidR="002F4982" w:rsidRDefault="002F4982" w:rsidP="008E1D5B">
      <w:pPr>
        <w:tabs>
          <w:tab w:val="left" w:pos="924"/>
        </w:tabs>
        <w:spacing w:line="276" w:lineRule="auto"/>
        <w:jc w:val="both"/>
        <w:rPr>
          <w:rFonts w:ascii="Arial Narrow" w:hAnsi="Arial Narrow"/>
          <w:sz w:val="22"/>
          <w:szCs w:val="22"/>
          <w:lang w:val="en-US"/>
        </w:rPr>
      </w:pPr>
    </w:p>
    <w:p w14:paraId="5DFAC217" w14:textId="77777777" w:rsidR="002F4982" w:rsidRDefault="002F4982" w:rsidP="008E1D5B">
      <w:pPr>
        <w:tabs>
          <w:tab w:val="left" w:pos="924"/>
        </w:tabs>
        <w:spacing w:line="276" w:lineRule="auto"/>
        <w:jc w:val="both"/>
        <w:rPr>
          <w:rFonts w:ascii="Arial Narrow" w:hAnsi="Arial Narrow"/>
          <w:sz w:val="22"/>
          <w:szCs w:val="22"/>
          <w:lang w:val="en-US"/>
        </w:rPr>
      </w:pPr>
    </w:p>
    <w:p w14:paraId="05053699" w14:textId="77777777" w:rsidR="002F4982" w:rsidRDefault="002F4982" w:rsidP="008E1D5B">
      <w:pPr>
        <w:tabs>
          <w:tab w:val="left" w:pos="924"/>
        </w:tabs>
        <w:spacing w:line="276" w:lineRule="auto"/>
        <w:jc w:val="both"/>
        <w:rPr>
          <w:rFonts w:ascii="Arial Narrow" w:hAnsi="Arial Narrow"/>
          <w:sz w:val="22"/>
          <w:szCs w:val="22"/>
          <w:lang w:val="en-US"/>
        </w:rPr>
      </w:pPr>
    </w:p>
    <w:p w14:paraId="71776C75" w14:textId="77777777" w:rsidR="002F4982" w:rsidRDefault="002F4982" w:rsidP="008E1D5B">
      <w:pPr>
        <w:tabs>
          <w:tab w:val="left" w:pos="924"/>
        </w:tabs>
        <w:spacing w:line="276" w:lineRule="auto"/>
        <w:jc w:val="both"/>
        <w:rPr>
          <w:rFonts w:ascii="Arial Narrow" w:hAnsi="Arial Narrow"/>
          <w:sz w:val="22"/>
          <w:szCs w:val="22"/>
          <w:lang w:val="en-US"/>
        </w:rPr>
      </w:pPr>
    </w:p>
    <w:p w14:paraId="654EF794" w14:textId="77777777" w:rsidR="008E1D5B" w:rsidRDefault="008E1D5B" w:rsidP="008E1D5B">
      <w:pPr>
        <w:tabs>
          <w:tab w:val="left" w:pos="924"/>
        </w:tabs>
        <w:spacing w:line="276" w:lineRule="auto"/>
        <w:jc w:val="both"/>
        <w:rPr>
          <w:rFonts w:ascii="Arial Narrow" w:hAnsi="Arial Narrow"/>
          <w:sz w:val="22"/>
          <w:szCs w:val="22"/>
          <w:lang w:val="en-US"/>
        </w:rPr>
      </w:pPr>
    </w:p>
    <w:p w14:paraId="22DCF600" w14:textId="77777777" w:rsidR="00DC1278" w:rsidRDefault="00DC1278" w:rsidP="008E1D5B">
      <w:pPr>
        <w:tabs>
          <w:tab w:val="left" w:pos="924"/>
        </w:tabs>
        <w:spacing w:line="276" w:lineRule="auto"/>
        <w:jc w:val="both"/>
        <w:rPr>
          <w:rFonts w:ascii="Arial Narrow" w:hAnsi="Arial Narrow"/>
          <w:sz w:val="22"/>
          <w:szCs w:val="22"/>
          <w:lang w:val="en-US"/>
        </w:rPr>
      </w:pPr>
    </w:p>
    <w:p w14:paraId="6048FA60" w14:textId="77777777" w:rsidR="00DC1278" w:rsidRDefault="00DC1278" w:rsidP="008E1D5B">
      <w:pPr>
        <w:tabs>
          <w:tab w:val="left" w:pos="924"/>
        </w:tabs>
        <w:spacing w:line="276" w:lineRule="auto"/>
        <w:jc w:val="both"/>
        <w:rPr>
          <w:rFonts w:ascii="Arial Narrow" w:hAnsi="Arial Narrow"/>
          <w:sz w:val="22"/>
          <w:szCs w:val="22"/>
          <w:lang w:val="en-US"/>
        </w:rPr>
      </w:pPr>
    </w:p>
    <w:p w14:paraId="7E68F8EF" w14:textId="77777777" w:rsidR="00DC1278" w:rsidRDefault="00DC1278" w:rsidP="008E1D5B">
      <w:pPr>
        <w:tabs>
          <w:tab w:val="left" w:pos="924"/>
        </w:tabs>
        <w:spacing w:line="276" w:lineRule="auto"/>
        <w:jc w:val="both"/>
        <w:rPr>
          <w:rFonts w:ascii="Arial Narrow" w:hAnsi="Arial Narrow"/>
          <w:sz w:val="22"/>
          <w:szCs w:val="22"/>
          <w:lang w:val="en-US"/>
        </w:rPr>
      </w:pPr>
    </w:p>
    <w:p w14:paraId="021BE5AD" w14:textId="77777777" w:rsidR="00DC1278" w:rsidRDefault="00DC1278" w:rsidP="008E1D5B">
      <w:pPr>
        <w:tabs>
          <w:tab w:val="left" w:pos="924"/>
        </w:tabs>
        <w:spacing w:line="276" w:lineRule="auto"/>
        <w:jc w:val="both"/>
        <w:rPr>
          <w:rFonts w:ascii="Arial Narrow" w:hAnsi="Arial Narrow"/>
          <w:sz w:val="22"/>
          <w:szCs w:val="22"/>
          <w:lang w:val="en-US"/>
        </w:rPr>
      </w:pPr>
    </w:p>
    <w:p w14:paraId="0E766EA2" w14:textId="77777777" w:rsidR="00FB7793" w:rsidRPr="002A4F58" w:rsidRDefault="00FB7793" w:rsidP="002A4F58">
      <w:pPr>
        <w:spacing w:line="276" w:lineRule="auto"/>
        <w:jc w:val="both"/>
        <w:rPr>
          <w:rFonts w:ascii="Arial Narrow" w:hAnsi="Arial Narrow"/>
          <w:sz w:val="22"/>
          <w:szCs w:val="22"/>
          <w:lang w:val="en-US"/>
        </w:rPr>
      </w:pPr>
    </w:p>
    <w:p w14:paraId="038E9FC8" w14:textId="219F9B59" w:rsidR="002A4F58" w:rsidRPr="002A4F58" w:rsidRDefault="002A4F58" w:rsidP="002A4F58">
      <w:pPr>
        <w:spacing w:line="276" w:lineRule="auto"/>
        <w:jc w:val="both"/>
        <w:rPr>
          <w:rFonts w:ascii="Arial Narrow" w:hAnsi="Arial Narrow" w:cs="Arial"/>
          <w:sz w:val="22"/>
          <w:szCs w:val="22"/>
          <w:lang w:val="en-US"/>
        </w:rPr>
      </w:pPr>
      <w:r w:rsidRPr="002A4F58">
        <w:rPr>
          <w:rFonts w:ascii="Arial Narrow" w:hAnsi="Arial Narrow" w:cs="Arial"/>
          <w:b/>
          <w:bCs/>
          <w:sz w:val="22"/>
          <w:szCs w:val="22"/>
          <w:lang w:val="en-US"/>
        </w:rPr>
        <w:lastRenderedPageBreak/>
        <w:t>7. REFERENCES</w:t>
      </w:r>
    </w:p>
    <w:p w14:paraId="339667DA" w14:textId="77777777" w:rsid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*Broekhuizen, I., Sandoval, S., Gao, H., Mendez-Rios, F., Leonhardt, G., Bertrand-Krajewski, J.-L., &amp; Viklander, M. (2021). Performance comparison of green roof hydrological models for full-scale field sites. </w:t>
      </w:r>
      <w:r w:rsidRPr="00065CA4">
        <w:rPr>
          <w:rFonts w:ascii="Arial Narrow" w:hAnsi="Arial Narrow" w:cs="Arial"/>
          <w:i/>
          <w:iCs/>
          <w:sz w:val="22"/>
          <w:szCs w:val="22"/>
          <w:lang w:val="en-US"/>
        </w:rPr>
        <w:t>Journal of Hydrology X, 12</w:t>
      </w:r>
      <w:r w:rsidRPr="00065CA4">
        <w:rPr>
          <w:rFonts w:ascii="Arial Narrow" w:hAnsi="Arial Narrow" w:cs="Arial"/>
          <w:sz w:val="22"/>
          <w:szCs w:val="22"/>
          <w:lang w:val="en-US"/>
        </w:rPr>
        <w:t xml:space="preserve">, 100093. </w:t>
      </w:r>
      <w:hyperlink r:id="rId7" w:tgtFrame="_new" w:history="1">
        <w:r w:rsidRPr="00065CA4">
          <w:rPr>
            <w:rStyle w:val="Lienhypertexte"/>
            <w:rFonts w:ascii="Arial Narrow" w:hAnsi="Arial Narrow" w:cs="Arial"/>
            <w:sz w:val="22"/>
            <w:szCs w:val="22"/>
            <w:lang w:val="en-US"/>
          </w:rPr>
          <w:t>https://doi.org/10.1016/j.hydroa.2021.100093</w:t>
        </w:r>
      </w:hyperlink>
    </w:p>
    <w:p w14:paraId="2C1AE22D"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*Peña-Heredia, F., Sandoval, S., Escobar-Vargas, J. A., &amp; Torres, A. (2021). The influence of the correlation-covariance structure of measurement errors over uncertainties propagation in online monitoring: Application to environmental indicators in SUDS. </w:t>
      </w:r>
      <w:r w:rsidRPr="00065CA4">
        <w:rPr>
          <w:rFonts w:ascii="Arial Narrow" w:hAnsi="Arial Narrow" w:cs="Arial"/>
          <w:i/>
          <w:iCs/>
          <w:sz w:val="22"/>
          <w:szCs w:val="22"/>
          <w:lang w:val="en-US"/>
        </w:rPr>
        <w:t>Environmental Monitoring and Assessment, 193</w:t>
      </w:r>
      <w:r w:rsidRPr="00065CA4">
        <w:rPr>
          <w:rFonts w:ascii="Arial Narrow" w:hAnsi="Arial Narrow" w:cs="Arial"/>
          <w:sz w:val="22"/>
          <w:szCs w:val="22"/>
          <w:lang w:val="en-US"/>
        </w:rPr>
        <w:t xml:space="preserve">(6), 1–18. </w:t>
      </w:r>
      <w:hyperlink r:id="rId8" w:tgtFrame="_new" w:history="1">
        <w:r w:rsidRPr="00065CA4">
          <w:rPr>
            <w:rStyle w:val="Lienhypertexte"/>
            <w:rFonts w:ascii="Arial Narrow" w:hAnsi="Arial Narrow" w:cs="Arial"/>
            <w:sz w:val="22"/>
            <w:szCs w:val="22"/>
            <w:lang w:val="en-US"/>
          </w:rPr>
          <w:t>https://doi.org/10.1007/s10661-021-09097-9</w:t>
        </w:r>
      </w:hyperlink>
    </w:p>
    <w:p w14:paraId="1E6392DE"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*Sandoval, S., &amp; Bertrand-Krajewski, J.-L. (2016). Influence of sampling intake position on suspended solids measurements in sewers: Two probability/time series-based approaches. </w:t>
      </w:r>
      <w:r w:rsidRPr="00065CA4">
        <w:rPr>
          <w:rFonts w:ascii="Arial Narrow" w:hAnsi="Arial Narrow" w:cs="Arial"/>
          <w:i/>
          <w:iCs/>
          <w:sz w:val="22"/>
          <w:szCs w:val="22"/>
          <w:lang w:val="en-US"/>
        </w:rPr>
        <w:t>Environmental Monitoring and Assessment, 188</w:t>
      </w:r>
      <w:r w:rsidRPr="00065CA4">
        <w:rPr>
          <w:rFonts w:ascii="Arial Narrow" w:hAnsi="Arial Narrow" w:cs="Arial"/>
          <w:sz w:val="22"/>
          <w:szCs w:val="22"/>
          <w:lang w:val="en-US"/>
        </w:rPr>
        <w:t xml:space="preserve">, 347. </w:t>
      </w:r>
      <w:hyperlink r:id="rId9" w:tgtFrame="_new" w:history="1">
        <w:r w:rsidRPr="00065CA4">
          <w:rPr>
            <w:rStyle w:val="Lienhypertexte"/>
            <w:rFonts w:ascii="Arial Narrow" w:hAnsi="Arial Narrow" w:cs="Arial"/>
            <w:sz w:val="22"/>
            <w:szCs w:val="22"/>
            <w:lang w:val="en-US"/>
          </w:rPr>
          <w:t>https://doi.org/10.1007/s10661-016-5335-y</w:t>
        </w:r>
      </w:hyperlink>
    </w:p>
    <w:p w14:paraId="6D06232A"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*Sandoval, S., Bertrand-Krajewski, J.-L. (2019). From marginal to conditional probability functions of parameters in a conceptual rainfall–runoff model: An event-based approach. </w:t>
      </w:r>
      <w:r w:rsidRPr="00065CA4">
        <w:rPr>
          <w:rFonts w:ascii="Arial Narrow" w:hAnsi="Arial Narrow" w:cs="Arial"/>
          <w:i/>
          <w:iCs/>
          <w:sz w:val="22"/>
          <w:szCs w:val="22"/>
          <w:lang w:val="en-US"/>
        </w:rPr>
        <w:t>Hydrological Sciences Journal, 64</w:t>
      </w:r>
      <w:r w:rsidRPr="00065CA4">
        <w:rPr>
          <w:rFonts w:ascii="Arial Narrow" w:hAnsi="Arial Narrow" w:cs="Arial"/>
          <w:sz w:val="22"/>
          <w:szCs w:val="22"/>
          <w:lang w:val="en-US"/>
        </w:rPr>
        <w:t xml:space="preserve">(11), 1340–1350. </w:t>
      </w:r>
      <w:hyperlink r:id="rId10" w:tgtFrame="_new" w:history="1">
        <w:r w:rsidRPr="00065CA4">
          <w:rPr>
            <w:rStyle w:val="Lienhypertexte"/>
            <w:rFonts w:ascii="Arial Narrow" w:hAnsi="Arial Narrow" w:cs="Arial"/>
            <w:sz w:val="22"/>
            <w:szCs w:val="22"/>
            <w:lang w:val="en-US"/>
          </w:rPr>
          <w:t>https://doi.org/10.1080/02626667.2019.1635696</w:t>
        </w:r>
      </w:hyperlink>
    </w:p>
    <w:p w14:paraId="1F7FFE44"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*Sandoval, S., Bertrand-Krajewski, J.-L., &amp; Peña-Heredia, F. (2022). Conceptual stormwater quality models by alternative linear and non-linear formulations: An event-based approach. </w:t>
      </w:r>
      <w:r w:rsidRPr="00065CA4">
        <w:rPr>
          <w:rFonts w:ascii="Arial Narrow" w:hAnsi="Arial Narrow" w:cs="Arial"/>
          <w:i/>
          <w:iCs/>
          <w:sz w:val="22"/>
          <w:szCs w:val="22"/>
          <w:lang w:val="en-US"/>
        </w:rPr>
        <w:t>Environmental Modeling &amp; Assessment, 27</w:t>
      </w:r>
      <w:r w:rsidRPr="00065CA4">
        <w:rPr>
          <w:rFonts w:ascii="Arial Narrow" w:hAnsi="Arial Narrow" w:cs="Arial"/>
          <w:sz w:val="22"/>
          <w:szCs w:val="22"/>
          <w:lang w:val="en-US"/>
        </w:rPr>
        <w:t xml:space="preserve">(5), 817–830. </w:t>
      </w:r>
      <w:hyperlink r:id="rId11" w:tgtFrame="_new" w:history="1">
        <w:r w:rsidRPr="00065CA4">
          <w:rPr>
            <w:rStyle w:val="Lienhypertexte"/>
            <w:rFonts w:ascii="Arial Narrow" w:hAnsi="Arial Narrow" w:cs="Arial"/>
            <w:sz w:val="22"/>
            <w:szCs w:val="22"/>
            <w:lang w:val="en-US"/>
          </w:rPr>
          <w:t>https://doi.org/10.1007/s10666-022-09838-1</w:t>
        </w:r>
      </w:hyperlink>
    </w:p>
    <w:p w14:paraId="0C4A41DC"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*Sandoval, S., Bertrand-Krajewski, J.-L., &amp; Vezzaro, L. (2018). Revisiting conceptual stormwater quality models by reconstructing virtual state variables. </w:t>
      </w:r>
      <w:r w:rsidRPr="00065CA4">
        <w:rPr>
          <w:rFonts w:ascii="Arial Narrow" w:hAnsi="Arial Narrow" w:cs="Arial"/>
          <w:i/>
          <w:iCs/>
          <w:sz w:val="22"/>
          <w:szCs w:val="22"/>
          <w:lang w:val="en-US"/>
        </w:rPr>
        <w:t>Water Science and Technology, 78</w:t>
      </w:r>
      <w:r w:rsidRPr="00065CA4">
        <w:rPr>
          <w:rFonts w:ascii="Arial Narrow" w:hAnsi="Arial Narrow" w:cs="Arial"/>
          <w:sz w:val="22"/>
          <w:szCs w:val="22"/>
          <w:lang w:val="en-US"/>
        </w:rPr>
        <w:t xml:space="preserve">(3), 655–663. </w:t>
      </w:r>
      <w:hyperlink r:id="rId12" w:tgtFrame="_new" w:history="1">
        <w:r w:rsidRPr="00065CA4">
          <w:rPr>
            <w:rStyle w:val="Lienhypertexte"/>
            <w:rFonts w:ascii="Arial Narrow" w:hAnsi="Arial Narrow" w:cs="Arial"/>
            <w:sz w:val="22"/>
            <w:szCs w:val="22"/>
            <w:lang w:val="en-US"/>
          </w:rPr>
          <w:t>https://doi.org/10.2166/wst.2018.337</w:t>
        </w:r>
      </w:hyperlink>
    </w:p>
    <w:p w14:paraId="17CD4F85"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*Sandoval, S., Bertrand-Krajewski, J.-L., Caradot, N., Hofer, T., &amp; Gruber, G. (2018). Performance and uncertainties of TSS stormwater sampling strategies from online time series. </w:t>
      </w:r>
      <w:r w:rsidRPr="00065CA4">
        <w:rPr>
          <w:rFonts w:ascii="Arial Narrow" w:hAnsi="Arial Narrow" w:cs="Arial"/>
          <w:i/>
          <w:iCs/>
          <w:sz w:val="22"/>
          <w:szCs w:val="22"/>
          <w:lang w:val="en-US"/>
        </w:rPr>
        <w:t>Water Science and Technology, 78</w:t>
      </w:r>
      <w:r w:rsidRPr="00065CA4">
        <w:rPr>
          <w:rFonts w:ascii="Arial Narrow" w:hAnsi="Arial Narrow" w:cs="Arial"/>
          <w:sz w:val="22"/>
          <w:szCs w:val="22"/>
          <w:lang w:val="en-US"/>
        </w:rPr>
        <w:t xml:space="preserve">(6), 1407–1416. </w:t>
      </w:r>
      <w:hyperlink r:id="rId13" w:tgtFrame="_new" w:history="1">
        <w:r w:rsidRPr="00065CA4">
          <w:rPr>
            <w:rStyle w:val="Lienhypertexte"/>
            <w:rFonts w:ascii="Arial Narrow" w:hAnsi="Arial Narrow" w:cs="Arial"/>
            <w:sz w:val="22"/>
            <w:szCs w:val="22"/>
            <w:lang w:val="en-US"/>
          </w:rPr>
          <w:t>https://doi.org/10.2166/wst.2018.415</w:t>
        </w:r>
      </w:hyperlink>
    </w:p>
    <w:p w14:paraId="3A705671"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sz w:val="22"/>
          <w:szCs w:val="22"/>
          <w:lang w:val="en-US"/>
        </w:rPr>
        <w:t xml:space="preserve">*Sandoval, S., Favre, F., &amp; Spahni, B. (2021). Transformation of continuous turbidity measurements into pollutant concentrations in urban drainage systems: Detangling global regressions. In </w:t>
      </w:r>
      <w:r w:rsidRPr="00065CA4">
        <w:rPr>
          <w:rStyle w:val="Accentuation"/>
          <w:rFonts w:ascii="Arial Narrow" w:hAnsi="Arial Narrow"/>
          <w:sz w:val="22"/>
          <w:szCs w:val="22"/>
          <w:lang w:val="en-US"/>
        </w:rPr>
        <w:t>Proceedings of the 15th International Conference on Urban Drainage</w:t>
      </w:r>
      <w:r w:rsidRPr="00065CA4">
        <w:rPr>
          <w:rFonts w:ascii="Arial Narrow" w:hAnsi="Arial Narrow"/>
          <w:sz w:val="22"/>
          <w:szCs w:val="22"/>
          <w:lang w:val="en-US"/>
        </w:rPr>
        <w:t xml:space="preserve"> (Melbourne, Australia).</w:t>
      </w:r>
    </w:p>
    <w:p w14:paraId="02B0FE94"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*Sandoval, S., Filippi, R., Houssin, E., Beauvisage, L., Bournique, R., &amp; Bertrand-Krajewski, J.-L. (2019). A simulation tool for comparing the hydrological performance of various associated stormwater source-control techniques at the scale of buildings and blocks. In </w:t>
      </w:r>
      <w:r w:rsidRPr="00065CA4">
        <w:rPr>
          <w:rFonts w:ascii="Arial Narrow" w:hAnsi="Arial Narrow" w:cs="Arial"/>
          <w:i/>
          <w:iCs/>
          <w:sz w:val="22"/>
          <w:szCs w:val="22"/>
          <w:lang w:val="en-US"/>
        </w:rPr>
        <w:t>Proceedings of Novatech 2019</w:t>
      </w:r>
      <w:r w:rsidRPr="00065CA4">
        <w:rPr>
          <w:rFonts w:ascii="Arial Narrow" w:hAnsi="Arial Narrow" w:cs="Arial"/>
          <w:sz w:val="22"/>
          <w:szCs w:val="22"/>
          <w:lang w:val="en-US"/>
        </w:rPr>
        <w:t xml:space="preserve"> (Lyon, France, July 1–5).</w:t>
      </w:r>
    </w:p>
    <w:p w14:paraId="5B2318DB" w14:textId="77777777" w:rsidR="00065CA4" w:rsidRPr="00065CA4" w:rsidRDefault="00065CA4" w:rsidP="00065CA4">
      <w:pPr>
        <w:spacing w:after="0" w:line="276" w:lineRule="auto"/>
        <w:jc w:val="both"/>
        <w:rPr>
          <w:rFonts w:ascii="Arial Narrow" w:hAnsi="Arial Narrow" w:cs="Arial"/>
          <w:sz w:val="22"/>
          <w:szCs w:val="22"/>
          <w:lang w:val="en-US"/>
        </w:rPr>
      </w:pPr>
      <w:r w:rsidRPr="00037923">
        <w:rPr>
          <w:rFonts w:ascii="Arial Narrow" w:hAnsi="Arial Narrow"/>
          <w:sz w:val="22"/>
          <w:szCs w:val="22"/>
          <w:lang w:val="en-US"/>
        </w:rPr>
        <w:t xml:space="preserve">*Sandoval, S., Torres, A., Duarte, M., &amp; Velasco, A. (2013b). </w:t>
      </w:r>
      <w:r w:rsidRPr="00065CA4">
        <w:rPr>
          <w:rFonts w:ascii="Arial Narrow" w:hAnsi="Arial Narrow"/>
          <w:sz w:val="22"/>
          <w:szCs w:val="22"/>
          <w:lang w:val="en-US"/>
        </w:rPr>
        <w:t xml:space="preserve">Assessment of rainfall influence over water quality effluent of an urban catchment: A data-driven approach. Case study: El Salitre basin (Bogotá, Colombia). </w:t>
      </w:r>
      <w:r w:rsidRPr="00065CA4">
        <w:rPr>
          <w:rStyle w:val="Accentuation"/>
          <w:rFonts w:ascii="Arial Narrow" w:hAnsi="Arial Narrow"/>
          <w:sz w:val="22"/>
          <w:szCs w:val="22"/>
          <w:lang w:val="en-US"/>
        </w:rPr>
        <w:t>Urban Water Journal, 10</w:t>
      </w:r>
      <w:r w:rsidRPr="00065CA4">
        <w:rPr>
          <w:rFonts w:ascii="Arial Narrow" w:hAnsi="Arial Narrow"/>
          <w:sz w:val="22"/>
          <w:szCs w:val="22"/>
          <w:lang w:val="en-US"/>
        </w:rPr>
        <w:t>(3), 1–11.</w:t>
      </w:r>
    </w:p>
    <w:p w14:paraId="6C7D6007"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*Sandoval, S., Torres, A., Pawlowsky-Reusing, E., Riechel, M., &amp; Caradot, N. (2013a). The evaluation of rainfall influence on CSO characteristics: The Berlin case study. </w:t>
      </w:r>
      <w:r w:rsidRPr="00065CA4">
        <w:rPr>
          <w:rFonts w:ascii="Arial Narrow" w:hAnsi="Arial Narrow" w:cs="Arial"/>
          <w:i/>
          <w:iCs/>
          <w:sz w:val="22"/>
          <w:szCs w:val="22"/>
          <w:lang w:val="en-US"/>
        </w:rPr>
        <w:t>Water Science and Technology, 68</w:t>
      </w:r>
      <w:r w:rsidRPr="00065CA4">
        <w:rPr>
          <w:rFonts w:ascii="Arial Narrow" w:hAnsi="Arial Narrow" w:cs="Arial"/>
          <w:sz w:val="22"/>
          <w:szCs w:val="22"/>
          <w:lang w:val="en-US"/>
        </w:rPr>
        <w:t xml:space="preserve">(12), 2683–2690. </w:t>
      </w:r>
      <w:hyperlink r:id="rId14" w:tgtFrame="_new" w:history="1">
        <w:r w:rsidRPr="00065CA4">
          <w:rPr>
            <w:rStyle w:val="Lienhypertexte"/>
            <w:rFonts w:ascii="Arial Narrow" w:hAnsi="Arial Narrow" w:cs="Arial"/>
            <w:sz w:val="22"/>
            <w:szCs w:val="22"/>
            <w:lang w:val="en-US"/>
          </w:rPr>
          <w:t>https://doi.org/10.2166/wst.2013.524</w:t>
        </w:r>
      </w:hyperlink>
    </w:p>
    <w:p w14:paraId="20D9CE8D"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sz w:val="22"/>
          <w:szCs w:val="22"/>
          <w:lang w:val="en-US"/>
        </w:rPr>
        <w:t xml:space="preserve">*Sandoval, S., Vezzaro, L., &amp; Bertrand-Krajewski, J.-L. (2016). Gap-filling of dry weather flow rate and water quality measurements in urban catchments by a time series modelling approach. </w:t>
      </w:r>
      <w:r w:rsidRPr="00037923">
        <w:rPr>
          <w:rFonts w:ascii="Arial Narrow" w:hAnsi="Arial Narrow"/>
          <w:sz w:val="22"/>
          <w:szCs w:val="22"/>
          <w:lang w:val="en-US"/>
        </w:rPr>
        <w:t xml:space="preserve">In </w:t>
      </w:r>
      <w:r w:rsidRPr="00037923">
        <w:rPr>
          <w:rStyle w:val="Accentuation"/>
          <w:rFonts w:ascii="Arial Narrow" w:hAnsi="Arial Narrow"/>
          <w:sz w:val="22"/>
          <w:szCs w:val="22"/>
          <w:lang w:val="en-US"/>
        </w:rPr>
        <w:t>Proceedings of Novatech 2016</w:t>
      </w:r>
      <w:r w:rsidRPr="00037923">
        <w:rPr>
          <w:rFonts w:ascii="Arial Narrow" w:hAnsi="Arial Narrow"/>
          <w:sz w:val="22"/>
          <w:szCs w:val="22"/>
          <w:lang w:val="en-US"/>
        </w:rPr>
        <w:t xml:space="preserve"> (Lyon, France).</w:t>
      </w:r>
    </w:p>
    <w:p w14:paraId="5ED5C12D" w14:textId="77777777" w:rsidR="00065CA4" w:rsidRPr="00065CA4" w:rsidRDefault="00065CA4" w:rsidP="00065CA4">
      <w:pPr>
        <w:spacing w:after="0" w:line="276" w:lineRule="auto"/>
        <w:jc w:val="both"/>
        <w:rPr>
          <w:rFonts w:ascii="Arial Narrow" w:hAnsi="Arial Narrow" w:cs="Arial"/>
          <w:sz w:val="22"/>
          <w:szCs w:val="22"/>
          <w:lang w:val="en-US"/>
        </w:rPr>
      </w:pPr>
      <w:r w:rsidRPr="00037923">
        <w:rPr>
          <w:rFonts w:ascii="Arial Narrow" w:hAnsi="Arial Narrow" w:cs="Arial"/>
          <w:sz w:val="22"/>
          <w:szCs w:val="22"/>
          <w:lang w:val="en-US"/>
        </w:rPr>
        <w:t xml:space="preserve">*Urbis. (2024). </w:t>
      </w:r>
      <w:r w:rsidRPr="00037923">
        <w:rPr>
          <w:rFonts w:ascii="Arial Narrow" w:hAnsi="Arial Narrow" w:cs="Arial"/>
          <w:i/>
          <w:iCs/>
          <w:sz w:val="22"/>
          <w:szCs w:val="22"/>
          <w:lang w:val="en-US"/>
        </w:rPr>
        <w:t>Urbis</w:t>
      </w:r>
      <w:r w:rsidRPr="00037923">
        <w:rPr>
          <w:rFonts w:ascii="Arial Narrow" w:hAnsi="Arial Narrow" w:cs="Arial"/>
          <w:sz w:val="22"/>
          <w:szCs w:val="22"/>
          <w:lang w:val="en-US"/>
        </w:rPr>
        <w:t xml:space="preserve">. Deep (INSA Lyon). </w:t>
      </w:r>
      <w:r w:rsidRPr="00065CA4">
        <w:rPr>
          <w:rFonts w:ascii="Arial Narrow" w:hAnsi="Arial Narrow" w:cs="Arial"/>
          <w:sz w:val="22"/>
          <w:szCs w:val="22"/>
          <w:lang w:val="en-US"/>
        </w:rPr>
        <w:t xml:space="preserve">Retrieved February 11, 2026, from </w:t>
      </w:r>
      <w:hyperlink r:id="rId15" w:tgtFrame="_new" w:history="1">
        <w:r w:rsidRPr="00065CA4">
          <w:rPr>
            <w:rStyle w:val="Lienhypertexte"/>
            <w:rFonts w:ascii="Arial Narrow" w:hAnsi="Arial Narrow" w:cs="Arial"/>
            <w:sz w:val="22"/>
            <w:szCs w:val="22"/>
            <w:lang w:val="en-US"/>
          </w:rPr>
          <w:t>https://deep.insa-lyon.fr/fr/page/urbis</w:t>
        </w:r>
      </w:hyperlink>
    </w:p>
    <w:p w14:paraId="4960BFE7"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sz w:val="22"/>
          <w:szCs w:val="22"/>
          <w:lang w:val="es-GT"/>
        </w:rPr>
        <w:t xml:space="preserve">Acosta-Coll, M., Ballester-Merelo, F., Martinez-Peiró, M., &amp; la Hoz-Franco, D. (2018). </w:t>
      </w:r>
      <w:r w:rsidRPr="00065CA4">
        <w:rPr>
          <w:rFonts w:ascii="Arial Narrow" w:hAnsi="Arial Narrow"/>
          <w:sz w:val="22"/>
          <w:szCs w:val="22"/>
          <w:lang w:val="en-US"/>
        </w:rPr>
        <w:t xml:space="preserve">Real-time early warning system design for pluvial flash floods—A review. </w:t>
      </w:r>
      <w:r w:rsidRPr="00FA5473">
        <w:rPr>
          <w:rStyle w:val="Accentuation"/>
          <w:rFonts w:ascii="Arial Narrow" w:hAnsi="Arial Narrow"/>
          <w:sz w:val="22"/>
          <w:szCs w:val="22"/>
          <w:lang w:val="en-US"/>
        </w:rPr>
        <w:t>Sensors, 18</w:t>
      </w:r>
      <w:r w:rsidRPr="00FA5473">
        <w:rPr>
          <w:rFonts w:ascii="Arial Narrow" w:hAnsi="Arial Narrow"/>
          <w:sz w:val="22"/>
          <w:szCs w:val="22"/>
          <w:lang w:val="en-US"/>
        </w:rPr>
        <w:t xml:space="preserve">(7), 2255. </w:t>
      </w:r>
      <w:hyperlink r:id="rId16" w:tgtFrame="_new" w:history="1">
        <w:r w:rsidRPr="00FA5473">
          <w:rPr>
            <w:rStyle w:val="Lienhypertexte"/>
            <w:rFonts w:ascii="Arial Narrow" w:hAnsi="Arial Narrow"/>
            <w:sz w:val="22"/>
            <w:szCs w:val="22"/>
            <w:lang w:val="en-US"/>
          </w:rPr>
          <w:t>https://doi.org/10.3390/s18072255</w:t>
        </w:r>
      </w:hyperlink>
    </w:p>
    <w:p w14:paraId="1FAED19E"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Ali, S., Niaz, H., Ahmad, S., &amp; Khan, S. (2025). Investigating how rapid urbanization contributes to climate change and the social challenges cities face in mitigating its effects. </w:t>
      </w:r>
      <w:r w:rsidRPr="00037923">
        <w:rPr>
          <w:rFonts w:ascii="Arial Narrow" w:hAnsi="Arial Narrow" w:cs="Arial"/>
          <w:i/>
          <w:iCs/>
          <w:sz w:val="22"/>
          <w:szCs w:val="22"/>
          <w:lang w:val="en-US"/>
        </w:rPr>
        <w:t>Review of Applied Management and Social Sciences, 8</w:t>
      </w:r>
      <w:r w:rsidRPr="00037923">
        <w:rPr>
          <w:rFonts w:ascii="Arial Narrow" w:hAnsi="Arial Narrow" w:cs="Arial"/>
          <w:sz w:val="22"/>
          <w:szCs w:val="22"/>
          <w:lang w:val="en-US"/>
        </w:rPr>
        <w:t>(1), 1–16.</w:t>
      </w:r>
    </w:p>
    <w:p w14:paraId="10AC65EE"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sz w:val="22"/>
          <w:szCs w:val="22"/>
          <w:lang w:val="en-US"/>
        </w:rPr>
        <w:t xml:space="preserve">Anliker, S., Loos, M., Comte, R., Ruff, M., Fenner, K., &amp; Singer, H. (2021). Assessing emissions from pharmaceutical manufacturing based on temporal high-resolution mass spectrometry data. </w:t>
      </w:r>
      <w:r w:rsidRPr="00037923">
        <w:rPr>
          <w:rStyle w:val="Accentuation"/>
          <w:rFonts w:ascii="Arial Narrow" w:hAnsi="Arial Narrow"/>
          <w:sz w:val="22"/>
          <w:szCs w:val="22"/>
          <w:lang w:val="en-US"/>
        </w:rPr>
        <w:t>Environmental Science &amp; Technology, 54</w:t>
      </w:r>
      <w:r w:rsidRPr="00037923">
        <w:rPr>
          <w:rFonts w:ascii="Arial Narrow" w:hAnsi="Arial Narrow"/>
          <w:sz w:val="22"/>
          <w:szCs w:val="22"/>
          <w:lang w:val="en-US"/>
        </w:rPr>
        <w:t>, 4110–4120.</w:t>
      </w:r>
    </w:p>
    <w:p w14:paraId="40CF1289"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lastRenderedPageBreak/>
        <w:t xml:space="preserve">Bacci, M., Dal Molin, M., Fenicia, F., Reichert, P., &amp; Šukys, J. (2022). Application of stochastic time-dependent parameters to improve the characterization of uncertainty in conceptual hydrological models. </w:t>
      </w:r>
      <w:r w:rsidRPr="00065CA4">
        <w:rPr>
          <w:rFonts w:ascii="Arial Narrow" w:hAnsi="Arial Narrow" w:cs="Arial"/>
          <w:i/>
          <w:iCs/>
          <w:sz w:val="22"/>
          <w:szCs w:val="22"/>
          <w:lang w:val="en-US"/>
        </w:rPr>
        <w:t>Journal of Hydrology, 612</w:t>
      </w:r>
      <w:r w:rsidRPr="00065CA4">
        <w:rPr>
          <w:rFonts w:ascii="Arial Narrow" w:hAnsi="Arial Narrow" w:cs="Arial"/>
          <w:sz w:val="22"/>
          <w:szCs w:val="22"/>
          <w:lang w:val="en-US"/>
        </w:rPr>
        <w:t>, 128057.</w:t>
      </w:r>
    </w:p>
    <w:p w14:paraId="6306D8A6"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Bonhomme, C., &amp; Petrucci, G. (2017). Should we trust build-up/wash-off water quality models at the scale of urban catchments? </w:t>
      </w:r>
      <w:r w:rsidRPr="00065CA4">
        <w:rPr>
          <w:rFonts w:ascii="Arial Narrow" w:hAnsi="Arial Narrow" w:cs="Arial"/>
          <w:i/>
          <w:iCs/>
          <w:sz w:val="22"/>
          <w:szCs w:val="22"/>
          <w:lang w:val="en-US"/>
        </w:rPr>
        <w:t>Water Research, 108</w:t>
      </w:r>
      <w:r w:rsidRPr="00065CA4">
        <w:rPr>
          <w:rFonts w:ascii="Arial Narrow" w:hAnsi="Arial Narrow" w:cs="Arial"/>
          <w:sz w:val="22"/>
          <w:szCs w:val="22"/>
          <w:lang w:val="en-US"/>
        </w:rPr>
        <w:t>, 422–431.</w:t>
      </w:r>
    </w:p>
    <w:p w14:paraId="18B25211"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Brunetti, G., Papagrigoriou, I. A., Šimůnek, J., &amp; Stumpp, C. (2021). Green roofs for domestic wastewater treatment: Experimental and numerical analysis of nitrogen turnover. </w:t>
      </w:r>
      <w:r w:rsidRPr="00065CA4">
        <w:rPr>
          <w:rFonts w:ascii="Arial Narrow" w:hAnsi="Arial Narrow" w:cs="Arial"/>
          <w:i/>
          <w:iCs/>
          <w:sz w:val="22"/>
          <w:szCs w:val="22"/>
          <w:lang w:val="en-US"/>
        </w:rPr>
        <w:t>Journal of Hydrology, 603</w:t>
      </w:r>
      <w:r w:rsidRPr="00065CA4">
        <w:rPr>
          <w:rFonts w:ascii="Arial Narrow" w:hAnsi="Arial Narrow" w:cs="Arial"/>
          <w:sz w:val="22"/>
          <w:szCs w:val="22"/>
          <w:lang w:val="en-US"/>
        </w:rPr>
        <w:t>, 127132.</w:t>
      </w:r>
    </w:p>
    <w:p w14:paraId="0C031006"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sz w:val="22"/>
          <w:szCs w:val="22"/>
          <w:lang w:val="en-US"/>
        </w:rPr>
        <w:t xml:space="preserve">Buckova, M., Licbinsky, R., Jandova, V., Krejci, J., Pospichalova, J., &amp; Huzlik, J. (2017). Fast ecotoxicity detection using biosensors. </w:t>
      </w:r>
      <w:r w:rsidRPr="00065CA4">
        <w:rPr>
          <w:rStyle w:val="Accentuation"/>
          <w:rFonts w:ascii="Arial Narrow" w:hAnsi="Arial Narrow"/>
          <w:sz w:val="22"/>
          <w:szCs w:val="22"/>
          <w:lang w:val="en-US"/>
        </w:rPr>
        <w:t>Water, Air, &amp; Soil Pollution, 228</w:t>
      </w:r>
      <w:r w:rsidRPr="00065CA4">
        <w:rPr>
          <w:rFonts w:ascii="Arial Narrow" w:hAnsi="Arial Narrow"/>
          <w:sz w:val="22"/>
          <w:szCs w:val="22"/>
          <w:lang w:val="en-US"/>
        </w:rPr>
        <w:t>(4), 166.</w:t>
      </w:r>
    </w:p>
    <w:p w14:paraId="6C8A7258"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sz w:val="22"/>
          <w:szCs w:val="22"/>
          <w:lang w:val="en-US"/>
        </w:rPr>
        <w:t xml:space="preserve">Cherqui, F., James, R., Poelsma, P., Burns, M. J., Szota, C., Fletcher, T., &amp; Bertrand-Krajewski, J.-L. (2020). A platform and protocol to standardise the test and selection of low-cost sensors for water level monitoring. </w:t>
      </w:r>
      <w:r w:rsidRPr="00037923">
        <w:rPr>
          <w:rStyle w:val="Accentuation"/>
          <w:rFonts w:ascii="Arial Narrow" w:hAnsi="Arial Narrow"/>
          <w:sz w:val="22"/>
          <w:szCs w:val="22"/>
          <w:lang w:val="en-US"/>
        </w:rPr>
        <w:t>H2Open Journal, 3</w:t>
      </w:r>
      <w:r w:rsidRPr="00037923">
        <w:rPr>
          <w:rFonts w:ascii="Arial Narrow" w:hAnsi="Arial Narrow"/>
          <w:sz w:val="22"/>
          <w:szCs w:val="22"/>
          <w:lang w:val="en-US"/>
        </w:rPr>
        <w:t>(1), 437–456.</w:t>
      </w:r>
    </w:p>
    <w:p w14:paraId="165194B4"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Cook, L. M., McGinnis, S., &amp; Samaras, C. (2020). The effect of modeling choices on updating intensity-duration-frequency curves and stormwater infrastructure designs for climate change. </w:t>
      </w:r>
      <w:r w:rsidRPr="00065CA4">
        <w:rPr>
          <w:rFonts w:ascii="Arial Narrow" w:hAnsi="Arial Narrow" w:cs="Arial"/>
          <w:i/>
          <w:iCs/>
          <w:sz w:val="22"/>
          <w:szCs w:val="22"/>
          <w:lang w:val="en-US"/>
        </w:rPr>
        <w:t>Climatic Change, 159</w:t>
      </w:r>
      <w:r w:rsidRPr="00065CA4">
        <w:rPr>
          <w:rFonts w:ascii="Arial Narrow" w:hAnsi="Arial Narrow" w:cs="Arial"/>
          <w:sz w:val="22"/>
          <w:szCs w:val="22"/>
          <w:lang w:val="en-US"/>
        </w:rPr>
        <w:t>(2), 289–308.</w:t>
      </w:r>
    </w:p>
    <w:p w14:paraId="52C2853F"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Del Giudice, D., Albert, C., Rieckermann, J., &amp; Reichert, P. (2016). Describing the catchment-averaged precipitation as a stochastic process improves parameter and input estimation. </w:t>
      </w:r>
      <w:r w:rsidRPr="00065CA4">
        <w:rPr>
          <w:rFonts w:ascii="Arial Narrow" w:hAnsi="Arial Narrow" w:cs="Arial"/>
          <w:i/>
          <w:iCs/>
          <w:sz w:val="22"/>
          <w:szCs w:val="22"/>
          <w:lang w:val="en-US"/>
        </w:rPr>
        <w:t>Water Resources Research, 52</w:t>
      </w:r>
      <w:r w:rsidRPr="00065CA4">
        <w:rPr>
          <w:rFonts w:ascii="Arial Narrow" w:hAnsi="Arial Narrow" w:cs="Arial"/>
          <w:sz w:val="22"/>
          <w:szCs w:val="22"/>
          <w:lang w:val="en-US"/>
        </w:rPr>
        <w:t>(4), 3162–3186.</w:t>
      </w:r>
    </w:p>
    <w:p w14:paraId="0B7EA326"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Fletcher, T. D., Andrieu, H., &amp; Hamel, P. (2013). Understanding, management and modelling of urban hydrology and its consequences for receiving waters: A state of the art. </w:t>
      </w:r>
      <w:r w:rsidRPr="00065CA4">
        <w:rPr>
          <w:rFonts w:ascii="Arial Narrow" w:hAnsi="Arial Narrow" w:cs="Arial"/>
          <w:i/>
          <w:iCs/>
          <w:sz w:val="22"/>
          <w:szCs w:val="22"/>
          <w:lang w:val="en-US"/>
        </w:rPr>
        <w:t>Advances in Water Resources, 51</w:t>
      </w:r>
      <w:r w:rsidRPr="00065CA4">
        <w:rPr>
          <w:rFonts w:ascii="Arial Narrow" w:hAnsi="Arial Narrow" w:cs="Arial"/>
          <w:sz w:val="22"/>
          <w:szCs w:val="22"/>
          <w:lang w:val="en-US"/>
        </w:rPr>
        <w:t>, 261–279.</w:t>
      </w:r>
    </w:p>
    <w:p w14:paraId="14459371" w14:textId="77777777" w:rsidR="00065CA4" w:rsidRPr="00037923" w:rsidRDefault="00065CA4" w:rsidP="00065CA4">
      <w:pPr>
        <w:spacing w:after="0" w:line="276" w:lineRule="auto"/>
        <w:jc w:val="both"/>
        <w:rPr>
          <w:rFonts w:ascii="Arial Narrow" w:hAnsi="Arial Narrow" w:cs="Arial"/>
          <w:sz w:val="22"/>
          <w:szCs w:val="22"/>
        </w:rPr>
      </w:pPr>
      <w:r w:rsidRPr="00065CA4">
        <w:rPr>
          <w:rFonts w:ascii="Arial Narrow" w:hAnsi="Arial Narrow"/>
          <w:sz w:val="22"/>
          <w:szCs w:val="22"/>
          <w:lang w:val="en-US"/>
        </w:rPr>
        <w:t xml:space="preserve">Hannouche, A., Joannis, C., &amp; Chebbo, G. (2017). Assessment of total suspended solids (TSS) event load and its uncertainties in combined sewer systems from continuous turbidity measurements. </w:t>
      </w:r>
      <w:r w:rsidRPr="00065CA4">
        <w:rPr>
          <w:rStyle w:val="Accentuation"/>
          <w:rFonts w:ascii="Arial Narrow" w:hAnsi="Arial Narrow"/>
          <w:sz w:val="22"/>
          <w:szCs w:val="22"/>
        </w:rPr>
        <w:t>Urban Water Journal, 14</w:t>
      </w:r>
      <w:r w:rsidRPr="00065CA4">
        <w:rPr>
          <w:rFonts w:ascii="Arial Narrow" w:hAnsi="Arial Narrow"/>
          <w:sz w:val="22"/>
          <w:szCs w:val="22"/>
        </w:rPr>
        <w:t>(8), 789–796.</w:t>
      </w:r>
    </w:p>
    <w:p w14:paraId="4C361717"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sz w:val="22"/>
          <w:szCs w:val="22"/>
        </w:rPr>
        <w:t xml:space="preserve">Horner, I., Renard, B., Le Coz, J., Branger, F., McMillan, H. K., &amp; Pierrefeu, G. (2018). </w:t>
      </w:r>
      <w:r w:rsidRPr="00065CA4">
        <w:rPr>
          <w:rFonts w:ascii="Arial Narrow" w:hAnsi="Arial Narrow"/>
          <w:sz w:val="22"/>
          <w:szCs w:val="22"/>
          <w:lang w:val="en-US"/>
        </w:rPr>
        <w:t xml:space="preserve">Impact of stage measurement errors on streamflow uncertainty. </w:t>
      </w:r>
      <w:r w:rsidRPr="00065CA4">
        <w:rPr>
          <w:rStyle w:val="Accentuation"/>
          <w:rFonts w:ascii="Arial Narrow" w:hAnsi="Arial Narrow"/>
          <w:sz w:val="22"/>
          <w:szCs w:val="22"/>
          <w:lang w:val="en-US"/>
        </w:rPr>
        <w:t>Water Resources Research, 54</w:t>
      </w:r>
      <w:r w:rsidRPr="00065CA4">
        <w:rPr>
          <w:rFonts w:ascii="Arial Narrow" w:hAnsi="Arial Narrow"/>
          <w:sz w:val="22"/>
          <w:szCs w:val="22"/>
          <w:lang w:val="en-US"/>
        </w:rPr>
        <w:t>(3), 1952–1976.</w:t>
      </w:r>
    </w:p>
    <w:p w14:paraId="52209A4E"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Jarden, K. M., Jefferson, A. J., &amp; Grieser, J. M. (2016). Assessing the effects of catchment-scale urban green infrastructure retrofits on hydrograph characteristics. </w:t>
      </w:r>
      <w:r w:rsidRPr="00065CA4">
        <w:rPr>
          <w:rFonts w:ascii="Arial Narrow" w:hAnsi="Arial Narrow" w:cs="Arial"/>
          <w:i/>
          <w:iCs/>
          <w:sz w:val="22"/>
          <w:szCs w:val="22"/>
          <w:lang w:val="en-US"/>
        </w:rPr>
        <w:t>Hydrological Processes, 30</w:t>
      </w:r>
      <w:r w:rsidRPr="00065CA4">
        <w:rPr>
          <w:rFonts w:ascii="Arial Narrow" w:hAnsi="Arial Narrow" w:cs="Arial"/>
          <w:sz w:val="22"/>
          <w:szCs w:val="22"/>
          <w:lang w:val="en-US"/>
        </w:rPr>
        <w:t>(10), 1536–1550.</w:t>
      </w:r>
    </w:p>
    <w:p w14:paraId="47CC9114"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Jones, L., Anderson, S., Læssøe, J., Banzhaf, E., Jensen, A., Bird, D. N., &amp; Zandersen, M. (2022). A typology for urban green infrastructure to guide multifunctional planning of nature-based solutions. </w:t>
      </w:r>
      <w:r w:rsidRPr="00065CA4">
        <w:rPr>
          <w:rFonts w:ascii="Arial Narrow" w:hAnsi="Arial Narrow" w:cs="Arial"/>
          <w:i/>
          <w:iCs/>
          <w:sz w:val="22"/>
          <w:szCs w:val="22"/>
          <w:lang w:val="en-US"/>
        </w:rPr>
        <w:t>Nature-Based Solutions, 2</w:t>
      </w:r>
      <w:r w:rsidRPr="00065CA4">
        <w:rPr>
          <w:rFonts w:ascii="Arial Narrow" w:hAnsi="Arial Narrow" w:cs="Arial"/>
          <w:sz w:val="22"/>
          <w:szCs w:val="22"/>
          <w:lang w:val="en-US"/>
        </w:rPr>
        <w:t>, 100041.</w:t>
      </w:r>
    </w:p>
    <w:p w14:paraId="0DE697F1"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sz w:val="22"/>
          <w:szCs w:val="22"/>
          <w:lang w:val="en-US"/>
        </w:rPr>
        <w:t xml:space="preserve">Lepot, M., Aubin, J.-B., &amp; Clemens, F. H. L. R. (2017). Interpolation in time series: An introductive overview of existing methods, their performance criteria and uncertainty assessment. </w:t>
      </w:r>
      <w:r w:rsidRPr="00037923">
        <w:rPr>
          <w:rStyle w:val="Accentuation"/>
          <w:rFonts w:ascii="Arial Narrow" w:hAnsi="Arial Narrow"/>
          <w:sz w:val="22"/>
          <w:szCs w:val="22"/>
          <w:lang w:val="en-US"/>
        </w:rPr>
        <w:t>Water, 9</w:t>
      </w:r>
      <w:r w:rsidRPr="00037923">
        <w:rPr>
          <w:rFonts w:ascii="Arial Narrow" w:hAnsi="Arial Narrow"/>
          <w:sz w:val="22"/>
          <w:szCs w:val="22"/>
          <w:lang w:val="en-US"/>
        </w:rPr>
        <w:t>(10), Article 796.</w:t>
      </w:r>
    </w:p>
    <w:p w14:paraId="625FACB3"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sz w:val="22"/>
          <w:szCs w:val="22"/>
          <w:lang w:val="en-US"/>
        </w:rPr>
        <w:t xml:space="preserve">Lepot, M., Kapelan, Z., &amp; Clemens, F. H. L. R. (2021). Metrology in urban drainage and stormwater management: Plug and pray. In </w:t>
      </w:r>
      <w:r w:rsidRPr="00065CA4">
        <w:rPr>
          <w:rStyle w:val="Accentuation"/>
          <w:rFonts w:ascii="Arial Narrow" w:hAnsi="Arial Narrow"/>
          <w:sz w:val="22"/>
          <w:szCs w:val="22"/>
          <w:lang w:val="en-US"/>
        </w:rPr>
        <w:t>Design of a monitoring network: From macro to micro design</w:t>
      </w:r>
      <w:r w:rsidRPr="00065CA4">
        <w:rPr>
          <w:rFonts w:ascii="Arial Narrow" w:hAnsi="Arial Narrow"/>
          <w:sz w:val="22"/>
          <w:szCs w:val="22"/>
          <w:lang w:val="en-US"/>
        </w:rPr>
        <w:t xml:space="preserve"> (pp. 156–202). </w:t>
      </w:r>
      <w:r w:rsidRPr="00037923">
        <w:rPr>
          <w:rFonts w:ascii="Arial Narrow" w:hAnsi="Arial Narrow"/>
          <w:sz w:val="22"/>
          <w:szCs w:val="22"/>
          <w:lang w:val="en-US"/>
        </w:rPr>
        <w:t>IWA Publishing.</w:t>
      </w:r>
    </w:p>
    <w:p w14:paraId="0B71390E"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Lepot, M., Torres, A., Hofer, T., Caradot, N., Gruber, G., Aubin, J.-B., &amp; Bertrand-Krajewski, J.-L. (2016). Calibration of UV/Vis spectrophotometers: A review and comparison of different methods to estimate TSS and total and dissolved COD concentrations in sewers, WWTPs and rivers. </w:t>
      </w:r>
      <w:r w:rsidRPr="00065CA4">
        <w:rPr>
          <w:rFonts w:ascii="Arial Narrow" w:hAnsi="Arial Narrow" w:cs="Arial"/>
          <w:i/>
          <w:iCs/>
          <w:sz w:val="22"/>
          <w:szCs w:val="22"/>
          <w:lang w:val="en-US"/>
        </w:rPr>
        <w:t>Water Research, 101</w:t>
      </w:r>
      <w:r w:rsidRPr="00065CA4">
        <w:rPr>
          <w:rFonts w:ascii="Arial Narrow" w:hAnsi="Arial Narrow" w:cs="Arial"/>
          <w:sz w:val="22"/>
          <w:szCs w:val="22"/>
          <w:lang w:val="en-US"/>
        </w:rPr>
        <w:t>, 519–534.</w:t>
      </w:r>
    </w:p>
    <w:p w14:paraId="11A68264"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Lerer, S. M., Arnbjerg-Nielsen, K., &amp; Mikkelsen, P. S. (2015). A mapping of tools for informing water sensitive urban design planning decisions—Questions, aspects and context sensitivity. </w:t>
      </w:r>
      <w:r w:rsidRPr="00065CA4">
        <w:rPr>
          <w:rFonts w:ascii="Arial Narrow" w:hAnsi="Arial Narrow" w:cs="Arial"/>
          <w:i/>
          <w:iCs/>
          <w:sz w:val="22"/>
          <w:szCs w:val="22"/>
          <w:lang w:val="en-US"/>
        </w:rPr>
        <w:t>Water, 7</w:t>
      </w:r>
      <w:r w:rsidRPr="00065CA4">
        <w:rPr>
          <w:rFonts w:ascii="Arial Narrow" w:hAnsi="Arial Narrow" w:cs="Arial"/>
          <w:sz w:val="22"/>
          <w:szCs w:val="22"/>
          <w:lang w:val="en-US"/>
        </w:rPr>
        <w:t>(3), 993–1012.</w:t>
      </w:r>
    </w:p>
    <w:p w14:paraId="3BE4E190"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Métadier, M., &amp; Bertrand-Krajewski, J.-L. (2012). The use of long-term on-line turbidity measurements for the calculation of urban stormwater pollutant concentrations, loads, pollutographs and intra-event fluxes. </w:t>
      </w:r>
      <w:r w:rsidRPr="00065CA4">
        <w:rPr>
          <w:rFonts w:ascii="Arial Narrow" w:hAnsi="Arial Narrow" w:cs="Arial"/>
          <w:i/>
          <w:iCs/>
          <w:sz w:val="22"/>
          <w:szCs w:val="22"/>
          <w:lang w:val="en-US"/>
        </w:rPr>
        <w:t>Water Research, 46</w:t>
      </w:r>
      <w:r w:rsidRPr="00065CA4">
        <w:rPr>
          <w:rFonts w:ascii="Arial Narrow" w:hAnsi="Arial Narrow" w:cs="Arial"/>
          <w:sz w:val="22"/>
          <w:szCs w:val="22"/>
          <w:lang w:val="en-US"/>
        </w:rPr>
        <w:t>(20), 6836–6856.</w:t>
      </w:r>
    </w:p>
    <w:p w14:paraId="56AE23BC"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Oberascher, M., Rauch, W., &amp; Sitzenfrei, R. (2022). Towards a smart water city: A comprehensive review of applications, data requirements, and communication technologies for integrated management. </w:t>
      </w:r>
      <w:r w:rsidRPr="00065CA4">
        <w:rPr>
          <w:rFonts w:ascii="Arial Narrow" w:hAnsi="Arial Narrow" w:cs="Arial"/>
          <w:i/>
          <w:iCs/>
          <w:sz w:val="22"/>
          <w:szCs w:val="22"/>
          <w:lang w:val="en-US"/>
        </w:rPr>
        <w:t>Sustainable Cities and Society, 76</w:t>
      </w:r>
      <w:r w:rsidRPr="00065CA4">
        <w:rPr>
          <w:rFonts w:ascii="Arial Narrow" w:hAnsi="Arial Narrow" w:cs="Arial"/>
          <w:sz w:val="22"/>
          <w:szCs w:val="22"/>
          <w:lang w:val="en-US"/>
        </w:rPr>
        <w:t>, 103442.</w:t>
      </w:r>
    </w:p>
    <w:p w14:paraId="719DB5A4" w14:textId="77777777" w:rsidR="00065CA4" w:rsidRPr="00065CA4" w:rsidRDefault="00065CA4" w:rsidP="00065CA4">
      <w:pPr>
        <w:spacing w:after="0" w:line="276" w:lineRule="auto"/>
        <w:jc w:val="both"/>
        <w:rPr>
          <w:rFonts w:ascii="Arial Narrow" w:hAnsi="Arial Narrow" w:cs="Arial"/>
          <w:sz w:val="22"/>
          <w:szCs w:val="22"/>
          <w:lang w:val="en-US"/>
        </w:rPr>
      </w:pPr>
      <w:r w:rsidRPr="00037923">
        <w:rPr>
          <w:rFonts w:ascii="Arial Narrow" w:hAnsi="Arial Narrow"/>
          <w:sz w:val="22"/>
          <w:szCs w:val="22"/>
          <w:lang w:val="en-US"/>
        </w:rPr>
        <w:t xml:space="preserve">Palla, A., Gnecco, I., Carbone, M., Garofalo, G., Lanza, L. G., &amp; Piro, P. (2015). </w:t>
      </w:r>
      <w:r w:rsidRPr="00065CA4">
        <w:rPr>
          <w:rFonts w:ascii="Arial Narrow" w:hAnsi="Arial Narrow"/>
          <w:sz w:val="22"/>
          <w:szCs w:val="22"/>
          <w:lang w:val="en-US"/>
        </w:rPr>
        <w:t xml:space="preserve">Influence of stratigraphy and slope on the drainage capacity of permeable pavements: Laboratory results. </w:t>
      </w:r>
      <w:r w:rsidRPr="00037923">
        <w:rPr>
          <w:rStyle w:val="Accentuation"/>
          <w:rFonts w:ascii="Arial Narrow" w:hAnsi="Arial Narrow"/>
          <w:sz w:val="22"/>
          <w:szCs w:val="22"/>
          <w:lang w:val="en-US"/>
        </w:rPr>
        <w:t>Urban Water Journal, 12</w:t>
      </w:r>
      <w:r w:rsidRPr="00037923">
        <w:rPr>
          <w:rFonts w:ascii="Arial Narrow" w:hAnsi="Arial Narrow"/>
          <w:sz w:val="22"/>
          <w:szCs w:val="22"/>
          <w:lang w:val="en-US"/>
        </w:rPr>
        <w:t>(5), 394–403.</w:t>
      </w:r>
    </w:p>
    <w:p w14:paraId="4A4E4652" w14:textId="77777777" w:rsidR="00065CA4" w:rsidRPr="00065CA4" w:rsidRDefault="00065CA4" w:rsidP="00065CA4">
      <w:pPr>
        <w:spacing w:after="0" w:line="276" w:lineRule="auto"/>
        <w:jc w:val="both"/>
        <w:rPr>
          <w:rFonts w:ascii="Arial Narrow" w:hAnsi="Arial Narrow" w:cs="Arial"/>
          <w:sz w:val="22"/>
          <w:szCs w:val="22"/>
          <w:lang w:val="en-US"/>
        </w:rPr>
      </w:pPr>
      <w:r w:rsidRPr="00037923">
        <w:rPr>
          <w:rFonts w:ascii="Arial Narrow" w:hAnsi="Arial Narrow"/>
          <w:sz w:val="22"/>
          <w:szCs w:val="22"/>
          <w:lang w:val="en-US"/>
        </w:rPr>
        <w:t xml:space="preserve">Pedregosa, F., Varoquaux, G., Gramfort, A., Michel, V., Thirion, B., Grisel, O., … </w:t>
      </w:r>
      <w:r w:rsidRPr="00065CA4">
        <w:rPr>
          <w:rFonts w:ascii="Arial Narrow" w:hAnsi="Arial Narrow"/>
          <w:sz w:val="22"/>
          <w:szCs w:val="22"/>
          <w:lang w:val="en-US"/>
        </w:rPr>
        <w:t xml:space="preserve">Duchesnay, E. (2011). Scikit-learn: Machine learning in Python. </w:t>
      </w:r>
      <w:r w:rsidRPr="00065CA4">
        <w:rPr>
          <w:rStyle w:val="Accentuation"/>
          <w:rFonts w:ascii="Arial Narrow" w:hAnsi="Arial Narrow"/>
          <w:sz w:val="22"/>
          <w:szCs w:val="22"/>
          <w:lang w:val="en-US"/>
        </w:rPr>
        <w:t>Journal of Machine Learning Research, 12</w:t>
      </w:r>
      <w:r w:rsidRPr="00065CA4">
        <w:rPr>
          <w:rFonts w:ascii="Arial Narrow" w:hAnsi="Arial Narrow"/>
          <w:sz w:val="22"/>
          <w:szCs w:val="22"/>
          <w:lang w:val="en-US"/>
        </w:rPr>
        <w:t>, 2825–2830.</w:t>
      </w:r>
    </w:p>
    <w:p w14:paraId="37EC8770"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lastRenderedPageBreak/>
        <w:t xml:space="preserve">Pons, V., Abdalla, E. M. H., Tscheikner-Gratl, F., Alfredsen, K., Sivertsen, E., Bertrand-Krajewski, J. L., &amp; Muthanna, T. M. (2023). Practice makes the model: A critical review of stormwater green infrastructure modelling practice. </w:t>
      </w:r>
      <w:r w:rsidRPr="00065CA4">
        <w:rPr>
          <w:rFonts w:ascii="Arial Narrow" w:hAnsi="Arial Narrow" w:cs="Arial"/>
          <w:i/>
          <w:iCs/>
          <w:sz w:val="22"/>
          <w:szCs w:val="22"/>
          <w:lang w:val="en-US"/>
        </w:rPr>
        <w:t>Water Research</w:t>
      </w:r>
      <w:r w:rsidRPr="00065CA4">
        <w:rPr>
          <w:rFonts w:ascii="Arial Narrow" w:hAnsi="Arial Narrow" w:cs="Arial"/>
          <w:sz w:val="22"/>
          <w:szCs w:val="22"/>
          <w:lang w:val="en-US"/>
        </w:rPr>
        <w:t>, 119958.</w:t>
      </w:r>
    </w:p>
    <w:p w14:paraId="0814B0C1"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Pons, V., Muthanna, T. M., Sivertsen, E., &amp; Bertrand-Krajewski, J. L. (2022). Revising green roof design methods with downscaling model of rainfall time series. </w:t>
      </w:r>
      <w:r w:rsidRPr="00065CA4">
        <w:rPr>
          <w:rFonts w:ascii="Arial Narrow" w:hAnsi="Arial Narrow" w:cs="Arial"/>
          <w:i/>
          <w:iCs/>
          <w:sz w:val="22"/>
          <w:szCs w:val="22"/>
          <w:lang w:val="en-US"/>
        </w:rPr>
        <w:t>Water Science and Technology, 85</w:t>
      </w:r>
      <w:r w:rsidRPr="00065CA4">
        <w:rPr>
          <w:rFonts w:ascii="Arial Narrow" w:hAnsi="Arial Narrow" w:cs="Arial"/>
          <w:sz w:val="22"/>
          <w:szCs w:val="22"/>
          <w:lang w:val="en-US"/>
        </w:rPr>
        <w:t>(5), 1363–1371.</w:t>
      </w:r>
    </w:p>
    <w:p w14:paraId="1CCD8028" w14:textId="77777777" w:rsidR="00065CA4" w:rsidRPr="00037923" w:rsidRDefault="00065CA4" w:rsidP="00065CA4">
      <w:pPr>
        <w:spacing w:after="0" w:line="276" w:lineRule="auto"/>
        <w:jc w:val="both"/>
        <w:rPr>
          <w:rFonts w:ascii="Arial Narrow" w:hAnsi="Arial Narrow" w:cs="Arial"/>
          <w:sz w:val="22"/>
          <w:szCs w:val="22"/>
        </w:rPr>
      </w:pPr>
      <w:r w:rsidRPr="00065CA4">
        <w:rPr>
          <w:rFonts w:ascii="Arial Narrow" w:hAnsi="Arial Narrow" w:cs="Arial"/>
          <w:sz w:val="22"/>
          <w:szCs w:val="22"/>
          <w:lang w:val="en-US"/>
        </w:rPr>
        <w:t xml:space="preserve">Renard, B., Kavetski, D., Kuczera, G., Thyer, M., &amp; Franks, S. W. (2010). Understanding predictive uncertainty in hydrologic modeling: The challenge of identifying input and structural errors. </w:t>
      </w:r>
      <w:r w:rsidRPr="00037923">
        <w:rPr>
          <w:rFonts w:ascii="Arial Narrow" w:hAnsi="Arial Narrow" w:cs="Arial"/>
          <w:i/>
          <w:iCs/>
          <w:sz w:val="22"/>
          <w:szCs w:val="22"/>
        </w:rPr>
        <w:t>Water Resources Research, 46</w:t>
      </w:r>
      <w:r w:rsidRPr="00037923">
        <w:rPr>
          <w:rFonts w:ascii="Arial Narrow" w:hAnsi="Arial Narrow" w:cs="Arial"/>
          <w:sz w:val="22"/>
          <w:szCs w:val="22"/>
        </w:rPr>
        <w:t>, 1–22.</w:t>
      </w:r>
    </w:p>
    <w:p w14:paraId="12BA402C"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sz w:val="22"/>
          <w:szCs w:val="22"/>
        </w:rPr>
        <w:t xml:space="preserve">Rossi, L. (1998). </w:t>
      </w:r>
      <w:r w:rsidRPr="00065CA4">
        <w:rPr>
          <w:rStyle w:val="Accentuation"/>
          <w:rFonts w:ascii="Arial Narrow" w:hAnsi="Arial Narrow"/>
          <w:sz w:val="22"/>
          <w:szCs w:val="22"/>
        </w:rPr>
        <w:t>Qualité des eaux de ruissellement urbaines</w:t>
      </w:r>
      <w:r w:rsidRPr="00065CA4">
        <w:rPr>
          <w:rFonts w:ascii="Arial Narrow" w:hAnsi="Arial Narrow"/>
          <w:sz w:val="22"/>
          <w:szCs w:val="22"/>
        </w:rPr>
        <w:t xml:space="preserve"> (Doctoral dissertation). </w:t>
      </w:r>
      <w:r w:rsidRPr="00037923">
        <w:rPr>
          <w:rFonts w:ascii="Arial Narrow" w:hAnsi="Arial Narrow"/>
          <w:sz w:val="22"/>
          <w:szCs w:val="22"/>
          <w:lang w:val="en-US"/>
        </w:rPr>
        <w:t>Swiss Federal Institute of Technology, Lausanne, Switzerland.</w:t>
      </w:r>
    </w:p>
    <w:p w14:paraId="0E3C8FF6"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Salvadore, E., Bronders, J., &amp; Batelaan, O. (2015). Hydrological modelling of urbanized catchments: A review and future directions. </w:t>
      </w:r>
      <w:r w:rsidRPr="00065CA4">
        <w:rPr>
          <w:rFonts w:ascii="Arial Narrow" w:hAnsi="Arial Narrow" w:cs="Arial"/>
          <w:i/>
          <w:iCs/>
          <w:sz w:val="22"/>
          <w:szCs w:val="22"/>
          <w:lang w:val="en-US"/>
        </w:rPr>
        <w:t>Journal of Hydrology, 529</w:t>
      </w:r>
      <w:r w:rsidRPr="00065CA4">
        <w:rPr>
          <w:rFonts w:ascii="Arial Narrow" w:hAnsi="Arial Narrow" w:cs="Arial"/>
          <w:sz w:val="22"/>
          <w:szCs w:val="22"/>
          <w:lang w:val="en-US"/>
        </w:rPr>
        <w:t>, 62–81.</w:t>
      </w:r>
    </w:p>
    <w:p w14:paraId="446B77C8"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Teku, D. (2025). </w:t>
      </w:r>
      <w:r w:rsidRPr="00065CA4">
        <w:rPr>
          <w:rFonts w:ascii="Arial Narrow" w:hAnsi="Arial Narrow" w:cs="Arial"/>
          <w:i/>
          <w:iCs/>
          <w:sz w:val="22"/>
          <w:szCs w:val="22"/>
          <w:lang w:val="en-US"/>
        </w:rPr>
        <w:t>Navigating climate uncertainty: A comprehensive review of climatic variabilities and extreme events on environmental, socio-economic, and livelihood dimensions in Ethiopia with adaptation strategies</w:t>
      </w:r>
      <w:r w:rsidRPr="00065CA4">
        <w:rPr>
          <w:rFonts w:ascii="Arial Narrow" w:hAnsi="Arial Narrow" w:cs="Arial"/>
          <w:sz w:val="22"/>
          <w:szCs w:val="22"/>
          <w:lang w:val="en-US"/>
        </w:rPr>
        <w:t xml:space="preserve">. </w:t>
      </w:r>
      <w:r w:rsidRPr="00037923">
        <w:rPr>
          <w:rFonts w:ascii="Arial Narrow" w:hAnsi="Arial Narrow" w:cs="Arial"/>
          <w:i/>
          <w:iCs/>
          <w:sz w:val="22"/>
          <w:szCs w:val="22"/>
          <w:lang w:val="en-US"/>
        </w:rPr>
        <w:t>All Earth, 37</w:t>
      </w:r>
      <w:r w:rsidRPr="00037923">
        <w:rPr>
          <w:rFonts w:ascii="Arial Narrow" w:hAnsi="Arial Narrow" w:cs="Arial"/>
          <w:sz w:val="22"/>
          <w:szCs w:val="22"/>
          <w:lang w:val="en-US"/>
        </w:rPr>
        <w:t>(1), 1–30. https://doi.org/10.1080/27669645.2025.2514418</w:t>
      </w:r>
    </w:p>
    <w:p w14:paraId="69DEFBF6"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Thyer, M., Renard, B., Kavetski, D., Kuczera, G., Franks, S. W., &amp; Srikanthan, S. (2009). Critical evaluation of parameter consistency and predictive uncertainty in hydrological modeling: A case study using Bayesian total error analysis. </w:t>
      </w:r>
      <w:r w:rsidRPr="00065CA4">
        <w:rPr>
          <w:rFonts w:ascii="Arial Narrow" w:hAnsi="Arial Narrow" w:cs="Arial"/>
          <w:i/>
          <w:iCs/>
          <w:sz w:val="22"/>
          <w:szCs w:val="22"/>
          <w:lang w:val="en-US"/>
        </w:rPr>
        <w:t>Water Resources Research, 45</w:t>
      </w:r>
      <w:r w:rsidRPr="00065CA4">
        <w:rPr>
          <w:rFonts w:ascii="Arial Narrow" w:hAnsi="Arial Narrow" w:cs="Arial"/>
          <w:sz w:val="22"/>
          <w:szCs w:val="22"/>
          <w:lang w:val="en-US"/>
        </w:rPr>
        <w:t>, W00B14.</w:t>
      </w:r>
    </w:p>
    <w:p w14:paraId="2A74F113"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sz w:val="22"/>
          <w:szCs w:val="22"/>
          <w:lang w:val="en-US"/>
        </w:rPr>
        <w:t xml:space="preserve">Torres, A., Méndez, S., Gutiérrez, A., &amp; Sandoval, S. (2013). Quality of rainwater runoff on roofs and its relation with uses and rain characteristics in Villa Alexandra and Acacias neighborhoods (Bogotá, Colombia). </w:t>
      </w:r>
      <w:r w:rsidRPr="00037923">
        <w:rPr>
          <w:rStyle w:val="Accentuation"/>
          <w:rFonts w:ascii="Arial Narrow" w:hAnsi="Arial Narrow"/>
          <w:sz w:val="22"/>
          <w:szCs w:val="22"/>
          <w:lang w:val="en-US"/>
        </w:rPr>
        <w:t>Journal of Environmental Engineering, 139</w:t>
      </w:r>
      <w:r w:rsidRPr="00037923">
        <w:rPr>
          <w:rFonts w:ascii="Arial Narrow" w:hAnsi="Arial Narrow"/>
          <w:sz w:val="22"/>
          <w:szCs w:val="22"/>
          <w:lang w:val="en-US"/>
        </w:rPr>
        <w:t>, 1273–1278.</w:t>
      </w:r>
    </w:p>
    <w:p w14:paraId="63511E2C"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Vrugt, J. A., &amp; Beven, K. J. (2018). Embracing equifinality with efficiency: Limits of acceptability sampling using the DREAM (LOA) algorithm. </w:t>
      </w:r>
      <w:r w:rsidRPr="00065CA4">
        <w:rPr>
          <w:rFonts w:ascii="Arial Narrow" w:hAnsi="Arial Narrow" w:cs="Arial"/>
          <w:i/>
          <w:iCs/>
          <w:sz w:val="22"/>
          <w:szCs w:val="22"/>
          <w:lang w:val="en-US"/>
        </w:rPr>
        <w:t>Journal of Hydrology, 559</w:t>
      </w:r>
      <w:r w:rsidRPr="00065CA4">
        <w:rPr>
          <w:rFonts w:ascii="Arial Narrow" w:hAnsi="Arial Narrow" w:cs="Arial"/>
          <w:sz w:val="22"/>
          <w:szCs w:val="22"/>
          <w:lang w:val="en-US"/>
        </w:rPr>
        <w:t>, 954–971.</w:t>
      </w:r>
    </w:p>
    <w:p w14:paraId="39FF67A2"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sz w:val="22"/>
          <w:szCs w:val="22"/>
          <w:lang w:val="en-US"/>
        </w:rPr>
        <w:t xml:space="preserve">Walsh, C. J., Roy, A. H., Feminella, J. W., Cottingham, P. D., Groffman, P. M., &amp; Morgan, R. P. (2005). The urban stream syndrome: Current knowledge and the search for a cure. </w:t>
      </w:r>
      <w:r w:rsidRPr="00037923">
        <w:rPr>
          <w:rStyle w:val="Accentuation"/>
          <w:rFonts w:ascii="Arial Narrow" w:hAnsi="Arial Narrow"/>
          <w:sz w:val="22"/>
          <w:szCs w:val="22"/>
          <w:lang w:val="en-US"/>
        </w:rPr>
        <w:t>Journal of the North American Benthological Society, 24</w:t>
      </w:r>
      <w:r w:rsidRPr="00037923">
        <w:rPr>
          <w:rFonts w:ascii="Arial Narrow" w:hAnsi="Arial Narrow"/>
          <w:sz w:val="22"/>
          <w:szCs w:val="22"/>
          <w:lang w:val="en-US"/>
        </w:rPr>
        <w:t>(3), 706–723.</w:t>
      </w:r>
    </w:p>
    <w:p w14:paraId="1637900A" w14:textId="77777777" w:rsidR="00065CA4" w:rsidRPr="00065CA4" w:rsidRDefault="00065CA4" w:rsidP="00065CA4">
      <w:pPr>
        <w:spacing w:after="0" w:line="276" w:lineRule="auto"/>
        <w:jc w:val="both"/>
        <w:rPr>
          <w:rFonts w:ascii="Arial Narrow" w:hAnsi="Arial Narrow" w:cs="Arial"/>
          <w:sz w:val="22"/>
          <w:szCs w:val="22"/>
          <w:lang w:val="en-US"/>
        </w:rPr>
      </w:pPr>
      <w:r w:rsidRPr="00065CA4">
        <w:rPr>
          <w:rFonts w:ascii="Arial Narrow" w:hAnsi="Arial Narrow" w:cs="Arial"/>
          <w:sz w:val="22"/>
          <w:szCs w:val="22"/>
          <w:lang w:val="en-US"/>
        </w:rPr>
        <w:t xml:space="preserve">Wang, M., Sweetapple, C., Fu, G., Farmani, R., &amp; Butler, D. (2017). A framework to support decision-making in the selection of sustainable drainage system design alternatives. </w:t>
      </w:r>
      <w:r w:rsidRPr="00065CA4">
        <w:rPr>
          <w:rFonts w:ascii="Arial Narrow" w:hAnsi="Arial Narrow" w:cs="Arial"/>
          <w:i/>
          <w:iCs/>
          <w:sz w:val="22"/>
          <w:szCs w:val="22"/>
          <w:lang w:val="en-US"/>
        </w:rPr>
        <w:t>Journal of Environmental Management, 201</w:t>
      </w:r>
      <w:r w:rsidRPr="00065CA4">
        <w:rPr>
          <w:rFonts w:ascii="Arial Narrow" w:hAnsi="Arial Narrow" w:cs="Arial"/>
          <w:sz w:val="22"/>
          <w:szCs w:val="22"/>
          <w:lang w:val="en-US"/>
        </w:rPr>
        <w:t>, 145–152.</w:t>
      </w:r>
    </w:p>
    <w:p w14:paraId="6A562C91" w14:textId="77777777" w:rsidR="009F7E20" w:rsidRPr="009F7E20" w:rsidRDefault="009F7E20" w:rsidP="00065CA4">
      <w:pPr>
        <w:spacing w:after="0" w:line="276" w:lineRule="auto"/>
        <w:jc w:val="both"/>
        <w:rPr>
          <w:rFonts w:ascii="Arial Narrow" w:hAnsi="Arial Narrow" w:cs="Arial"/>
          <w:sz w:val="22"/>
          <w:szCs w:val="22"/>
          <w:lang w:val="en-US"/>
        </w:rPr>
      </w:pPr>
    </w:p>
    <w:sectPr w:rsidR="009F7E20" w:rsidRPr="009F7E20" w:rsidSect="006A4525">
      <w:footerReference w:type="first" r:id="rId1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1135F" w14:textId="77777777" w:rsidR="00C7280A" w:rsidRDefault="00C7280A" w:rsidP="00756D23">
      <w:pPr>
        <w:spacing w:after="0" w:line="240" w:lineRule="auto"/>
      </w:pPr>
      <w:r>
        <w:separator/>
      </w:r>
    </w:p>
  </w:endnote>
  <w:endnote w:type="continuationSeparator" w:id="0">
    <w:p w14:paraId="114B6C40" w14:textId="77777777" w:rsidR="00C7280A" w:rsidRDefault="00C7280A" w:rsidP="00756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89D76" w14:textId="1D93AD32" w:rsidR="006A4525" w:rsidRPr="006A4525" w:rsidRDefault="006A4525">
    <w:pPr>
      <w:pStyle w:val="Pieddepage"/>
      <w:rPr>
        <w:rFonts w:ascii="Arial Narrow" w:hAnsi="Arial Narrow"/>
        <w:sz w:val="22"/>
        <w:szCs w:val="22"/>
        <w:lang w:val="en-US"/>
      </w:rPr>
    </w:pPr>
    <w:r w:rsidRPr="006A4525">
      <w:rPr>
        <w:rFonts w:ascii="Arial Narrow" w:hAnsi="Arial Narrow"/>
        <w:sz w:val="22"/>
        <w:szCs w:val="22"/>
        <w:lang w:val="en-US"/>
      </w:rPr>
      <w:t>*Own contributions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E4ADD" w14:textId="77777777" w:rsidR="00C7280A" w:rsidRDefault="00C7280A" w:rsidP="00756D23">
      <w:pPr>
        <w:spacing w:after="0" w:line="240" w:lineRule="auto"/>
      </w:pPr>
      <w:r>
        <w:separator/>
      </w:r>
    </w:p>
  </w:footnote>
  <w:footnote w:type="continuationSeparator" w:id="0">
    <w:p w14:paraId="5CE6D255" w14:textId="77777777" w:rsidR="00C7280A" w:rsidRDefault="00C7280A" w:rsidP="00756D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371F"/>
    <w:multiLevelType w:val="multilevel"/>
    <w:tmpl w:val="DB68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40A89"/>
    <w:multiLevelType w:val="multilevel"/>
    <w:tmpl w:val="BD60876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6A478E0"/>
    <w:multiLevelType w:val="multilevel"/>
    <w:tmpl w:val="0FEA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D7DB7"/>
    <w:multiLevelType w:val="multilevel"/>
    <w:tmpl w:val="5326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C52FB"/>
    <w:multiLevelType w:val="multilevel"/>
    <w:tmpl w:val="7D7A3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2256C"/>
    <w:multiLevelType w:val="multilevel"/>
    <w:tmpl w:val="A4FE4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8B50D0"/>
    <w:multiLevelType w:val="multilevel"/>
    <w:tmpl w:val="0462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6C581C"/>
    <w:multiLevelType w:val="multilevel"/>
    <w:tmpl w:val="F3D4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683BFA"/>
    <w:multiLevelType w:val="multilevel"/>
    <w:tmpl w:val="52E826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96155EB"/>
    <w:multiLevelType w:val="multilevel"/>
    <w:tmpl w:val="CC7E8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E41285"/>
    <w:multiLevelType w:val="multilevel"/>
    <w:tmpl w:val="4E206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415EB4"/>
    <w:multiLevelType w:val="multilevel"/>
    <w:tmpl w:val="E9700D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1FD1046"/>
    <w:multiLevelType w:val="multilevel"/>
    <w:tmpl w:val="0DD63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D519A8"/>
    <w:multiLevelType w:val="multilevel"/>
    <w:tmpl w:val="E288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146023"/>
    <w:multiLevelType w:val="multilevel"/>
    <w:tmpl w:val="CA48C9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C614F69"/>
    <w:multiLevelType w:val="multilevel"/>
    <w:tmpl w:val="7B3AF5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2F8C5AE2"/>
    <w:multiLevelType w:val="multilevel"/>
    <w:tmpl w:val="94C266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30A14419"/>
    <w:multiLevelType w:val="multilevel"/>
    <w:tmpl w:val="74F8D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0D0BF1"/>
    <w:multiLevelType w:val="multilevel"/>
    <w:tmpl w:val="7B1A0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2E50CB"/>
    <w:multiLevelType w:val="multilevel"/>
    <w:tmpl w:val="8B803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A948CB"/>
    <w:multiLevelType w:val="multilevel"/>
    <w:tmpl w:val="B9207C8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359553B8"/>
    <w:multiLevelType w:val="multilevel"/>
    <w:tmpl w:val="F8708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835DC6"/>
    <w:multiLevelType w:val="multilevel"/>
    <w:tmpl w:val="A1828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724B05"/>
    <w:multiLevelType w:val="multilevel"/>
    <w:tmpl w:val="653286D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3F3A4A7A"/>
    <w:multiLevelType w:val="multilevel"/>
    <w:tmpl w:val="990AAAD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5" w15:restartNumberingAfterBreak="0">
    <w:nsid w:val="41360485"/>
    <w:multiLevelType w:val="multilevel"/>
    <w:tmpl w:val="3E0E0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DB5FC4"/>
    <w:multiLevelType w:val="multilevel"/>
    <w:tmpl w:val="71CC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162F19"/>
    <w:multiLevelType w:val="multilevel"/>
    <w:tmpl w:val="072A1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616459"/>
    <w:multiLevelType w:val="multilevel"/>
    <w:tmpl w:val="D15C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601C8C"/>
    <w:multiLevelType w:val="multilevel"/>
    <w:tmpl w:val="CFBCD62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4EA721C5"/>
    <w:multiLevelType w:val="multilevel"/>
    <w:tmpl w:val="990AAAD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5F1F72B5"/>
    <w:multiLevelType w:val="multilevel"/>
    <w:tmpl w:val="CEB20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9A7979"/>
    <w:multiLevelType w:val="multilevel"/>
    <w:tmpl w:val="E084BAE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6437653E"/>
    <w:multiLevelType w:val="multilevel"/>
    <w:tmpl w:val="9EC44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A77C42"/>
    <w:multiLevelType w:val="multilevel"/>
    <w:tmpl w:val="72165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C45ABA"/>
    <w:multiLevelType w:val="multilevel"/>
    <w:tmpl w:val="98244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D863E9"/>
    <w:multiLevelType w:val="multilevel"/>
    <w:tmpl w:val="53263F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6A191326"/>
    <w:multiLevelType w:val="multilevel"/>
    <w:tmpl w:val="8458A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AD7DE7"/>
    <w:multiLevelType w:val="multilevel"/>
    <w:tmpl w:val="AF60A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677602"/>
    <w:multiLevelType w:val="multilevel"/>
    <w:tmpl w:val="1A020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0C38C7"/>
    <w:multiLevelType w:val="multilevel"/>
    <w:tmpl w:val="DA5E0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033B2B"/>
    <w:multiLevelType w:val="multilevel"/>
    <w:tmpl w:val="47586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820113">
    <w:abstractNumId w:val="40"/>
  </w:num>
  <w:num w:numId="2" w16cid:durableId="619409842">
    <w:abstractNumId w:val="38"/>
  </w:num>
  <w:num w:numId="3" w16cid:durableId="1157376914">
    <w:abstractNumId w:val="5"/>
  </w:num>
  <w:num w:numId="4" w16cid:durableId="176357715">
    <w:abstractNumId w:val="27"/>
  </w:num>
  <w:num w:numId="5" w16cid:durableId="644629338">
    <w:abstractNumId w:val="41"/>
  </w:num>
  <w:num w:numId="6" w16cid:durableId="291252656">
    <w:abstractNumId w:val="3"/>
  </w:num>
  <w:num w:numId="7" w16cid:durableId="285820662">
    <w:abstractNumId w:val="0"/>
  </w:num>
  <w:num w:numId="8" w16cid:durableId="2134513703">
    <w:abstractNumId w:val="4"/>
  </w:num>
  <w:num w:numId="9" w16cid:durableId="143815614">
    <w:abstractNumId w:val="2"/>
  </w:num>
  <w:num w:numId="10" w16cid:durableId="1490052290">
    <w:abstractNumId w:val="9"/>
  </w:num>
  <w:num w:numId="11" w16cid:durableId="922910310">
    <w:abstractNumId w:val="21"/>
  </w:num>
  <w:num w:numId="12" w16cid:durableId="1275212126">
    <w:abstractNumId w:val="7"/>
  </w:num>
  <w:num w:numId="13" w16cid:durableId="1052460683">
    <w:abstractNumId w:val="8"/>
  </w:num>
  <w:num w:numId="14" w16cid:durableId="1909225130">
    <w:abstractNumId w:val="39"/>
  </w:num>
  <w:num w:numId="15" w16cid:durableId="896359532">
    <w:abstractNumId w:val="17"/>
  </w:num>
  <w:num w:numId="16" w16cid:durableId="393821267">
    <w:abstractNumId w:val="34"/>
  </w:num>
  <w:num w:numId="17" w16cid:durableId="2018188337">
    <w:abstractNumId w:val="37"/>
  </w:num>
  <w:num w:numId="18" w16cid:durableId="1553421851">
    <w:abstractNumId w:val="22"/>
  </w:num>
  <w:num w:numId="19" w16cid:durableId="914626044">
    <w:abstractNumId w:val="19"/>
  </w:num>
  <w:num w:numId="20" w16cid:durableId="756439605">
    <w:abstractNumId w:val="25"/>
  </w:num>
  <w:num w:numId="21" w16cid:durableId="488601632">
    <w:abstractNumId w:val="33"/>
  </w:num>
  <w:num w:numId="22" w16cid:durableId="916016321">
    <w:abstractNumId w:val="13"/>
  </w:num>
  <w:num w:numId="23" w16cid:durableId="1412922399">
    <w:abstractNumId w:val="6"/>
  </w:num>
  <w:num w:numId="24" w16cid:durableId="889145431">
    <w:abstractNumId w:val="26"/>
  </w:num>
  <w:num w:numId="25" w16cid:durableId="1116683364">
    <w:abstractNumId w:val="35"/>
  </w:num>
  <w:num w:numId="26" w16cid:durableId="798378753">
    <w:abstractNumId w:val="31"/>
  </w:num>
  <w:num w:numId="27" w16cid:durableId="1691108467">
    <w:abstractNumId w:val="10"/>
  </w:num>
  <w:num w:numId="28" w16cid:durableId="512111042">
    <w:abstractNumId w:val="11"/>
  </w:num>
  <w:num w:numId="29" w16cid:durableId="1241594381">
    <w:abstractNumId w:val="15"/>
  </w:num>
  <w:num w:numId="30" w16cid:durableId="1700930577">
    <w:abstractNumId w:val="12"/>
  </w:num>
  <w:num w:numId="31" w16cid:durableId="1736776378">
    <w:abstractNumId w:val="23"/>
  </w:num>
  <w:num w:numId="32" w16cid:durableId="1746564866">
    <w:abstractNumId w:val="18"/>
  </w:num>
  <w:num w:numId="33" w16cid:durableId="545683989">
    <w:abstractNumId w:val="28"/>
  </w:num>
  <w:num w:numId="34" w16cid:durableId="714542113">
    <w:abstractNumId w:val="29"/>
  </w:num>
  <w:num w:numId="35" w16cid:durableId="604189177">
    <w:abstractNumId w:val="1"/>
  </w:num>
  <w:num w:numId="36" w16cid:durableId="1197231974">
    <w:abstractNumId w:val="36"/>
  </w:num>
  <w:num w:numId="37" w16cid:durableId="1915239472">
    <w:abstractNumId w:val="14"/>
  </w:num>
  <w:num w:numId="38" w16cid:durableId="984891212">
    <w:abstractNumId w:val="16"/>
  </w:num>
  <w:num w:numId="39" w16cid:durableId="977033408">
    <w:abstractNumId w:val="32"/>
  </w:num>
  <w:num w:numId="40" w16cid:durableId="667901371">
    <w:abstractNumId w:val="20"/>
  </w:num>
  <w:num w:numId="41" w16cid:durableId="1545168035">
    <w:abstractNumId w:val="30"/>
  </w:num>
  <w:num w:numId="42" w16cid:durableId="202817098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D27"/>
    <w:rsid w:val="00001B23"/>
    <w:rsid w:val="0000631C"/>
    <w:rsid w:val="00006457"/>
    <w:rsid w:val="00007F62"/>
    <w:rsid w:val="0001254E"/>
    <w:rsid w:val="000158D8"/>
    <w:rsid w:val="000163F2"/>
    <w:rsid w:val="000211F6"/>
    <w:rsid w:val="000332D5"/>
    <w:rsid w:val="00037923"/>
    <w:rsid w:val="0004446A"/>
    <w:rsid w:val="00044C1A"/>
    <w:rsid w:val="000504C1"/>
    <w:rsid w:val="000506AE"/>
    <w:rsid w:val="00051262"/>
    <w:rsid w:val="0005129C"/>
    <w:rsid w:val="00051C28"/>
    <w:rsid w:val="000541B5"/>
    <w:rsid w:val="0006508A"/>
    <w:rsid w:val="00065CA4"/>
    <w:rsid w:val="00071E7D"/>
    <w:rsid w:val="00072E56"/>
    <w:rsid w:val="00072F3F"/>
    <w:rsid w:val="0007473C"/>
    <w:rsid w:val="00083925"/>
    <w:rsid w:val="00085EED"/>
    <w:rsid w:val="0009504D"/>
    <w:rsid w:val="000A3ABA"/>
    <w:rsid w:val="000A3F34"/>
    <w:rsid w:val="000B16D2"/>
    <w:rsid w:val="000B4B76"/>
    <w:rsid w:val="000B5AC2"/>
    <w:rsid w:val="000B63D5"/>
    <w:rsid w:val="000B6C8E"/>
    <w:rsid w:val="000C5007"/>
    <w:rsid w:val="000C5C2B"/>
    <w:rsid w:val="000D1C54"/>
    <w:rsid w:val="000D2740"/>
    <w:rsid w:val="000D3BB1"/>
    <w:rsid w:val="000D4CC8"/>
    <w:rsid w:val="000D627F"/>
    <w:rsid w:val="000D6B89"/>
    <w:rsid w:val="000E2C30"/>
    <w:rsid w:val="000F13D8"/>
    <w:rsid w:val="000F3D83"/>
    <w:rsid w:val="000F522D"/>
    <w:rsid w:val="000F5B1B"/>
    <w:rsid w:val="00103F88"/>
    <w:rsid w:val="00117457"/>
    <w:rsid w:val="00127E87"/>
    <w:rsid w:val="00132E58"/>
    <w:rsid w:val="0013631B"/>
    <w:rsid w:val="00141EFD"/>
    <w:rsid w:val="00146AA1"/>
    <w:rsid w:val="0015252D"/>
    <w:rsid w:val="0015687B"/>
    <w:rsid w:val="001625A7"/>
    <w:rsid w:val="001720BB"/>
    <w:rsid w:val="00175E14"/>
    <w:rsid w:val="0017687B"/>
    <w:rsid w:val="001811F9"/>
    <w:rsid w:val="00185BDE"/>
    <w:rsid w:val="0019155A"/>
    <w:rsid w:val="00191691"/>
    <w:rsid w:val="001941EB"/>
    <w:rsid w:val="00195203"/>
    <w:rsid w:val="00195FD8"/>
    <w:rsid w:val="001A44B0"/>
    <w:rsid w:val="001A5626"/>
    <w:rsid w:val="001A598B"/>
    <w:rsid w:val="001A61FE"/>
    <w:rsid w:val="001B30EB"/>
    <w:rsid w:val="001B3FB3"/>
    <w:rsid w:val="001B5465"/>
    <w:rsid w:val="001B7582"/>
    <w:rsid w:val="001C05B1"/>
    <w:rsid w:val="001C746C"/>
    <w:rsid w:val="001D18B8"/>
    <w:rsid w:val="001D2B39"/>
    <w:rsid w:val="001D5D2E"/>
    <w:rsid w:val="001D6E50"/>
    <w:rsid w:val="001E737C"/>
    <w:rsid w:val="001F216B"/>
    <w:rsid w:val="001F7D89"/>
    <w:rsid w:val="002022B1"/>
    <w:rsid w:val="002024FE"/>
    <w:rsid w:val="00207178"/>
    <w:rsid w:val="00214282"/>
    <w:rsid w:val="00216AEF"/>
    <w:rsid w:val="00220079"/>
    <w:rsid w:val="002244A6"/>
    <w:rsid w:val="00230A84"/>
    <w:rsid w:val="002351B2"/>
    <w:rsid w:val="002407A8"/>
    <w:rsid w:val="002428FC"/>
    <w:rsid w:val="00243057"/>
    <w:rsid w:val="002440C5"/>
    <w:rsid w:val="00255E60"/>
    <w:rsid w:val="002618FE"/>
    <w:rsid w:val="00262823"/>
    <w:rsid w:val="002640E2"/>
    <w:rsid w:val="00267A9B"/>
    <w:rsid w:val="00267D4D"/>
    <w:rsid w:val="00285F02"/>
    <w:rsid w:val="00286159"/>
    <w:rsid w:val="00293F73"/>
    <w:rsid w:val="002954E4"/>
    <w:rsid w:val="002A4F58"/>
    <w:rsid w:val="002A7683"/>
    <w:rsid w:val="002B1006"/>
    <w:rsid w:val="002B5110"/>
    <w:rsid w:val="002B74A2"/>
    <w:rsid w:val="002C5C65"/>
    <w:rsid w:val="002C6561"/>
    <w:rsid w:val="002C7658"/>
    <w:rsid w:val="002D56E2"/>
    <w:rsid w:val="002E131E"/>
    <w:rsid w:val="002E4B9D"/>
    <w:rsid w:val="002E7EEA"/>
    <w:rsid w:val="002F4982"/>
    <w:rsid w:val="002F5C53"/>
    <w:rsid w:val="002F5FE3"/>
    <w:rsid w:val="0030294C"/>
    <w:rsid w:val="00311D0B"/>
    <w:rsid w:val="00314EB7"/>
    <w:rsid w:val="00331EBD"/>
    <w:rsid w:val="00334018"/>
    <w:rsid w:val="003341C9"/>
    <w:rsid w:val="00335431"/>
    <w:rsid w:val="00350852"/>
    <w:rsid w:val="003560E0"/>
    <w:rsid w:val="00357172"/>
    <w:rsid w:val="00363798"/>
    <w:rsid w:val="003670EB"/>
    <w:rsid w:val="00367C4C"/>
    <w:rsid w:val="003715DC"/>
    <w:rsid w:val="0037545D"/>
    <w:rsid w:val="003764A5"/>
    <w:rsid w:val="00376AF9"/>
    <w:rsid w:val="00382248"/>
    <w:rsid w:val="0038421C"/>
    <w:rsid w:val="003911E6"/>
    <w:rsid w:val="0039286F"/>
    <w:rsid w:val="00392BE6"/>
    <w:rsid w:val="00394B13"/>
    <w:rsid w:val="00395CFE"/>
    <w:rsid w:val="003A0CF9"/>
    <w:rsid w:val="003A3197"/>
    <w:rsid w:val="003B3DBF"/>
    <w:rsid w:val="003C29CE"/>
    <w:rsid w:val="003C534D"/>
    <w:rsid w:val="003D0947"/>
    <w:rsid w:val="003D30A2"/>
    <w:rsid w:val="003D3AEE"/>
    <w:rsid w:val="003E1B01"/>
    <w:rsid w:val="003E3D85"/>
    <w:rsid w:val="003F00D8"/>
    <w:rsid w:val="003F070C"/>
    <w:rsid w:val="003F0E3E"/>
    <w:rsid w:val="003F13B0"/>
    <w:rsid w:val="003F43D3"/>
    <w:rsid w:val="004100A1"/>
    <w:rsid w:val="00412C50"/>
    <w:rsid w:val="00414C0C"/>
    <w:rsid w:val="00415186"/>
    <w:rsid w:val="00415BCB"/>
    <w:rsid w:val="00417AE5"/>
    <w:rsid w:val="00417B39"/>
    <w:rsid w:val="004212A8"/>
    <w:rsid w:val="00421617"/>
    <w:rsid w:val="00422C57"/>
    <w:rsid w:val="00425101"/>
    <w:rsid w:val="00427468"/>
    <w:rsid w:val="00430600"/>
    <w:rsid w:val="0043199E"/>
    <w:rsid w:val="0043454F"/>
    <w:rsid w:val="00435B55"/>
    <w:rsid w:val="00435BC9"/>
    <w:rsid w:val="004366E4"/>
    <w:rsid w:val="00440C6E"/>
    <w:rsid w:val="00447392"/>
    <w:rsid w:val="004474FF"/>
    <w:rsid w:val="004550A3"/>
    <w:rsid w:val="004638FF"/>
    <w:rsid w:val="0047311C"/>
    <w:rsid w:val="00476DC6"/>
    <w:rsid w:val="00477727"/>
    <w:rsid w:val="00484300"/>
    <w:rsid w:val="0048467B"/>
    <w:rsid w:val="004848FB"/>
    <w:rsid w:val="00485021"/>
    <w:rsid w:val="00491CDF"/>
    <w:rsid w:val="00495EEF"/>
    <w:rsid w:val="00496258"/>
    <w:rsid w:val="00497834"/>
    <w:rsid w:val="004A46B4"/>
    <w:rsid w:val="004A78B5"/>
    <w:rsid w:val="004A7DC7"/>
    <w:rsid w:val="004B1F58"/>
    <w:rsid w:val="004B2CB7"/>
    <w:rsid w:val="004C53D8"/>
    <w:rsid w:val="004D2386"/>
    <w:rsid w:val="004D239D"/>
    <w:rsid w:val="004D4400"/>
    <w:rsid w:val="004D4B63"/>
    <w:rsid w:val="004E0F0D"/>
    <w:rsid w:val="004E5383"/>
    <w:rsid w:val="004F27B7"/>
    <w:rsid w:val="004F4319"/>
    <w:rsid w:val="00500B51"/>
    <w:rsid w:val="00501DC6"/>
    <w:rsid w:val="00502AE1"/>
    <w:rsid w:val="0050527D"/>
    <w:rsid w:val="005100E6"/>
    <w:rsid w:val="005116AA"/>
    <w:rsid w:val="00511CDA"/>
    <w:rsid w:val="005121CB"/>
    <w:rsid w:val="005152D7"/>
    <w:rsid w:val="0051670A"/>
    <w:rsid w:val="00517EFA"/>
    <w:rsid w:val="005227BA"/>
    <w:rsid w:val="005235E6"/>
    <w:rsid w:val="00533C10"/>
    <w:rsid w:val="00533ECD"/>
    <w:rsid w:val="00536F0C"/>
    <w:rsid w:val="00537B48"/>
    <w:rsid w:val="00545686"/>
    <w:rsid w:val="00547CAD"/>
    <w:rsid w:val="00552170"/>
    <w:rsid w:val="00554E58"/>
    <w:rsid w:val="005616DF"/>
    <w:rsid w:val="005621F0"/>
    <w:rsid w:val="00572002"/>
    <w:rsid w:val="005744F7"/>
    <w:rsid w:val="00575FCD"/>
    <w:rsid w:val="00582A54"/>
    <w:rsid w:val="005843A0"/>
    <w:rsid w:val="00585D00"/>
    <w:rsid w:val="0058635B"/>
    <w:rsid w:val="005907E6"/>
    <w:rsid w:val="005914C2"/>
    <w:rsid w:val="00591986"/>
    <w:rsid w:val="00594C79"/>
    <w:rsid w:val="00597A95"/>
    <w:rsid w:val="005A1118"/>
    <w:rsid w:val="005A1CD1"/>
    <w:rsid w:val="005A249C"/>
    <w:rsid w:val="005A391A"/>
    <w:rsid w:val="005B2AC8"/>
    <w:rsid w:val="005B3E9E"/>
    <w:rsid w:val="005B3F94"/>
    <w:rsid w:val="005C137C"/>
    <w:rsid w:val="005C41D3"/>
    <w:rsid w:val="005C4491"/>
    <w:rsid w:val="005C44C5"/>
    <w:rsid w:val="005C6142"/>
    <w:rsid w:val="005D1665"/>
    <w:rsid w:val="005D2077"/>
    <w:rsid w:val="005D2704"/>
    <w:rsid w:val="005D3297"/>
    <w:rsid w:val="005D540E"/>
    <w:rsid w:val="005E0CDE"/>
    <w:rsid w:val="005E6B3C"/>
    <w:rsid w:val="006061D5"/>
    <w:rsid w:val="00614EDB"/>
    <w:rsid w:val="00620C14"/>
    <w:rsid w:val="00622AFD"/>
    <w:rsid w:val="00623A3D"/>
    <w:rsid w:val="0063402E"/>
    <w:rsid w:val="00640500"/>
    <w:rsid w:val="00641065"/>
    <w:rsid w:val="006417E0"/>
    <w:rsid w:val="006469C9"/>
    <w:rsid w:val="0064715F"/>
    <w:rsid w:val="006543B0"/>
    <w:rsid w:val="00662D2B"/>
    <w:rsid w:val="00666047"/>
    <w:rsid w:val="00673172"/>
    <w:rsid w:val="0067508D"/>
    <w:rsid w:val="00676B8A"/>
    <w:rsid w:val="00680C57"/>
    <w:rsid w:val="006865E8"/>
    <w:rsid w:val="00690D5D"/>
    <w:rsid w:val="00691B08"/>
    <w:rsid w:val="00693B87"/>
    <w:rsid w:val="006A24B8"/>
    <w:rsid w:val="006A399F"/>
    <w:rsid w:val="006A4525"/>
    <w:rsid w:val="006A5914"/>
    <w:rsid w:val="006A6CEF"/>
    <w:rsid w:val="006A7C7A"/>
    <w:rsid w:val="006B1EED"/>
    <w:rsid w:val="006C29ED"/>
    <w:rsid w:val="006C4644"/>
    <w:rsid w:val="006C555E"/>
    <w:rsid w:val="006C5EA0"/>
    <w:rsid w:val="006D7D62"/>
    <w:rsid w:val="006E1F1C"/>
    <w:rsid w:val="006E6CAD"/>
    <w:rsid w:val="006F1A21"/>
    <w:rsid w:val="006F3995"/>
    <w:rsid w:val="0070386B"/>
    <w:rsid w:val="0070399F"/>
    <w:rsid w:val="00705A2D"/>
    <w:rsid w:val="00706638"/>
    <w:rsid w:val="00716A01"/>
    <w:rsid w:val="00717743"/>
    <w:rsid w:val="00717E6C"/>
    <w:rsid w:val="00720A07"/>
    <w:rsid w:val="00722A6F"/>
    <w:rsid w:val="00730F36"/>
    <w:rsid w:val="007400D1"/>
    <w:rsid w:val="00751378"/>
    <w:rsid w:val="00753DC1"/>
    <w:rsid w:val="00756D23"/>
    <w:rsid w:val="0076448C"/>
    <w:rsid w:val="00764E9E"/>
    <w:rsid w:val="00765BDE"/>
    <w:rsid w:val="00766C2D"/>
    <w:rsid w:val="007738F7"/>
    <w:rsid w:val="00774BC6"/>
    <w:rsid w:val="00777258"/>
    <w:rsid w:val="007819EA"/>
    <w:rsid w:val="00787783"/>
    <w:rsid w:val="007953F1"/>
    <w:rsid w:val="0079763A"/>
    <w:rsid w:val="007A2E2A"/>
    <w:rsid w:val="007A3AC6"/>
    <w:rsid w:val="007A3C5D"/>
    <w:rsid w:val="007A4F8D"/>
    <w:rsid w:val="007A5B50"/>
    <w:rsid w:val="007B208A"/>
    <w:rsid w:val="007C2796"/>
    <w:rsid w:val="007C3D27"/>
    <w:rsid w:val="007C79E4"/>
    <w:rsid w:val="007D25EF"/>
    <w:rsid w:val="007D362E"/>
    <w:rsid w:val="007D5C96"/>
    <w:rsid w:val="007D75D7"/>
    <w:rsid w:val="007D7FFD"/>
    <w:rsid w:val="007E4CE1"/>
    <w:rsid w:val="007E4F58"/>
    <w:rsid w:val="007E6754"/>
    <w:rsid w:val="007E6A16"/>
    <w:rsid w:val="007F4460"/>
    <w:rsid w:val="007F6FD3"/>
    <w:rsid w:val="007F7017"/>
    <w:rsid w:val="007F7808"/>
    <w:rsid w:val="008001C9"/>
    <w:rsid w:val="008017AF"/>
    <w:rsid w:val="0080699B"/>
    <w:rsid w:val="008124AA"/>
    <w:rsid w:val="008225D9"/>
    <w:rsid w:val="008240B4"/>
    <w:rsid w:val="0083762D"/>
    <w:rsid w:val="00837E94"/>
    <w:rsid w:val="0084522B"/>
    <w:rsid w:val="00853DF2"/>
    <w:rsid w:val="0086317D"/>
    <w:rsid w:val="00874FC7"/>
    <w:rsid w:val="00882D87"/>
    <w:rsid w:val="008870BC"/>
    <w:rsid w:val="0088786D"/>
    <w:rsid w:val="00891CF5"/>
    <w:rsid w:val="00892C3F"/>
    <w:rsid w:val="008A2A41"/>
    <w:rsid w:val="008A5F46"/>
    <w:rsid w:val="008A67AA"/>
    <w:rsid w:val="008A6974"/>
    <w:rsid w:val="008B622A"/>
    <w:rsid w:val="008C6B90"/>
    <w:rsid w:val="008C7982"/>
    <w:rsid w:val="008D1373"/>
    <w:rsid w:val="008E00AE"/>
    <w:rsid w:val="008E1D5B"/>
    <w:rsid w:val="008E5219"/>
    <w:rsid w:val="008E7B4C"/>
    <w:rsid w:val="008F01C3"/>
    <w:rsid w:val="008F46C2"/>
    <w:rsid w:val="00904951"/>
    <w:rsid w:val="0090513E"/>
    <w:rsid w:val="00906745"/>
    <w:rsid w:val="0090781F"/>
    <w:rsid w:val="00912DFF"/>
    <w:rsid w:val="009160BA"/>
    <w:rsid w:val="0092446B"/>
    <w:rsid w:val="00925348"/>
    <w:rsid w:val="009315ED"/>
    <w:rsid w:val="009349A2"/>
    <w:rsid w:val="00953065"/>
    <w:rsid w:val="00953E89"/>
    <w:rsid w:val="009552CF"/>
    <w:rsid w:val="00957F54"/>
    <w:rsid w:val="009628AB"/>
    <w:rsid w:val="00965A33"/>
    <w:rsid w:val="00966482"/>
    <w:rsid w:val="009745A5"/>
    <w:rsid w:val="00975E5C"/>
    <w:rsid w:val="00986053"/>
    <w:rsid w:val="00991117"/>
    <w:rsid w:val="00992486"/>
    <w:rsid w:val="00994212"/>
    <w:rsid w:val="00996B4B"/>
    <w:rsid w:val="009A66A3"/>
    <w:rsid w:val="009A6CE7"/>
    <w:rsid w:val="009A7B4A"/>
    <w:rsid w:val="009B2EF4"/>
    <w:rsid w:val="009B7EC7"/>
    <w:rsid w:val="009C7482"/>
    <w:rsid w:val="009D4CA7"/>
    <w:rsid w:val="009D6298"/>
    <w:rsid w:val="009E1D81"/>
    <w:rsid w:val="009E3EC5"/>
    <w:rsid w:val="009F1D29"/>
    <w:rsid w:val="009F3A45"/>
    <w:rsid w:val="009F7E20"/>
    <w:rsid w:val="00A014A8"/>
    <w:rsid w:val="00A12565"/>
    <w:rsid w:val="00A20F29"/>
    <w:rsid w:val="00A21FE7"/>
    <w:rsid w:val="00A26729"/>
    <w:rsid w:val="00A30377"/>
    <w:rsid w:val="00A31F68"/>
    <w:rsid w:val="00A32248"/>
    <w:rsid w:val="00A35BCB"/>
    <w:rsid w:val="00A35EA7"/>
    <w:rsid w:val="00A3608D"/>
    <w:rsid w:val="00A371BA"/>
    <w:rsid w:val="00A43504"/>
    <w:rsid w:val="00A47490"/>
    <w:rsid w:val="00A52A18"/>
    <w:rsid w:val="00A56A1D"/>
    <w:rsid w:val="00A5785A"/>
    <w:rsid w:val="00A62307"/>
    <w:rsid w:val="00A63C43"/>
    <w:rsid w:val="00A70E2D"/>
    <w:rsid w:val="00A71DE0"/>
    <w:rsid w:val="00A764B0"/>
    <w:rsid w:val="00A76890"/>
    <w:rsid w:val="00A80AA1"/>
    <w:rsid w:val="00A91DFA"/>
    <w:rsid w:val="00A922CE"/>
    <w:rsid w:val="00A95F3E"/>
    <w:rsid w:val="00A9637E"/>
    <w:rsid w:val="00AA1A59"/>
    <w:rsid w:val="00AA7F6B"/>
    <w:rsid w:val="00AB2FCF"/>
    <w:rsid w:val="00AB338D"/>
    <w:rsid w:val="00AB359B"/>
    <w:rsid w:val="00AC3841"/>
    <w:rsid w:val="00AC4E91"/>
    <w:rsid w:val="00AD2581"/>
    <w:rsid w:val="00AD4B34"/>
    <w:rsid w:val="00AD6C52"/>
    <w:rsid w:val="00AE3221"/>
    <w:rsid w:val="00AE3CDD"/>
    <w:rsid w:val="00AE40BB"/>
    <w:rsid w:val="00AE7943"/>
    <w:rsid w:val="00AF0AAB"/>
    <w:rsid w:val="00AF4B93"/>
    <w:rsid w:val="00B002EC"/>
    <w:rsid w:val="00B04C8D"/>
    <w:rsid w:val="00B111D8"/>
    <w:rsid w:val="00B15F41"/>
    <w:rsid w:val="00B22984"/>
    <w:rsid w:val="00B24389"/>
    <w:rsid w:val="00B279A5"/>
    <w:rsid w:val="00B332CD"/>
    <w:rsid w:val="00B3384D"/>
    <w:rsid w:val="00B43654"/>
    <w:rsid w:val="00B458BC"/>
    <w:rsid w:val="00B459A2"/>
    <w:rsid w:val="00B52CFE"/>
    <w:rsid w:val="00B6595B"/>
    <w:rsid w:val="00B673A1"/>
    <w:rsid w:val="00B85EA7"/>
    <w:rsid w:val="00B86D22"/>
    <w:rsid w:val="00B9227F"/>
    <w:rsid w:val="00B93353"/>
    <w:rsid w:val="00B939B6"/>
    <w:rsid w:val="00BA4357"/>
    <w:rsid w:val="00BB0505"/>
    <w:rsid w:val="00BB0D25"/>
    <w:rsid w:val="00BB28F0"/>
    <w:rsid w:val="00BC2E1B"/>
    <w:rsid w:val="00BC42EC"/>
    <w:rsid w:val="00BC4686"/>
    <w:rsid w:val="00BD133E"/>
    <w:rsid w:val="00BE09D2"/>
    <w:rsid w:val="00BE38F6"/>
    <w:rsid w:val="00BE728A"/>
    <w:rsid w:val="00BF553B"/>
    <w:rsid w:val="00BF6866"/>
    <w:rsid w:val="00C0507B"/>
    <w:rsid w:val="00C171A8"/>
    <w:rsid w:val="00C177EE"/>
    <w:rsid w:val="00C21FD8"/>
    <w:rsid w:val="00C221EF"/>
    <w:rsid w:val="00C22510"/>
    <w:rsid w:val="00C30993"/>
    <w:rsid w:val="00C31C41"/>
    <w:rsid w:val="00C36B63"/>
    <w:rsid w:val="00C372B0"/>
    <w:rsid w:val="00C46B87"/>
    <w:rsid w:val="00C46F83"/>
    <w:rsid w:val="00C53D5A"/>
    <w:rsid w:val="00C5592A"/>
    <w:rsid w:val="00C5702D"/>
    <w:rsid w:val="00C6177A"/>
    <w:rsid w:val="00C64B55"/>
    <w:rsid w:val="00C67E0B"/>
    <w:rsid w:val="00C70F5C"/>
    <w:rsid w:val="00C7280A"/>
    <w:rsid w:val="00C731CB"/>
    <w:rsid w:val="00C74F45"/>
    <w:rsid w:val="00C7611E"/>
    <w:rsid w:val="00C90C65"/>
    <w:rsid w:val="00CA0682"/>
    <w:rsid w:val="00CA17B7"/>
    <w:rsid w:val="00CA1D66"/>
    <w:rsid w:val="00CB339C"/>
    <w:rsid w:val="00CB5BF9"/>
    <w:rsid w:val="00CC03C8"/>
    <w:rsid w:val="00CC5282"/>
    <w:rsid w:val="00CC69A5"/>
    <w:rsid w:val="00CD0312"/>
    <w:rsid w:val="00CD0E66"/>
    <w:rsid w:val="00CD10E1"/>
    <w:rsid w:val="00CD1BE1"/>
    <w:rsid w:val="00CD202C"/>
    <w:rsid w:val="00CD5523"/>
    <w:rsid w:val="00CD5D27"/>
    <w:rsid w:val="00CD65BE"/>
    <w:rsid w:val="00CE188D"/>
    <w:rsid w:val="00CF218D"/>
    <w:rsid w:val="00CF43DB"/>
    <w:rsid w:val="00D01D36"/>
    <w:rsid w:val="00D03631"/>
    <w:rsid w:val="00D05CC3"/>
    <w:rsid w:val="00D11EB9"/>
    <w:rsid w:val="00D125FE"/>
    <w:rsid w:val="00D16713"/>
    <w:rsid w:val="00D201A0"/>
    <w:rsid w:val="00D20974"/>
    <w:rsid w:val="00D26C9F"/>
    <w:rsid w:val="00D301D8"/>
    <w:rsid w:val="00D3050B"/>
    <w:rsid w:val="00D31EAB"/>
    <w:rsid w:val="00D342AC"/>
    <w:rsid w:val="00D34327"/>
    <w:rsid w:val="00D34401"/>
    <w:rsid w:val="00D37FBB"/>
    <w:rsid w:val="00D4515C"/>
    <w:rsid w:val="00D50C1A"/>
    <w:rsid w:val="00D53722"/>
    <w:rsid w:val="00D55AC5"/>
    <w:rsid w:val="00D65050"/>
    <w:rsid w:val="00D74B19"/>
    <w:rsid w:val="00D74C9A"/>
    <w:rsid w:val="00D81A8B"/>
    <w:rsid w:val="00D82D2C"/>
    <w:rsid w:val="00D84071"/>
    <w:rsid w:val="00D84C7C"/>
    <w:rsid w:val="00D84F96"/>
    <w:rsid w:val="00D937DF"/>
    <w:rsid w:val="00D96EC6"/>
    <w:rsid w:val="00DA1BDA"/>
    <w:rsid w:val="00DA292A"/>
    <w:rsid w:val="00DA2F19"/>
    <w:rsid w:val="00DA3A11"/>
    <w:rsid w:val="00DA3DE6"/>
    <w:rsid w:val="00DC00A7"/>
    <w:rsid w:val="00DC1278"/>
    <w:rsid w:val="00DC1771"/>
    <w:rsid w:val="00DC24BA"/>
    <w:rsid w:val="00DC4080"/>
    <w:rsid w:val="00DC4C1E"/>
    <w:rsid w:val="00DC6DBD"/>
    <w:rsid w:val="00DD2148"/>
    <w:rsid w:val="00DD3681"/>
    <w:rsid w:val="00DD497F"/>
    <w:rsid w:val="00DE24EB"/>
    <w:rsid w:val="00DE77FB"/>
    <w:rsid w:val="00DF3C80"/>
    <w:rsid w:val="00DF4262"/>
    <w:rsid w:val="00DF5F3E"/>
    <w:rsid w:val="00E06717"/>
    <w:rsid w:val="00E1019E"/>
    <w:rsid w:val="00E12055"/>
    <w:rsid w:val="00E2441B"/>
    <w:rsid w:val="00E4164C"/>
    <w:rsid w:val="00E47D98"/>
    <w:rsid w:val="00E54EF0"/>
    <w:rsid w:val="00E62B2A"/>
    <w:rsid w:val="00E62C22"/>
    <w:rsid w:val="00E72C50"/>
    <w:rsid w:val="00E744F2"/>
    <w:rsid w:val="00E75AA8"/>
    <w:rsid w:val="00E76309"/>
    <w:rsid w:val="00E805E9"/>
    <w:rsid w:val="00E810DF"/>
    <w:rsid w:val="00E84D0B"/>
    <w:rsid w:val="00E8521A"/>
    <w:rsid w:val="00E85BC2"/>
    <w:rsid w:val="00E9075F"/>
    <w:rsid w:val="00E96575"/>
    <w:rsid w:val="00EA1856"/>
    <w:rsid w:val="00EA5CA7"/>
    <w:rsid w:val="00EB03AE"/>
    <w:rsid w:val="00EB50A0"/>
    <w:rsid w:val="00EC0B00"/>
    <w:rsid w:val="00EC62CE"/>
    <w:rsid w:val="00EC6AE0"/>
    <w:rsid w:val="00ED0A0B"/>
    <w:rsid w:val="00ED258D"/>
    <w:rsid w:val="00ED7743"/>
    <w:rsid w:val="00EE47C0"/>
    <w:rsid w:val="00EE5E4F"/>
    <w:rsid w:val="00F003AD"/>
    <w:rsid w:val="00F05763"/>
    <w:rsid w:val="00F2136A"/>
    <w:rsid w:val="00F34088"/>
    <w:rsid w:val="00F34F94"/>
    <w:rsid w:val="00F41E70"/>
    <w:rsid w:val="00F43F8D"/>
    <w:rsid w:val="00F47DC7"/>
    <w:rsid w:val="00F524BF"/>
    <w:rsid w:val="00F53419"/>
    <w:rsid w:val="00F54CC3"/>
    <w:rsid w:val="00F55D52"/>
    <w:rsid w:val="00F55ED3"/>
    <w:rsid w:val="00F61FF5"/>
    <w:rsid w:val="00F854EA"/>
    <w:rsid w:val="00F90043"/>
    <w:rsid w:val="00F97311"/>
    <w:rsid w:val="00FA015A"/>
    <w:rsid w:val="00FA0994"/>
    <w:rsid w:val="00FA16CA"/>
    <w:rsid w:val="00FA1B0F"/>
    <w:rsid w:val="00FA2A31"/>
    <w:rsid w:val="00FA4960"/>
    <w:rsid w:val="00FA5473"/>
    <w:rsid w:val="00FB0FDD"/>
    <w:rsid w:val="00FB7793"/>
    <w:rsid w:val="00FD221C"/>
    <w:rsid w:val="00FD4210"/>
    <w:rsid w:val="00FE0961"/>
    <w:rsid w:val="00FE2204"/>
    <w:rsid w:val="00FF40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8F915"/>
  <w15:chartTrackingRefBased/>
  <w15:docId w15:val="{21037B68-F46E-4F78-A8BF-B5C5A5575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CD5D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aliases w:val="H Titre 2"/>
    <w:basedOn w:val="Normal"/>
    <w:next w:val="Normal"/>
    <w:link w:val="Titre2Car"/>
    <w:autoRedefine/>
    <w:unhideWhenUsed/>
    <w:qFormat/>
    <w:rsid w:val="006865E8"/>
    <w:pPr>
      <w:keepNext/>
      <w:keepLines/>
      <w:spacing w:before="240" w:after="240" w:line="240" w:lineRule="auto"/>
      <w:jc w:val="both"/>
      <w:outlineLvl w:val="1"/>
    </w:pPr>
    <w:rPr>
      <w:rFonts w:ascii="Arial" w:eastAsiaTheme="majorEastAsia" w:hAnsi="Arial" w:cs="Arial"/>
      <w:b/>
      <w:bCs/>
      <w:smallCaps/>
      <w:color w:val="168440"/>
      <w:sz w:val="32"/>
      <w:szCs w:val="32"/>
    </w:rPr>
  </w:style>
  <w:style w:type="paragraph" w:styleId="Titre3">
    <w:name w:val="heading 3"/>
    <w:basedOn w:val="Normal"/>
    <w:next w:val="Normal"/>
    <w:link w:val="Titre3Car"/>
    <w:uiPriority w:val="9"/>
    <w:semiHidden/>
    <w:unhideWhenUsed/>
    <w:qFormat/>
    <w:rsid w:val="00CD5D27"/>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CD5D27"/>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CD5D27"/>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CD5D27"/>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D5D27"/>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D5D27"/>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D5D27"/>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aliases w:val="H Titre 2 Car"/>
    <w:basedOn w:val="Policepardfaut"/>
    <w:link w:val="Titre2"/>
    <w:rsid w:val="006865E8"/>
    <w:rPr>
      <w:rFonts w:ascii="Arial" w:eastAsiaTheme="majorEastAsia" w:hAnsi="Arial" w:cs="Arial"/>
      <w:b/>
      <w:bCs/>
      <w:smallCaps/>
      <w:color w:val="168440"/>
      <w:sz w:val="32"/>
      <w:szCs w:val="32"/>
    </w:rPr>
  </w:style>
  <w:style w:type="character" w:customStyle="1" w:styleId="Titre1Car">
    <w:name w:val="Titre 1 Car"/>
    <w:basedOn w:val="Policepardfaut"/>
    <w:link w:val="Titre1"/>
    <w:uiPriority w:val="9"/>
    <w:rsid w:val="00CD5D27"/>
    <w:rPr>
      <w:rFonts w:asciiTheme="majorHAnsi" w:eastAsiaTheme="majorEastAsia" w:hAnsiTheme="majorHAnsi" w:cstheme="majorBidi"/>
      <w:color w:val="0F4761" w:themeColor="accent1" w:themeShade="BF"/>
      <w:sz w:val="40"/>
      <w:szCs w:val="40"/>
    </w:rPr>
  </w:style>
  <w:style w:type="character" w:customStyle="1" w:styleId="Titre3Car">
    <w:name w:val="Titre 3 Car"/>
    <w:basedOn w:val="Policepardfaut"/>
    <w:link w:val="Titre3"/>
    <w:uiPriority w:val="9"/>
    <w:semiHidden/>
    <w:rsid w:val="00CD5D27"/>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CD5D27"/>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CD5D27"/>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CD5D27"/>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D5D27"/>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D5D27"/>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D5D27"/>
    <w:rPr>
      <w:rFonts w:eastAsiaTheme="majorEastAsia" w:cstheme="majorBidi"/>
      <w:color w:val="272727" w:themeColor="text1" w:themeTint="D8"/>
    </w:rPr>
  </w:style>
  <w:style w:type="paragraph" w:styleId="Titre">
    <w:name w:val="Title"/>
    <w:basedOn w:val="Normal"/>
    <w:next w:val="Normal"/>
    <w:link w:val="TitreCar"/>
    <w:uiPriority w:val="10"/>
    <w:qFormat/>
    <w:rsid w:val="00CD5D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D5D2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D5D27"/>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D5D27"/>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D5D27"/>
    <w:pPr>
      <w:spacing w:before="160"/>
      <w:jc w:val="center"/>
    </w:pPr>
    <w:rPr>
      <w:i/>
      <w:iCs/>
      <w:color w:val="404040" w:themeColor="text1" w:themeTint="BF"/>
    </w:rPr>
  </w:style>
  <w:style w:type="character" w:customStyle="1" w:styleId="CitationCar">
    <w:name w:val="Citation Car"/>
    <w:basedOn w:val="Policepardfaut"/>
    <w:link w:val="Citation"/>
    <w:uiPriority w:val="29"/>
    <w:rsid w:val="00CD5D27"/>
    <w:rPr>
      <w:i/>
      <w:iCs/>
      <w:color w:val="404040" w:themeColor="text1" w:themeTint="BF"/>
    </w:rPr>
  </w:style>
  <w:style w:type="paragraph" w:styleId="Paragraphedeliste">
    <w:name w:val="List Paragraph"/>
    <w:basedOn w:val="Normal"/>
    <w:uiPriority w:val="34"/>
    <w:qFormat/>
    <w:rsid w:val="00CD5D27"/>
    <w:pPr>
      <w:ind w:left="720"/>
      <w:contextualSpacing/>
    </w:pPr>
  </w:style>
  <w:style w:type="character" w:styleId="Accentuationintense">
    <w:name w:val="Intense Emphasis"/>
    <w:basedOn w:val="Policepardfaut"/>
    <w:uiPriority w:val="21"/>
    <w:qFormat/>
    <w:rsid w:val="00CD5D27"/>
    <w:rPr>
      <w:i/>
      <w:iCs/>
      <w:color w:val="0F4761" w:themeColor="accent1" w:themeShade="BF"/>
    </w:rPr>
  </w:style>
  <w:style w:type="paragraph" w:styleId="Citationintense">
    <w:name w:val="Intense Quote"/>
    <w:basedOn w:val="Normal"/>
    <w:next w:val="Normal"/>
    <w:link w:val="CitationintenseCar"/>
    <w:uiPriority w:val="30"/>
    <w:qFormat/>
    <w:rsid w:val="00CD5D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CD5D27"/>
    <w:rPr>
      <w:i/>
      <w:iCs/>
      <w:color w:val="0F4761" w:themeColor="accent1" w:themeShade="BF"/>
    </w:rPr>
  </w:style>
  <w:style w:type="character" w:styleId="Rfrenceintense">
    <w:name w:val="Intense Reference"/>
    <w:basedOn w:val="Policepardfaut"/>
    <w:uiPriority w:val="32"/>
    <w:qFormat/>
    <w:rsid w:val="00CD5D27"/>
    <w:rPr>
      <w:b/>
      <w:bCs/>
      <w:smallCaps/>
      <w:color w:val="0F4761" w:themeColor="accent1" w:themeShade="BF"/>
      <w:spacing w:val="5"/>
    </w:rPr>
  </w:style>
  <w:style w:type="paragraph" w:styleId="NormalWeb">
    <w:name w:val="Normal (Web)"/>
    <w:basedOn w:val="Normal"/>
    <w:uiPriority w:val="99"/>
    <w:semiHidden/>
    <w:unhideWhenUsed/>
    <w:rsid w:val="00AF0AAB"/>
    <w:rPr>
      <w:rFonts w:ascii="Times New Roman" w:hAnsi="Times New Roman" w:cs="Times New Roman"/>
    </w:rPr>
  </w:style>
  <w:style w:type="character" w:styleId="Lienhypertexte">
    <w:name w:val="Hyperlink"/>
    <w:basedOn w:val="Policepardfaut"/>
    <w:uiPriority w:val="99"/>
    <w:unhideWhenUsed/>
    <w:rsid w:val="002A4F58"/>
    <w:rPr>
      <w:color w:val="467886" w:themeColor="hyperlink"/>
      <w:u w:val="single"/>
    </w:rPr>
  </w:style>
  <w:style w:type="paragraph" w:styleId="En-tte">
    <w:name w:val="header"/>
    <w:basedOn w:val="Normal"/>
    <w:link w:val="En-tteCar"/>
    <w:uiPriority w:val="99"/>
    <w:unhideWhenUsed/>
    <w:rsid w:val="00756D23"/>
    <w:pPr>
      <w:tabs>
        <w:tab w:val="center" w:pos="4536"/>
        <w:tab w:val="right" w:pos="9072"/>
      </w:tabs>
      <w:spacing w:after="0" w:line="240" w:lineRule="auto"/>
    </w:pPr>
  </w:style>
  <w:style w:type="character" w:customStyle="1" w:styleId="En-tteCar">
    <w:name w:val="En-tête Car"/>
    <w:basedOn w:val="Policepardfaut"/>
    <w:link w:val="En-tte"/>
    <w:uiPriority w:val="99"/>
    <w:rsid w:val="00756D23"/>
  </w:style>
  <w:style w:type="paragraph" w:styleId="Pieddepage">
    <w:name w:val="footer"/>
    <w:basedOn w:val="Normal"/>
    <w:link w:val="PieddepageCar"/>
    <w:uiPriority w:val="99"/>
    <w:unhideWhenUsed/>
    <w:rsid w:val="00756D2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56D23"/>
  </w:style>
  <w:style w:type="character" w:styleId="Accentuation">
    <w:name w:val="Emphasis"/>
    <w:basedOn w:val="Policepardfaut"/>
    <w:uiPriority w:val="20"/>
    <w:qFormat/>
    <w:rsid w:val="009F7E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661-021-09097-9" TargetMode="External"/><Relationship Id="rId13" Type="http://schemas.openxmlformats.org/officeDocument/2006/relationships/hyperlink" Target="https://doi.org/10.2166/wst.2018.41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hydroa.2021.100093" TargetMode="External"/><Relationship Id="rId12" Type="http://schemas.openxmlformats.org/officeDocument/2006/relationships/hyperlink" Target="https://doi.org/10.2166/wst.2018.33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3390/s1807225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0666-022-09838-1" TargetMode="External"/><Relationship Id="rId5" Type="http://schemas.openxmlformats.org/officeDocument/2006/relationships/footnotes" Target="footnotes.xml"/><Relationship Id="rId15" Type="http://schemas.openxmlformats.org/officeDocument/2006/relationships/hyperlink" Target="https://deep.insa-lyon.fr/fr/page/urbis" TargetMode="External"/><Relationship Id="rId10" Type="http://schemas.openxmlformats.org/officeDocument/2006/relationships/hyperlink" Target="https://doi.org/10.1080/02626667.2019.163569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07/s10661-016-5335-y" TargetMode="External"/><Relationship Id="rId14" Type="http://schemas.openxmlformats.org/officeDocument/2006/relationships/hyperlink" Target="https://doi.org/10.2166/wst.2013.52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242</TotalTime>
  <Pages>10</Pages>
  <Words>5503</Words>
  <Characters>30269</Characters>
  <Application>Microsoft Office Word</Application>
  <DocSecurity>0</DocSecurity>
  <Lines>252</Lines>
  <Paragraphs>71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SANDOVAL</dc:creator>
  <cp:keywords/>
  <dc:description/>
  <cp:lastModifiedBy>Santiago SANDOVAL</cp:lastModifiedBy>
  <cp:revision>270</cp:revision>
  <dcterms:created xsi:type="dcterms:W3CDTF">2026-02-17T17:46:00Z</dcterms:created>
  <dcterms:modified xsi:type="dcterms:W3CDTF">2026-02-20T10:17:00Z</dcterms:modified>
</cp:coreProperties>
</file>