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51D04" w14:textId="4EA82A83" w:rsidR="00B37C9E" w:rsidRPr="00C628FD" w:rsidRDefault="0024762E" w:rsidP="00C628FD">
      <w:pPr>
        <w:spacing w:line="360" w:lineRule="auto"/>
        <w:jc w:val="center"/>
        <w:rPr>
          <w:rFonts w:ascii="Arial" w:hAnsi="Arial" w:cs="Arial"/>
          <w:b/>
          <w:bCs/>
          <w:sz w:val="28"/>
          <w:szCs w:val="28"/>
        </w:rPr>
      </w:pPr>
      <w:r>
        <w:rPr>
          <w:rFonts w:ascii="Arial" w:hAnsi="Arial" w:cs="Arial"/>
          <w:b/>
          <w:bCs/>
          <w:sz w:val="28"/>
          <w:szCs w:val="28"/>
        </w:rPr>
        <w:t>L</w:t>
      </w:r>
      <w:r w:rsidR="00C06C0A" w:rsidRPr="00C628FD">
        <w:rPr>
          <w:rFonts w:ascii="Arial" w:hAnsi="Arial" w:cs="Arial"/>
          <w:b/>
          <w:bCs/>
          <w:sz w:val="28"/>
          <w:szCs w:val="28"/>
        </w:rPr>
        <w:t>os Servicios Ecosistémicos en la gestión del agua en Cuenca, Ecuador</w:t>
      </w:r>
    </w:p>
    <w:p w14:paraId="3969A33F" w14:textId="3A277C71" w:rsidR="00C06C0A" w:rsidRPr="002815B8" w:rsidRDefault="00C06C0A" w:rsidP="002815B8">
      <w:pPr>
        <w:spacing w:line="360" w:lineRule="auto"/>
        <w:ind w:firstLine="708"/>
        <w:jc w:val="both"/>
        <w:rPr>
          <w:rFonts w:ascii="Arial" w:hAnsi="Arial" w:cs="Arial"/>
          <w:b/>
          <w:bCs/>
          <w:i/>
          <w:iCs/>
          <w:sz w:val="24"/>
          <w:szCs w:val="24"/>
        </w:rPr>
      </w:pPr>
      <w:r w:rsidRPr="002815B8">
        <w:rPr>
          <w:rFonts w:ascii="Arial" w:hAnsi="Arial" w:cs="Arial"/>
          <w:b/>
          <w:bCs/>
          <w:i/>
          <w:iCs/>
          <w:sz w:val="24"/>
          <w:szCs w:val="24"/>
        </w:rPr>
        <w:t>Introducción</w:t>
      </w:r>
    </w:p>
    <w:p w14:paraId="7051A50F" w14:textId="3D3DAC25" w:rsidR="00C06C0A" w:rsidRPr="00C628FD" w:rsidRDefault="00970DF9" w:rsidP="00C628FD">
      <w:pPr>
        <w:spacing w:line="360" w:lineRule="auto"/>
        <w:ind w:firstLine="708"/>
        <w:jc w:val="both"/>
        <w:rPr>
          <w:rFonts w:ascii="Arial" w:hAnsi="Arial" w:cs="Arial"/>
          <w:sz w:val="24"/>
          <w:szCs w:val="24"/>
        </w:rPr>
      </w:pPr>
      <w:r w:rsidRPr="00970DF9">
        <w:rPr>
          <w:rFonts w:ascii="Arial" w:hAnsi="Arial" w:cs="Arial"/>
          <w:sz w:val="24"/>
          <w:szCs w:val="24"/>
        </w:rPr>
        <w:t xml:space="preserve">Cuenca, ciudad andina del sur de Ecuador, es conocida no solo por su valor patrimonial y paisajístico, sino también por su estratégica ubicación hídrica en la cuenca del río Tomebamba. Sus ecosistemas de páramo y bosque montano, fuente vital de agua para más de medio millón de personas, son ejemplos claros de territorios donde los servicios ecosistémicos (SE) juegan un rol crucial. Sin embargo, su deterioro continuo contrasta con el discurso institucional de sostenibilidad. Este ensayo propone una lectura crítica de la gestión del agua en Cuenca, argumentando que, pese al marco normativo y técnico existente, la falta de voluntad política, la fragmentación institucional y la </w:t>
      </w:r>
      <w:proofErr w:type="spellStart"/>
      <w:r w:rsidRPr="00970DF9">
        <w:rPr>
          <w:rFonts w:ascii="Arial" w:hAnsi="Arial" w:cs="Arial"/>
          <w:sz w:val="24"/>
          <w:szCs w:val="24"/>
        </w:rPr>
        <w:t>invisibilización</w:t>
      </w:r>
      <w:proofErr w:type="spellEnd"/>
      <w:r w:rsidRPr="00970DF9">
        <w:rPr>
          <w:rFonts w:ascii="Arial" w:hAnsi="Arial" w:cs="Arial"/>
          <w:sz w:val="24"/>
          <w:szCs w:val="24"/>
        </w:rPr>
        <w:t xml:space="preserve"> del conocimiento local siguen siendo los principales obstáculos para incorporar de forma efectiva los SE en la toma de decisiones.</w:t>
      </w:r>
    </w:p>
    <w:p w14:paraId="414952A1" w14:textId="669C4DCD" w:rsidR="00C06C0A" w:rsidRPr="002815B8" w:rsidRDefault="00C06C0A" w:rsidP="002815B8">
      <w:pPr>
        <w:spacing w:line="360" w:lineRule="auto"/>
        <w:ind w:firstLine="708"/>
        <w:jc w:val="both"/>
        <w:rPr>
          <w:rFonts w:ascii="Arial" w:hAnsi="Arial" w:cs="Arial"/>
          <w:b/>
          <w:bCs/>
          <w:i/>
          <w:iCs/>
          <w:sz w:val="24"/>
          <w:szCs w:val="24"/>
        </w:rPr>
      </w:pPr>
      <w:r w:rsidRPr="002815B8">
        <w:rPr>
          <w:rFonts w:ascii="Arial" w:hAnsi="Arial" w:cs="Arial"/>
          <w:b/>
          <w:bCs/>
          <w:i/>
          <w:iCs/>
          <w:sz w:val="24"/>
          <w:szCs w:val="24"/>
        </w:rPr>
        <w:t>Desarrollo</w:t>
      </w:r>
    </w:p>
    <w:p w14:paraId="0B58666A" w14:textId="6C0D17E8" w:rsidR="00970DF9" w:rsidRPr="00970DF9" w:rsidRDefault="00970DF9" w:rsidP="00970DF9">
      <w:pPr>
        <w:spacing w:line="360" w:lineRule="auto"/>
        <w:ind w:firstLine="708"/>
        <w:jc w:val="both"/>
        <w:rPr>
          <w:rFonts w:ascii="Arial" w:hAnsi="Arial" w:cs="Arial"/>
          <w:sz w:val="24"/>
          <w:szCs w:val="24"/>
        </w:rPr>
      </w:pPr>
      <w:r w:rsidRPr="00970DF9">
        <w:rPr>
          <w:rFonts w:ascii="Arial" w:hAnsi="Arial" w:cs="Arial"/>
          <w:sz w:val="24"/>
          <w:szCs w:val="24"/>
        </w:rPr>
        <w:t>Uno de los principales problemas de la gestión hídrica en Cuenca es la contradicción entre el discurso ambientalista y la práctica institucional. Por un lado, se reconoce legalmente el valor de los ecosistemas a través de instrumentos como la Constitución de 2008 y el Código Orgánico del Ambiente (2017), que amparan los derechos de la naturaleza y los servicios ambientales. No obstante, la aplicación efectiva de estos principios sigue siendo simbólica. Por ejemplo, la empresa pública ETAPA ha liderado acciones positivas, como la protección de áreas de recarga hídrica, pero su accionar se ha visto limitado por dinámicas burocráticas, falta de articulación con otras entidades —como el Gobierno Autónomo Descentralizado Municipal (GAD) y el Ministerio del Ambiente— y escasa participación ciudadana vinculante.</w:t>
      </w:r>
    </w:p>
    <w:p w14:paraId="767A6276" w14:textId="6384786F" w:rsidR="00970DF9" w:rsidRPr="00970DF9" w:rsidRDefault="00970DF9" w:rsidP="00970DF9">
      <w:pPr>
        <w:spacing w:line="360" w:lineRule="auto"/>
        <w:ind w:firstLine="708"/>
        <w:jc w:val="both"/>
        <w:rPr>
          <w:rFonts w:ascii="Arial" w:hAnsi="Arial" w:cs="Arial"/>
          <w:sz w:val="24"/>
          <w:szCs w:val="24"/>
        </w:rPr>
      </w:pPr>
      <w:r w:rsidRPr="00970DF9">
        <w:rPr>
          <w:rFonts w:ascii="Arial" w:hAnsi="Arial" w:cs="Arial"/>
          <w:sz w:val="24"/>
          <w:szCs w:val="24"/>
        </w:rPr>
        <w:t xml:space="preserve">Además, la presión de proyectos extractivos legales e ilegales en zonas de páramo y áreas de conservación revela una política de doble discurso. El caso de la concesión minera Río Blanco, ubicada en la misma zona que abastece a los ríos Machángara y Yanuncay, es emblemático: mientras se promueven estrategias de conservación y restauración desde el discurso público, se otorgan permisos para actividades altamente destructivas. Aquí el conflicto no es técnico, sino ético y político. </w:t>
      </w:r>
      <w:r w:rsidRPr="00970DF9">
        <w:rPr>
          <w:rFonts w:ascii="Arial" w:hAnsi="Arial" w:cs="Arial"/>
          <w:sz w:val="24"/>
          <w:szCs w:val="24"/>
        </w:rPr>
        <w:lastRenderedPageBreak/>
        <w:t>La implementación de los SE como herramienta de gestión requiere coherencia entre lo que se legisla y lo que se ejecuta.</w:t>
      </w:r>
    </w:p>
    <w:p w14:paraId="7E8C6CB8" w14:textId="75BCB54E" w:rsidR="00970DF9" w:rsidRPr="00970DF9" w:rsidRDefault="00970DF9" w:rsidP="00970DF9">
      <w:pPr>
        <w:spacing w:line="360" w:lineRule="auto"/>
        <w:ind w:firstLine="708"/>
        <w:jc w:val="both"/>
        <w:rPr>
          <w:rFonts w:ascii="Arial" w:hAnsi="Arial" w:cs="Arial"/>
          <w:sz w:val="24"/>
          <w:szCs w:val="24"/>
        </w:rPr>
      </w:pPr>
      <w:r w:rsidRPr="00970DF9">
        <w:rPr>
          <w:rFonts w:ascii="Arial" w:hAnsi="Arial" w:cs="Arial"/>
          <w:sz w:val="24"/>
          <w:szCs w:val="24"/>
        </w:rPr>
        <w:t xml:space="preserve">A ello se suma la fragmentación del conocimiento. Los saberes comunitarios sobre manejo del agua, transmitidos por generaciones entre las comunidades </w:t>
      </w:r>
      <w:proofErr w:type="spellStart"/>
      <w:r w:rsidRPr="00970DF9">
        <w:rPr>
          <w:rFonts w:ascii="Arial" w:hAnsi="Arial" w:cs="Arial"/>
          <w:sz w:val="24"/>
          <w:szCs w:val="24"/>
        </w:rPr>
        <w:t>kichwas</w:t>
      </w:r>
      <w:proofErr w:type="spellEnd"/>
      <w:r w:rsidRPr="00970DF9">
        <w:rPr>
          <w:rFonts w:ascii="Arial" w:hAnsi="Arial" w:cs="Arial"/>
          <w:sz w:val="24"/>
          <w:szCs w:val="24"/>
        </w:rPr>
        <w:t xml:space="preserve"> y campesinas de la región, son vistos por la institucionalidad como “complementarios” y no como un eje central de planificación. Esta exclusión revela una visión colonial del conocimiento que debilita cualquier intento real de gobernanza territorial integrada. La cosmovisión andina, que considera al agua como sujeto vivo y no como recurso, debería formar parte del diseño institucional, particularmente si se habla de servicios ecosistémicos en su sentido más amplio, que también incluye valores culturales y espirituales.</w:t>
      </w:r>
    </w:p>
    <w:p w14:paraId="18534B4A" w14:textId="0329CD7C" w:rsidR="00970DF9" w:rsidRPr="00970DF9" w:rsidRDefault="00970DF9" w:rsidP="00970DF9">
      <w:pPr>
        <w:spacing w:line="360" w:lineRule="auto"/>
        <w:ind w:firstLine="708"/>
        <w:jc w:val="both"/>
        <w:rPr>
          <w:rFonts w:ascii="Arial" w:hAnsi="Arial" w:cs="Arial"/>
          <w:sz w:val="24"/>
          <w:szCs w:val="24"/>
        </w:rPr>
      </w:pPr>
      <w:r w:rsidRPr="00970DF9">
        <w:rPr>
          <w:rFonts w:ascii="Arial" w:hAnsi="Arial" w:cs="Arial"/>
          <w:sz w:val="24"/>
          <w:szCs w:val="24"/>
        </w:rPr>
        <w:t>Por otro lado, es necesario hacer una crítica al uso exclusivamente económico del concepto de SE. Si bien metodologías como el “costo evitado” o el “valor presente neto” han sido útiles para sensibilizar a tomadores de decisiones y atraer financiamiento, corren el riesgo de reducir la naturaleza a cifras que solo reflejan su utilidad para el ser humano. Esta visión instrumental ha permitido justificar intervenciones en nombre de la eficiencia, pero ha invisibilizado dinámicas ecológicas complejas y relaciones sociales profundamente arraigadas en el territorio.</w:t>
      </w:r>
    </w:p>
    <w:p w14:paraId="6BFB31BD" w14:textId="5DA8090E" w:rsidR="00C06C0A" w:rsidRPr="00C628FD" w:rsidRDefault="00BD31F2" w:rsidP="00970DF9">
      <w:pPr>
        <w:spacing w:line="360" w:lineRule="auto"/>
        <w:ind w:firstLine="708"/>
        <w:jc w:val="both"/>
        <w:rPr>
          <w:rFonts w:ascii="Arial" w:hAnsi="Arial" w:cs="Arial"/>
          <w:sz w:val="24"/>
          <w:szCs w:val="24"/>
        </w:rPr>
      </w:pPr>
      <w:r w:rsidRPr="00BD31F2">
        <w:rPr>
          <w:rFonts w:ascii="Arial" w:hAnsi="Arial" w:cs="Arial"/>
          <w:sz w:val="24"/>
          <w:szCs w:val="24"/>
        </w:rPr>
        <w:t>En ciudades como Cuenca, aún persiste una forma de gestión del agua marcada por el control centralizado y una lógica más técnica que participativa. Esta forma de gobernanza, lejos de resolver el problema, lo ha profundizado en muchos casos</w:t>
      </w:r>
      <w:r w:rsidR="00970DF9" w:rsidRPr="00970DF9">
        <w:rPr>
          <w:rFonts w:ascii="Arial" w:hAnsi="Arial" w:cs="Arial"/>
          <w:sz w:val="24"/>
          <w:szCs w:val="24"/>
        </w:rPr>
        <w:t>. Es indispensable avanzar hacia un enfoque ecosistémico, territorial y democrático, en donde los SE sean más que un instrumento técnico: sean un eje de transformación institucional y cultural. Ello implica asumir que la crisis hídrica no es solo un problema de oferta y demanda, sino de justicia ambiental, poder político y reconocimiento de derechos</w:t>
      </w:r>
      <w:r w:rsidR="00C06C0A" w:rsidRPr="00C628FD">
        <w:rPr>
          <w:rFonts w:ascii="Arial" w:hAnsi="Arial" w:cs="Arial"/>
          <w:sz w:val="24"/>
          <w:szCs w:val="24"/>
        </w:rPr>
        <w:t>.</w:t>
      </w:r>
    </w:p>
    <w:p w14:paraId="637E8D27" w14:textId="1A456287" w:rsidR="00C06C0A" w:rsidRPr="002815B8" w:rsidRDefault="00C628FD" w:rsidP="002815B8">
      <w:pPr>
        <w:spacing w:line="360" w:lineRule="auto"/>
        <w:ind w:firstLine="708"/>
        <w:jc w:val="both"/>
        <w:rPr>
          <w:rFonts w:ascii="Arial" w:hAnsi="Arial" w:cs="Arial"/>
          <w:b/>
          <w:bCs/>
          <w:i/>
          <w:iCs/>
          <w:sz w:val="24"/>
          <w:szCs w:val="24"/>
        </w:rPr>
      </w:pPr>
      <w:r w:rsidRPr="002815B8">
        <w:rPr>
          <w:rFonts w:ascii="Arial" w:hAnsi="Arial" w:cs="Arial"/>
          <w:b/>
          <w:bCs/>
          <w:i/>
          <w:iCs/>
          <w:sz w:val="24"/>
          <w:szCs w:val="24"/>
        </w:rPr>
        <w:t>Conclusión</w:t>
      </w:r>
    </w:p>
    <w:p w14:paraId="45B0A216" w14:textId="26FA505E" w:rsidR="00C06C0A" w:rsidRDefault="00970DF9" w:rsidP="00C628FD">
      <w:pPr>
        <w:spacing w:line="360" w:lineRule="auto"/>
        <w:ind w:firstLine="708"/>
        <w:jc w:val="both"/>
        <w:rPr>
          <w:rFonts w:ascii="Arial" w:hAnsi="Arial" w:cs="Arial"/>
          <w:sz w:val="24"/>
          <w:szCs w:val="24"/>
        </w:rPr>
      </w:pPr>
      <w:r w:rsidRPr="00970DF9">
        <w:rPr>
          <w:rFonts w:ascii="Arial" w:hAnsi="Arial" w:cs="Arial"/>
          <w:sz w:val="24"/>
          <w:szCs w:val="24"/>
        </w:rPr>
        <w:t xml:space="preserve">La incorporación de los servicios ecosistémicos en la gestión del agua en Cuenca representa una oportunidad para corregir las deficiencias históricas de un modelo hídrico que ha priorizado la infraestructura sobre la ecología, y la administración vertical sobre la participación horizontal. Para que los SE tengan un papel real en la planificación hídrica, es indispensable desmontar el doble discurso </w:t>
      </w:r>
      <w:r w:rsidRPr="00970DF9">
        <w:rPr>
          <w:rFonts w:ascii="Arial" w:hAnsi="Arial" w:cs="Arial"/>
          <w:sz w:val="24"/>
          <w:szCs w:val="24"/>
        </w:rPr>
        <w:lastRenderedPageBreak/>
        <w:t>institucional, descolonizar los saberes, y construir alianzas entre academia, comunidades y gobiernos locales. Solo así será posible garantizar no solo la provisión de agua para futuras generaciones, sino también la dignidad y el bienestar de quienes habitan los territorios hoy</w:t>
      </w:r>
      <w:r w:rsidR="00C06C0A" w:rsidRPr="00C628FD">
        <w:rPr>
          <w:rFonts w:ascii="Arial" w:hAnsi="Arial" w:cs="Arial"/>
          <w:sz w:val="24"/>
          <w:szCs w:val="24"/>
        </w:rPr>
        <w:t>.</w:t>
      </w:r>
    </w:p>
    <w:p w14:paraId="3073F080" w14:textId="77777777" w:rsidR="00C628FD" w:rsidRDefault="00C628FD" w:rsidP="00C628FD">
      <w:pPr>
        <w:spacing w:line="360" w:lineRule="auto"/>
        <w:ind w:firstLine="708"/>
        <w:jc w:val="both"/>
        <w:rPr>
          <w:rFonts w:ascii="Arial" w:hAnsi="Arial" w:cs="Arial"/>
          <w:sz w:val="24"/>
          <w:szCs w:val="24"/>
        </w:rPr>
      </w:pPr>
    </w:p>
    <w:p w14:paraId="526B118E" w14:textId="66827F53" w:rsidR="00C628FD" w:rsidRPr="00C628FD" w:rsidRDefault="00C628FD" w:rsidP="00C628FD">
      <w:pPr>
        <w:spacing w:line="360" w:lineRule="auto"/>
        <w:ind w:firstLine="708"/>
        <w:jc w:val="both"/>
        <w:rPr>
          <w:rFonts w:ascii="Arial" w:hAnsi="Arial" w:cs="Arial"/>
          <w:b/>
          <w:bCs/>
          <w:sz w:val="28"/>
          <w:szCs w:val="28"/>
        </w:rPr>
      </w:pPr>
      <w:r w:rsidRPr="00C628FD">
        <w:rPr>
          <w:rFonts w:ascii="Arial" w:hAnsi="Arial" w:cs="Arial"/>
          <w:b/>
          <w:bCs/>
          <w:sz w:val="28"/>
          <w:szCs w:val="28"/>
        </w:rPr>
        <w:t xml:space="preserve">Fuentes bibliográficas </w:t>
      </w:r>
    </w:p>
    <w:p w14:paraId="1D8DC03A" w14:textId="0871CF28" w:rsidR="00C628FD" w:rsidRPr="00C628FD" w:rsidRDefault="00C628FD" w:rsidP="00C628FD">
      <w:pPr>
        <w:spacing w:line="360" w:lineRule="auto"/>
        <w:ind w:firstLine="708"/>
        <w:jc w:val="both"/>
        <w:rPr>
          <w:rFonts w:ascii="Arial" w:hAnsi="Arial" w:cs="Arial"/>
          <w:sz w:val="24"/>
          <w:szCs w:val="24"/>
        </w:rPr>
      </w:pPr>
      <w:r w:rsidRPr="00C628FD">
        <w:rPr>
          <w:rFonts w:ascii="Arial" w:hAnsi="Arial" w:cs="Arial"/>
          <w:sz w:val="24"/>
          <w:szCs w:val="24"/>
        </w:rPr>
        <w:t>Asamblea Nacional del Ecuador. (2008). Constitución de la República del Ecuador. Registro Oficial 449.</w:t>
      </w:r>
    </w:p>
    <w:p w14:paraId="3E1AAEDF" w14:textId="2527F1BE" w:rsidR="00C628FD" w:rsidRPr="00C628FD" w:rsidRDefault="00C628FD" w:rsidP="00C628FD">
      <w:pPr>
        <w:spacing w:line="360" w:lineRule="auto"/>
        <w:ind w:firstLine="708"/>
        <w:jc w:val="both"/>
        <w:rPr>
          <w:rFonts w:ascii="Arial" w:hAnsi="Arial" w:cs="Arial"/>
          <w:sz w:val="24"/>
          <w:szCs w:val="24"/>
          <w:lang w:val="en-US"/>
        </w:rPr>
      </w:pPr>
      <w:r w:rsidRPr="00C628FD">
        <w:rPr>
          <w:rFonts w:ascii="Arial" w:hAnsi="Arial" w:cs="Arial"/>
          <w:sz w:val="24"/>
          <w:szCs w:val="24"/>
        </w:rPr>
        <w:t xml:space="preserve">Campos Rojas, G. G., Lacayo Moya, M. F., &amp; Chavarría Fernández, K. L. (2022). Identificación de servicios de los ecosistemas: Reconocimiento y desafíos para la planificación del desarrollo. </w:t>
      </w:r>
      <w:proofErr w:type="spellStart"/>
      <w:r w:rsidRPr="00C628FD">
        <w:rPr>
          <w:rFonts w:ascii="Arial" w:hAnsi="Arial" w:cs="Arial"/>
          <w:sz w:val="24"/>
          <w:szCs w:val="24"/>
          <w:lang w:val="en-US"/>
        </w:rPr>
        <w:t>Revista</w:t>
      </w:r>
      <w:proofErr w:type="spellEnd"/>
      <w:r w:rsidRPr="00C628FD">
        <w:rPr>
          <w:rFonts w:ascii="Arial" w:hAnsi="Arial" w:cs="Arial"/>
          <w:sz w:val="24"/>
          <w:szCs w:val="24"/>
          <w:lang w:val="en-US"/>
        </w:rPr>
        <w:t xml:space="preserve"> ABRA, 42(65), 1–23. </w:t>
      </w:r>
      <w:hyperlink r:id="rId6" w:history="1">
        <w:r w:rsidRPr="00086D23">
          <w:rPr>
            <w:rStyle w:val="Hipervnculo"/>
            <w:rFonts w:ascii="Arial" w:hAnsi="Arial" w:cs="Arial"/>
            <w:sz w:val="24"/>
            <w:szCs w:val="24"/>
            <w:lang w:val="en-US"/>
          </w:rPr>
          <w:t>https://doi.org/10.15359/abra.42-65.1</w:t>
        </w:r>
      </w:hyperlink>
      <w:r>
        <w:rPr>
          <w:rFonts w:ascii="Arial" w:hAnsi="Arial" w:cs="Arial"/>
          <w:sz w:val="24"/>
          <w:szCs w:val="24"/>
          <w:lang w:val="en-US"/>
        </w:rPr>
        <w:t xml:space="preserve"> </w:t>
      </w:r>
    </w:p>
    <w:p w14:paraId="1EFBA033" w14:textId="6661C36F" w:rsidR="00C628FD" w:rsidRPr="00C628FD" w:rsidRDefault="00C628FD" w:rsidP="00C628FD">
      <w:pPr>
        <w:spacing w:line="360" w:lineRule="auto"/>
        <w:ind w:firstLine="708"/>
        <w:jc w:val="both"/>
        <w:rPr>
          <w:rFonts w:ascii="Arial" w:hAnsi="Arial" w:cs="Arial"/>
          <w:sz w:val="24"/>
          <w:szCs w:val="24"/>
          <w:lang w:val="en-US"/>
        </w:rPr>
      </w:pPr>
      <w:r w:rsidRPr="00C628FD">
        <w:rPr>
          <w:rFonts w:ascii="Arial" w:hAnsi="Arial" w:cs="Arial"/>
          <w:sz w:val="24"/>
          <w:szCs w:val="24"/>
          <w:lang w:val="en-US"/>
        </w:rPr>
        <w:t>Cohen-</w:t>
      </w:r>
      <w:proofErr w:type="spellStart"/>
      <w:r w:rsidRPr="00C628FD">
        <w:rPr>
          <w:rFonts w:ascii="Arial" w:hAnsi="Arial" w:cs="Arial"/>
          <w:sz w:val="24"/>
          <w:szCs w:val="24"/>
          <w:lang w:val="en-US"/>
        </w:rPr>
        <w:t>Shacham</w:t>
      </w:r>
      <w:proofErr w:type="spellEnd"/>
      <w:r w:rsidRPr="00C628FD">
        <w:rPr>
          <w:rFonts w:ascii="Arial" w:hAnsi="Arial" w:cs="Arial"/>
          <w:sz w:val="24"/>
          <w:szCs w:val="24"/>
          <w:lang w:val="en-US"/>
        </w:rPr>
        <w:t xml:space="preserve">, E., Walters, G., Janzen, C., &amp; Maginnis, S. (2016). </w:t>
      </w:r>
      <w:r w:rsidRPr="00C628FD">
        <w:rPr>
          <w:rFonts w:ascii="Arial" w:hAnsi="Arial" w:cs="Arial"/>
          <w:sz w:val="24"/>
          <w:szCs w:val="24"/>
        </w:rPr>
        <w:t xml:space="preserve">Soluciones basadas en la naturaleza para la gestión de riesgos relacionados con el agua y el cambio climático. </w:t>
      </w:r>
      <w:r w:rsidRPr="00C628FD">
        <w:rPr>
          <w:rFonts w:ascii="Arial" w:hAnsi="Arial" w:cs="Arial"/>
          <w:sz w:val="24"/>
          <w:szCs w:val="24"/>
          <w:lang w:val="en-US"/>
        </w:rPr>
        <w:t>UICN.</w:t>
      </w:r>
    </w:p>
    <w:p w14:paraId="7164F6AF" w14:textId="4F9372B5" w:rsidR="00C628FD" w:rsidRPr="00C628FD" w:rsidRDefault="00C628FD" w:rsidP="00C628FD">
      <w:pPr>
        <w:spacing w:line="360" w:lineRule="auto"/>
        <w:ind w:firstLine="708"/>
        <w:jc w:val="both"/>
        <w:rPr>
          <w:rFonts w:ascii="Arial" w:hAnsi="Arial" w:cs="Arial"/>
          <w:sz w:val="24"/>
          <w:szCs w:val="24"/>
        </w:rPr>
      </w:pPr>
      <w:r w:rsidRPr="00C628FD">
        <w:rPr>
          <w:rFonts w:ascii="Arial" w:hAnsi="Arial" w:cs="Arial"/>
          <w:sz w:val="24"/>
          <w:szCs w:val="24"/>
          <w:lang w:val="en-US"/>
        </w:rPr>
        <w:t xml:space="preserve">Millennium Ecosystem Assessment. (2005). Ecosystems and Human Well-being: Synthesis. </w:t>
      </w:r>
      <w:r w:rsidRPr="00C628FD">
        <w:rPr>
          <w:rFonts w:ascii="Arial" w:hAnsi="Arial" w:cs="Arial"/>
          <w:sz w:val="24"/>
          <w:szCs w:val="24"/>
        </w:rPr>
        <w:t xml:space="preserve">Island </w:t>
      </w:r>
      <w:proofErr w:type="spellStart"/>
      <w:r w:rsidRPr="00C628FD">
        <w:rPr>
          <w:rFonts w:ascii="Arial" w:hAnsi="Arial" w:cs="Arial"/>
          <w:sz w:val="24"/>
          <w:szCs w:val="24"/>
        </w:rPr>
        <w:t>Press</w:t>
      </w:r>
      <w:proofErr w:type="spellEnd"/>
      <w:r w:rsidRPr="00C628FD">
        <w:rPr>
          <w:rFonts w:ascii="Arial" w:hAnsi="Arial" w:cs="Arial"/>
          <w:sz w:val="24"/>
          <w:szCs w:val="24"/>
        </w:rPr>
        <w:t>.</w:t>
      </w:r>
    </w:p>
    <w:p w14:paraId="4BBE636F" w14:textId="4958953B" w:rsidR="00C628FD" w:rsidRPr="00C628FD" w:rsidRDefault="00C628FD" w:rsidP="00C628FD">
      <w:pPr>
        <w:spacing w:line="360" w:lineRule="auto"/>
        <w:ind w:firstLine="708"/>
        <w:jc w:val="both"/>
        <w:rPr>
          <w:rFonts w:ascii="Arial" w:hAnsi="Arial" w:cs="Arial"/>
          <w:sz w:val="24"/>
          <w:szCs w:val="24"/>
        </w:rPr>
      </w:pPr>
      <w:r w:rsidRPr="00C628FD">
        <w:rPr>
          <w:rFonts w:ascii="Arial" w:hAnsi="Arial" w:cs="Arial"/>
          <w:sz w:val="24"/>
          <w:szCs w:val="24"/>
        </w:rPr>
        <w:t>WWF &amp; SNV. (2013). Guía práctica para la valoración de servicios ecosistémicos en Madre de Dios.</w:t>
      </w:r>
    </w:p>
    <w:sectPr w:rsidR="00C628FD" w:rsidRPr="00C628F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71131" w14:textId="77777777" w:rsidR="00F83504" w:rsidRDefault="00F83504" w:rsidP="00C628FD">
      <w:pPr>
        <w:spacing w:after="0" w:line="240" w:lineRule="auto"/>
      </w:pPr>
      <w:r>
        <w:separator/>
      </w:r>
    </w:p>
  </w:endnote>
  <w:endnote w:type="continuationSeparator" w:id="0">
    <w:p w14:paraId="32498E3E" w14:textId="77777777" w:rsidR="00F83504" w:rsidRDefault="00F83504" w:rsidP="00C6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EE25A" w14:textId="77777777" w:rsidR="00F83504" w:rsidRDefault="00F83504" w:rsidP="00C628FD">
      <w:pPr>
        <w:spacing w:after="0" w:line="240" w:lineRule="auto"/>
      </w:pPr>
      <w:r>
        <w:separator/>
      </w:r>
    </w:p>
  </w:footnote>
  <w:footnote w:type="continuationSeparator" w:id="0">
    <w:p w14:paraId="0D2B9FA2" w14:textId="77777777" w:rsidR="00F83504" w:rsidRDefault="00F83504" w:rsidP="00C62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8DF2" w14:textId="758230C2" w:rsidR="00C628FD" w:rsidRPr="00C628FD" w:rsidRDefault="00C628FD" w:rsidP="00C628FD">
    <w:pPr>
      <w:pStyle w:val="Encabezado"/>
      <w:jc w:val="right"/>
      <w:rPr>
        <w:rFonts w:ascii="Arial" w:hAnsi="Arial" w:cs="Arial"/>
        <w:b/>
        <w:bCs/>
        <w:sz w:val="24"/>
        <w:szCs w:val="24"/>
        <w:lang w:val="en-US"/>
      </w:rPr>
    </w:pPr>
    <w:r w:rsidRPr="00C628FD">
      <w:rPr>
        <w:rFonts w:ascii="Arial" w:hAnsi="Arial" w:cs="Arial"/>
        <w:b/>
        <w:bCs/>
        <w:sz w:val="24"/>
        <w:szCs w:val="24"/>
        <w:lang w:val="en-US"/>
      </w:rPr>
      <w:t>Tony Giler Vera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C0A"/>
    <w:rsid w:val="0024762E"/>
    <w:rsid w:val="002815B8"/>
    <w:rsid w:val="003300A3"/>
    <w:rsid w:val="00351698"/>
    <w:rsid w:val="003528A8"/>
    <w:rsid w:val="004B4612"/>
    <w:rsid w:val="00547509"/>
    <w:rsid w:val="0065728E"/>
    <w:rsid w:val="007C095B"/>
    <w:rsid w:val="007E250D"/>
    <w:rsid w:val="00970DF9"/>
    <w:rsid w:val="00AE58B6"/>
    <w:rsid w:val="00B37C9E"/>
    <w:rsid w:val="00B90C50"/>
    <w:rsid w:val="00BA5CCB"/>
    <w:rsid w:val="00BD31F2"/>
    <w:rsid w:val="00C06C0A"/>
    <w:rsid w:val="00C628FD"/>
    <w:rsid w:val="00F835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44E7C"/>
  <w15:chartTrackingRefBased/>
  <w15:docId w15:val="{8CF7EE72-DC00-4E76-84B1-F8818BCC9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C"/>
    </w:rPr>
  </w:style>
  <w:style w:type="paragraph" w:styleId="Ttulo1">
    <w:name w:val="heading 1"/>
    <w:basedOn w:val="Normal"/>
    <w:next w:val="Normal"/>
    <w:link w:val="Ttulo1Car"/>
    <w:uiPriority w:val="9"/>
    <w:qFormat/>
    <w:rsid w:val="00C06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06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06C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06C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06C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06C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6C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6C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6C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6C0A"/>
    <w:rPr>
      <w:rFonts w:asciiTheme="majorHAnsi" w:eastAsiaTheme="majorEastAsia" w:hAnsiTheme="majorHAnsi" w:cstheme="majorBidi"/>
      <w:color w:val="0F4761" w:themeColor="accent1" w:themeShade="BF"/>
      <w:sz w:val="40"/>
      <w:szCs w:val="40"/>
      <w:lang w:val="es-EC"/>
    </w:rPr>
  </w:style>
  <w:style w:type="character" w:customStyle="1" w:styleId="Ttulo2Car">
    <w:name w:val="Título 2 Car"/>
    <w:basedOn w:val="Fuentedeprrafopredeter"/>
    <w:link w:val="Ttulo2"/>
    <w:uiPriority w:val="9"/>
    <w:semiHidden/>
    <w:rsid w:val="00C06C0A"/>
    <w:rPr>
      <w:rFonts w:asciiTheme="majorHAnsi" w:eastAsiaTheme="majorEastAsia" w:hAnsiTheme="majorHAnsi" w:cstheme="majorBidi"/>
      <w:color w:val="0F4761" w:themeColor="accent1" w:themeShade="BF"/>
      <w:sz w:val="32"/>
      <w:szCs w:val="32"/>
      <w:lang w:val="es-EC"/>
    </w:rPr>
  </w:style>
  <w:style w:type="character" w:customStyle="1" w:styleId="Ttulo3Car">
    <w:name w:val="Título 3 Car"/>
    <w:basedOn w:val="Fuentedeprrafopredeter"/>
    <w:link w:val="Ttulo3"/>
    <w:uiPriority w:val="9"/>
    <w:semiHidden/>
    <w:rsid w:val="00C06C0A"/>
    <w:rPr>
      <w:rFonts w:eastAsiaTheme="majorEastAsia" w:cstheme="majorBidi"/>
      <w:color w:val="0F4761" w:themeColor="accent1" w:themeShade="BF"/>
      <w:sz w:val="28"/>
      <w:szCs w:val="28"/>
      <w:lang w:val="es-EC"/>
    </w:rPr>
  </w:style>
  <w:style w:type="character" w:customStyle="1" w:styleId="Ttulo4Car">
    <w:name w:val="Título 4 Car"/>
    <w:basedOn w:val="Fuentedeprrafopredeter"/>
    <w:link w:val="Ttulo4"/>
    <w:uiPriority w:val="9"/>
    <w:semiHidden/>
    <w:rsid w:val="00C06C0A"/>
    <w:rPr>
      <w:rFonts w:eastAsiaTheme="majorEastAsia" w:cstheme="majorBidi"/>
      <w:i/>
      <w:iCs/>
      <w:color w:val="0F4761" w:themeColor="accent1" w:themeShade="BF"/>
      <w:lang w:val="es-EC"/>
    </w:rPr>
  </w:style>
  <w:style w:type="character" w:customStyle="1" w:styleId="Ttulo5Car">
    <w:name w:val="Título 5 Car"/>
    <w:basedOn w:val="Fuentedeprrafopredeter"/>
    <w:link w:val="Ttulo5"/>
    <w:uiPriority w:val="9"/>
    <w:semiHidden/>
    <w:rsid w:val="00C06C0A"/>
    <w:rPr>
      <w:rFonts w:eastAsiaTheme="majorEastAsia" w:cstheme="majorBidi"/>
      <w:color w:val="0F4761" w:themeColor="accent1" w:themeShade="BF"/>
      <w:lang w:val="es-EC"/>
    </w:rPr>
  </w:style>
  <w:style w:type="character" w:customStyle="1" w:styleId="Ttulo6Car">
    <w:name w:val="Título 6 Car"/>
    <w:basedOn w:val="Fuentedeprrafopredeter"/>
    <w:link w:val="Ttulo6"/>
    <w:uiPriority w:val="9"/>
    <w:semiHidden/>
    <w:rsid w:val="00C06C0A"/>
    <w:rPr>
      <w:rFonts w:eastAsiaTheme="majorEastAsia" w:cstheme="majorBidi"/>
      <w:i/>
      <w:iCs/>
      <w:color w:val="595959" w:themeColor="text1" w:themeTint="A6"/>
      <w:lang w:val="es-EC"/>
    </w:rPr>
  </w:style>
  <w:style w:type="character" w:customStyle="1" w:styleId="Ttulo7Car">
    <w:name w:val="Título 7 Car"/>
    <w:basedOn w:val="Fuentedeprrafopredeter"/>
    <w:link w:val="Ttulo7"/>
    <w:uiPriority w:val="9"/>
    <w:semiHidden/>
    <w:rsid w:val="00C06C0A"/>
    <w:rPr>
      <w:rFonts w:eastAsiaTheme="majorEastAsia" w:cstheme="majorBidi"/>
      <w:color w:val="595959" w:themeColor="text1" w:themeTint="A6"/>
      <w:lang w:val="es-EC"/>
    </w:rPr>
  </w:style>
  <w:style w:type="character" w:customStyle="1" w:styleId="Ttulo8Car">
    <w:name w:val="Título 8 Car"/>
    <w:basedOn w:val="Fuentedeprrafopredeter"/>
    <w:link w:val="Ttulo8"/>
    <w:uiPriority w:val="9"/>
    <w:semiHidden/>
    <w:rsid w:val="00C06C0A"/>
    <w:rPr>
      <w:rFonts w:eastAsiaTheme="majorEastAsia" w:cstheme="majorBidi"/>
      <w:i/>
      <w:iCs/>
      <w:color w:val="272727" w:themeColor="text1" w:themeTint="D8"/>
      <w:lang w:val="es-EC"/>
    </w:rPr>
  </w:style>
  <w:style w:type="character" w:customStyle="1" w:styleId="Ttulo9Car">
    <w:name w:val="Título 9 Car"/>
    <w:basedOn w:val="Fuentedeprrafopredeter"/>
    <w:link w:val="Ttulo9"/>
    <w:uiPriority w:val="9"/>
    <w:semiHidden/>
    <w:rsid w:val="00C06C0A"/>
    <w:rPr>
      <w:rFonts w:eastAsiaTheme="majorEastAsia" w:cstheme="majorBidi"/>
      <w:color w:val="272727" w:themeColor="text1" w:themeTint="D8"/>
      <w:lang w:val="es-EC"/>
    </w:rPr>
  </w:style>
  <w:style w:type="paragraph" w:styleId="Ttulo">
    <w:name w:val="Title"/>
    <w:basedOn w:val="Normal"/>
    <w:next w:val="Normal"/>
    <w:link w:val="TtuloCar"/>
    <w:uiPriority w:val="10"/>
    <w:qFormat/>
    <w:rsid w:val="00C06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6C0A"/>
    <w:rPr>
      <w:rFonts w:asciiTheme="majorHAnsi" w:eastAsiaTheme="majorEastAsia" w:hAnsiTheme="majorHAnsi" w:cstheme="majorBidi"/>
      <w:spacing w:val="-10"/>
      <w:kern w:val="28"/>
      <w:sz w:val="56"/>
      <w:szCs w:val="56"/>
      <w:lang w:val="es-EC"/>
    </w:rPr>
  </w:style>
  <w:style w:type="paragraph" w:styleId="Subttulo">
    <w:name w:val="Subtitle"/>
    <w:basedOn w:val="Normal"/>
    <w:next w:val="Normal"/>
    <w:link w:val="SubttuloCar"/>
    <w:uiPriority w:val="11"/>
    <w:qFormat/>
    <w:rsid w:val="00C06C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6C0A"/>
    <w:rPr>
      <w:rFonts w:eastAsiaTheme="majorEastAsia" w:cstheme="majorBidi"/>
      <w:color w:val="595959" w:themeColor="text1" w:themeTint="A6"/>
      <w:spacing w:val="15"/>
      <w:sz w:val="28"/>
      <w:szCs w:val="28"/>
      <w:lang w:val="es-EC"/>
    </w:rPr>
  </w:style>
  <w:style w:type="paragraph" w:styleId="Cita">
    <w:name w:val="Quote"/>
    <w:basedOn w:val="Normal"/>
    <w:next w:val="Normal"/>
    <w:link w:val="CitaCar"/>
    <w:uiPriority w:val="29"/>
    <w:qFormat/>
    <w:rsid w:val="00C06C0A"/>
    <w:pPr>
      <w:spacing w:before="160"/>
      <w:jc w:val="center"/>
    </w:pPr>
    <w:rPr>
      <w:i/>
      <w:iCs/>
      <w:color w:val="404040" w:themeColor="text1" w:themeTint="BF"/>
    </w:rPr>
  </w:style>
  <w:style w:type="character" w:customStyle="1" w:styleId="CitaCar">
    <w:name w:val="Cita Car"/>
    <w:basedOn w:val="Fuentedeprrafopredeter"/>
    <w:link w:val="Cita"/>
    <w:uiPriority w:val="29"/>
    <w:rsid w:val="00C06C0A"/>
    <w:rPr>
      <w:i/>
      <w:iCs/>
      <w:color w:val="404040" w:themeColor="text1" w:themeTint="BF"/>
      <w:lang w:val="es-EC"/>
    </w:rPr>
  </w:style>
  <w:style w:type="paragraph" w:styleId="Prrafodelista">
    <w:name w:val="List Paragraph"/>
    <w:basedOn w:val="Normal"/>
    <w:uiPriority w:val="34"/>
    <w:qFormat/>
    <w:rsid w:val="00C06C0A"/>
    <w:pPr>
      <w:ind w:left="720"/>
      <w:contextualSpacing/>
    </w:pPr>
  </w:style>
  <w:style w:type="character" w:styleId="nfasisintenso">
    <w:name w:val="Intense Emphasis"/>
    <w:basedOn w:val="Fuentedeprrafopredeter"/>
    <w:uiPriority w:val="21"/>
    <w:qFormat/>
    <w:rsid w:val="00C06C0A"/>
    <w:rPr>
      <w:i/>
      <w:iCs/>
      <w:color w:val="0F4761" w:themeColor="accent1" w:themeShade="BF"/>
    </w:rPr>
  </w:style>
  <w:style w:type="paragraph" w:styleId="Citadestacada">
    <w:name w:val="Intense Quote"/>
    <w:basedOn w:val="Normal"/>
    <w:next w:val="Normal"/>
    <w:link w:val="CitadestacadaCar"/>
    <w:uiPriority w:val="30"/>
    <w:qFormat/>
    <w:rsid w:val="00C06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6C0A"/>
    <w:rPr>
      <w:i/>
      <w:iCs/>
      <w:color w:val="0F4761" w:themeColor="accent1" w:themeShade="BF"/>
      <w:lang w:val="es-EC"/>
    </w:rPr>
  </w:style>
  <w:style w:type="character" w:styleId="Referenciaintensa">
    <w:name w:val="Intense Reference"/>
    <w:basedOn w:val="Fuentedeprrafopredeter"/>
    <w:uiPriority w:val="32"/>
    <w:qFormat/>
    <w:rsid w:val="00C06C0A"/>
    <w:rPr>
      <w:b/>
      <w:bCs/>
      <w:smallCaps/>
      <w:color w:val="0F4761" w:themeColor="accent1" w:themeShade="BF"/>
      <w:spacing w:val="5"/>
    </w:rPr>
  </w:style>
  <w:style w:type="character" w:styleId="Hipervnculo">
    <w:name w:val="Hyperlink"/>
    <w:basedOn w:val="Fuentedeprrafopredeter"/>
    <w:uiPriority w:val="99"/>
    <w:unhideWhenUsed/>
    <w:rsid w:val="00C628FD"/>
    <w:rPr>
      <w:color w:val="467886" w:themeColor="hyperlink"/>
      <w:u w:val="single"/>
    </w:rPr>
  </w:style>
  <w:style w:type="character" w:styleId="Mencinsinresolver">
    <w:name w:val="Unresolved Mention"/>
    <w:basedOn w:val="Fuentedeprrafopredeter"/>
    <w:uiPriority w:val="99"/>
    <w:semiHidden/>
    <w:unhideWhenUsed/>
    <w:rsid w:val="00C628FD"/>
    <w:rPr>
      <w:color w:val="605E5C"/>
      <w:shd w:val="clear" w:color="auto" w:fill="E1DFDD"/>
    </w:rPr>
  </w:style>
  <w:style w:type="paragraph" w:styleId="Encabezado">
    <w:name w:val="header"/>
    <w:basedOn w:val="Normal"/>
    <w:link w:val="EncabezadoCar"/>
    <w:uiPriority w:val="99"/>
    <w:unhideWhenUsed/>
    <w:rsid w:val="00C628F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C628FD"/>
    <w:rPr>
      <w:lang w:val="es-EC"/>
    </w:rPr>
  </w:style>
  <w:style w:type="paragraph" w:styleId="Piedepgina">
    <w:name w:val="footer"/>
    <w:basedOn w:val="Normal"/>
    <w:link w:val="PiedepginaCar"/>
    <w:uiPriority w:val="99"/>
    <w:unhideWhenUsed/>
    <w:rsid w:val="00C628F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C628FD"/>
    <w:rPr>
      <w:lang w:val="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5359/abra.42-65.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877</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Misael Giler Vera</dc:creator>
  <cp:keywords/>
  <dc:description/>
  <cp:lastModifiedBy>Tony Misael Giler Vera</cp:lastModifiedBy>
  <cp:revision>5</cp:revision>
  <dcterms:created xsi:type="dcterms:W3CDTF">2025-06-26T01:49:00Z</dcterms:created>
  <dcterms:modified xsi:type="dcterms:W3CDTF">2025-07-04T18:38:00Z</dcterms:modified>
</cp:coreProperties>
</file>