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1BD9B0" w14:textId="77777777" w:rsidR="00905D45" w:rsidRPr="00905D45" w:rsidRDefault="00905D45" w:rsidP="006D3975">
      <w:pPr>
        <w:jc w:val="both"/>
        <w:rPr>
          <w:rFonts w:ascii="Arial Narrow" w:hAnsi="Arial Narrow"/>
        </w:rPr>
      </w:pPr>
      <w:r w:rsidRPr="00905D45">
        <w:rPr>
          <w:rFonts w:ascii="Arial Narrow" w:hAnsi="Arial Narrow"/>
        </w:rPr>
        <w:t>Componente escrito para el perfil C7 - Departamento de Ingeniería Civil y Agrícola</w:t>
      </w:r>
    </w:p>
    <w:p w14:paraId="5A7B008A" w14:textId="77777777" w:rsidR="00905D45" w:rsidRPr="00905D45" w:rsidRDefault="00905D45" w:rsidP="006D3975">
      <w:pPr>
        <w:jc w:val="both"/>
        <w:rPr>
          <w:rFonts w:ascii="Arial Narrow" w:hAnsi="Arial Narrow"/>
        </w:rPr>
      </w:pPr>
      <w:r w:rsidRPr="00905D45">
        <w:rPr>
          <w:rFonts w:ascii="Arial Narrow" w:hAnsi="Arial Narrow"/>
        </w:rPr>
        <w:t xml:space="preserve">Nombre: </w:t>
      </w:r>
      <w:r w:rsidRPr="00905D45">
        <w:rPr>
          <w:rFonts w:ascii="Arial Narrow" w:hAnsi="Arial Narrow"/>
        </w:rPr>
        <w:tab/>
        <w:t>WILLIAM MAURICIO GARCIA FERIA</w:t>
      </w:r>
    </w:p>
    <w:p w14:paraId="3BD0928A" w14:textId="77777777" w:rsidR="00905D45" w:rsidRPr="00905D45" w:rsidRDefault="00905D45" w:rsidP="006D3975">
      <w:pPr>
        <w:jc w:val="both"/>
        <w:rPr>
          <w:rFonts w:ascii="Arial Narrow" w:hAnsi="Arial Narrow"/>
        </w:rPr>
      </w:pPr>
      <w:r w:rsidRPr="00905D45">
        <w:rPr>
          <w:rFonts w:ascii="Arial Narrow" w:hAnsi="Arial Narrow"/>
        </w:rPr>
        <w:t xml:space="preserve">CC: </w:t>
      </w:r>
      <w:r w:rsidRPr="00905D45">
        <w:rPr>
          <w:rFonts w:ascii="Arial Narrow" w:hAnsi="Arial Narrow"/>
        </w:rPr>
        <w:tab/>
      </w:r>
      <w:r w:rsidRPr="00905D45">
        <w:rPr>
          <w:rFonts w:ascii="Arial Narrow" w:hAnsi="Arial Narrow"/>
        </w:rPr>
        <w:tab/>
        <w:t>79953674</w:t>
      </w:r>
    </w:p>
    <w:p w14:paraId="4B927AE5" w14:textId="77777777" w:rsidR="00905D45" w:rsidRPr="00905D45" w:rsidRDefault="00905D45" w:rsidP="006D3975">
      <w:pPr>
        <w:jc w:val="both"/>
        <w:rPr>
          <w:rFonts w:ascii="Arial Narrow" w:hAnsi="Arial Narrow"/>
        </w:rPr>
      </w:pPr>
      <w:r w:rsidRPr="00905D45">
        <w:rPr>
          <w:rFonts w:ascii="Arial Narrow" w:hAnsi="Arial Narrow"/>
        </w:rPr>
        <w:t>Este documento corresponde al componente escrito para aspirar al cargo C7 del concurso profesoral 2024 de la Facultad de Ingeniería según la resolución 2421 del 5 de junio de 2024.</w:t>
      </w:r>
    </w:p>
    <w:p w14:paraId="4D8176F6" w14:textId="77777777" w:rsidR="00905D45" w:rsidRPr="00905D45" w:rsidRDefault="00905D45" w:rsidP="006D3975">
      <w:pPr>
        <w:jc w:val="both"/>
        <w:rPr>
          <w:rFonts w:ascii="Arial Narrow" w:hAnsi="Arial Narrow"/>
        </w:rPr>
      </w:pPr>
    </w:p>
    <w:p w14:paraId="7ABD980D" w14:textId="77777777" w:rsidR="00905D45" w:rsidRPr="00905D45" w:rsidRDefault="00905D45" w:rsidP="006D3975">
      <w:pPr>
        <w:jc w:val="both"/>
        <w:rPr>
          <w:rFonts w:ascii="Arial Narrow" w:hAnsi="Arial Narrow"/>
        </w:rPr>
      </w:pPr>
      <w:r w:rsidRPr="00905D45">
        <w:rPr>
          <w:rFonts w:ascii="Arial Narrow" w:hAnsi="Arial Narrow"/>
        </w:rPr>
        <w:t>1.</w:t>
      </w:r>
      <w:r w:rsidRPr="00905D45">
        <w:rPr>
          <w:rFonts w:ascii="Arial Narrow" w:hAnsi="Arial Narrow"/>
        </w:rPr>
        <w:tab/>
        <w:t>JUSTIFICACIÓN</w:t>
      </w:r>
    </w:p>
    <w:p w14:paraId="65D58C55" w14:textId="77777777" w:rsidR="00905D45" w:rsidRPr="00905D45" w:rsidRDefault="00905D45" w:rsidP="006D3975">
      <w:pPr>
        <w:jc w:val="both"/>
        <w:rPr>
          <w:rFonts w:ascii="Arial Narrow" w:hAnsi="Arial Narrow"/>
        </w:rPr>
      </w:pPr>
      <w:r w:rsidRPr="00905D45">
        <w:rPr>
          <w:rFonts w:ascii="Arial Narrow" w:hAnsi="Arial Narrow"/>
        </w:rPr>
        <w:t>El territorio colombiano ha experimentado durante las últimas décadas la ocurrencia de desastres naturales con un alto componente de responsabilidad social. El reconocimiento de esta componente social ha permitido que la sociedad en general admita que los desastres no son solo el producto del azar de la naturaleza, si no que un alto porcentaje de responsabilidad recae en la influencia de las actividades humanas sobre el suelo, el clima y en general las fuerzas externas que impactan el equilibrio natural. Este reconocimiento ha llevado a cambiar incluso el lenguaje de los medios de comunicación y es común emplear definiciones como desastres de origen socio – natural o desastres de origen antrópico.</w:t>
      </w:r>
    </w:p>
    <w:p w14:paraId="4C757557" w14:textId="77777777" w:rsidR="00905D45" w:rsidRPr="00905D45" w:rsidRDefault="00905D45" w:rsidP="006D3975">
      <w:pPr>
        <w:jc w:val="both"/>
        <w:rPr>
          <w:rFonts w:ascii="Arial Narrow" w:hAnsi="Arial Narrow"/>
        </w:rPr>
      </w:pPr>
      <w:r w:rsidRPr="00905D45">
        <w:rPr>
          <w:rFonts w:ascii="Arial Narrow" w:hAnsi="Arial Narrow"/>
        </w:rPr>
        <w:t>A la par de este reconocimiento, la comunidad científica y académica, tanto nacional como internacional, ha evidenciado la urgencia de contar con un marco metodológico para el estudio de los riesgos generados por estos desastres. Entre ellos, los riesgos asociados a los movimientos en masa son de especial interés porque impactan considerablemente la seguridad, la calidad de vida, el medio ambiente y el desarrollo sostenible de los territorios.  En el caso colombiano, desde la ocurrencia del desastre de Armero y en especial a partir de la década de 1990 se han generado normas, guías y recomendaciones para el ordenamiento de los territorios lideradas por el Servicio Geológico Colombiano (antes INGEOMINAS). Se destacan la Guía Metodológica para la Zonificación de Amenaza por Movimientos en Masa Escala 1:25.000 (SGC, 2017) y la Guía Metodológica para Estudios de Amenaza, Vulnerabilidad y Riesgo por Movimientos en Masa (SGC, 2016).</w:t>
      </w:r>
    </w:p>
    <w:p w14:paraId="512369FD" w14:textId="18FC4E0B" w:rsidR="00905D45" w:rsidRPr="00905D45" w:rsidRDefault="00905D45" w:rsidP="006D3975">
      <w:pPr>
        <w:jc w:val="both"/>
        <w:rPr>
          <w:rFonts w:ascii="Arial Narrow" w:hAnsi="Arial Narrow"/>
        </w:rPr>
      </w:pPr>
      <w:r w:rsidRPr="00905D45">
        <w:rPr>
          <w:rFonts w:ascii="Arial Narrow" w:hAnsi="Arial Narrow"/>
        </w:rPr>
        <w:t xml:space="preserve">El marco de referencia para los estudios de riesgo por movimientos en masa ha sido adoptado de referencias internacionales e incluye en general 3 etapas: (1) análisis, (2) valoración y (3) manejo del riesgo. En la etapa (1) se caracteriza la amenaza representada por lo movimientos en masa, las consecuencias sobre los elementos expuestos y se estima el riesgo como una combinación de la amenaza y las consecuencias. Desde la práctica profesional se ha detectado que gran cantidad de ingenieros, incluso algunos con amplia experiencia, confunden o usan indistintamente los términos amenaza y riesgo. Es común encontrar reportes de “riesgo por deslizamientos” en los que en realidad se llega solo a un alcance de amenaza sin caracterizar los elementos expuesto y sin hacer una estimación de las consecuencias. En opinión del autor, la correcta aplicación de las metodologías para la evaluación del riesgo por movimientos en </w:t>
      </w:r>
      <w:r w:rsidR="00BF6281" w:rsidRPr="00905D45">
        <w:rPr>
          <w:rFonts w:ascii="Arial Narrow" w:hAnsi="Arial Narrow"/>
        </w:rPr>
        <w:t>masa</w:t>
      </w:r>
      <w:r w:rsidRPr="00905D45">
        <w:rPr>
          <w:rFonts w:ascii="Arial Narrow" w:hAnsi="Arial Narrow"/>
        </w:rPr>
        <w:t xml:space="preserve"> inicia desde la correcta definición y uso de la terminología asociada a</w:t>
      </w:r>
      <w:r w:rsidR="00403145">
        <w:rPr>
          <w:rFonts w:ascii="Arial Narrow" w:hAnsi="Arial Narrow"/>
        </w:rPr>
        <w:t xml:space="preserve"> los </w:t>
      </w:r>
      <w:r w:rsidRPr="00905D45">
        <w:rPr>
          <w:rFonts w:ascii="Arial Narrow" w:hAnsi="Arial Narrow"/>
        </w:rPr>
        <w:t>estudio</w:t>
      </w:r>
      <w:r w:rsidR="00403145">
        <w:rPr>
          <w:rFonts w:ascii="Arial Narrow" w:hAnsi="Arial Narrow"/>
        </w:rPr>
        <w:t>s</w:t>
      </w:r>
      <w:r w:rsidRPr="00905D45">
        <w:rPr>
          <w:rFonts w:ascii="Arial Narrow" w:hAnsi="Arial Narrow"/>
        </w:rPr>
        <w:t xml:space="preserve"> de riesgo; conocimiento que es adquirido durante </w:t>
      </w:r>
      <w:r w:rsidR="00837434">
        <w:rPr>
          <w:rFonts w:ascii="Arial Narrow" w:hAnsi="Arial Narrow"/>
        </w:rPr>
        <w:t xml:space="preserve">el pregrado </w:t>
      </w:r>
      <w:r w:rsidRPr="00905D45">
        <w:rPr>
          <w:rFonts w:ascii="Arial Narrow" w:hAnsi="Arial Narrow"/>
        </w:rPr>
        <w:t xml:space="preserve">y que en ocasiones se omite en los planes de estudio. </w:t>
      </w:r>
    </w:p>
    <w:p w14:paraId="56A5F184" w14:textId="2FE9CF83" w:rsidR="00905D45" w:rsidRPr="00905D45" w:rsidRDefault="00905D45" w:rsidP="006D3975">
      <w:pPr>
        <w:jc w:val="both"/>
        <w:rPr>
          <w:rFonts w:ascii="Arial Narrow" w:hAnsi="Arial Narrow"/>
        </w:rPr>
      </w:pPr>
      <w:r w:rsidRPr="00905D45">
        <w:rPr>
          <w:rFonts w:ascii="Arial Narrow" w:hAnsi="Arial Narrow"/>
        </w:rPr>
        <w:t xml:space="preserve">En la etapa (1) “análisis” es posible realizar estimaciones cualitativas y cuantitativas del riesgo y en general, los ingenieros conocen y aplican los conocimientos de la ingeniería geotécnica para </w:t>
      </w:r>
      <w:r w:rsidR="00F71792">
        <w:rPr>
          <w:rFonts w:ascii="Arial Narrow" w:hAnsi="Arial Narrow"/>
        </w:rPr>
        <w:t xml:space="preserve">su </w:t>
      </w:r>
      <w:r w:rsidRPr="00905D45">
        <w:rPr>
          <w:rFonts w:ascii="Arial Narrow" w:hAnsi="Arial Narrow"/>
        </w:rPr>
        <w:t xml:space="preserve">estimación. Sin embargo, es común que los conceptos de probabilidad y confiabilidad no se usen de manera correcta o incluso no se apliquen del todo para la estimación cuantitativa del riesgo. La mayoría de los estudios de riesgo, incluidos los planteados en las metodologías y las guías previamente citadas </w:t>
      </w:r>
      <w:r w:rsidR="00750E33">
        <w:rPr>
          <w:rFonts w:ascii="Arial Narrow" w:hAnsi="Arial Narrow"/>
        </w:rPr>
        <w:t xml:space="preserve">alcanzan solo </w:t>
      </w:r>
      <w:r w:rsidRPr="00905D45">
        <w:rPr>
          <w:rFonts w:ascii="Arial Narrow" w:hAnsi="Arial Narrow"/>
        </w:rPr>
        <w:t>una valoración cualitativa o semi-cuantitativa del riesgo en la que prevalece el juicio y la experiencia ingenieril.</w:t>
      </w:r>
    </w:p>
    <w:p w14:paraId="372F304B" w14:textId="373E5D72" w:rsidR="00905D45" w:rsidRPr="00905D45" w:rsidRDefault="00905D45" w:rsidP="006D3975">
      <w:pPr>
        <w:jc w:val="both"/>
        <w:rPr>
          <w:rFonts w:ascii="Arial Narrow" w:hAnsi="Arial Narrow"/>
        </w:rPr>
      </w:pPr>
      <w:r w:rsidRPr="00905D45">
        <w:rPr>
          <w:rFonts w:ascii="Arial Narrow" w:hAnsi="Arial Narrow"/>
        </w:rPr>
        <w:t xml:space="preserve">La etapa (2) “valoración del riesgo”, es difícil de encontrar en reportes geotécnicos. La valoración consiste en comparar los resultados de la estimación del riesgo con criterios previamente definidos por la comunidad involucrada en la </w:t>
      </w:r>
      <w:r w:rsidRPr="00905D45">
        <w:rPr>
          <w:rFonts w:ascii="Arial Narrow" w:hAnsi="Arial Narrow"/>
        </w:rPr>
        <w:lastRenderedPageBreak/>
        <w:t>gestión del riesgo. Estos criterios están comúnmente definidos en términos de cantidad tolerable de pérdidas de vidas humanas (fatalidades), pérdidas económicas aceptables o daños máximo ambiental permitidos. La definición de estos criterios es una labor mancomunada de la sociedad y el estado.</w:t>
      </w:r>
    </w:p>
    <w:p w14:paraId="285C70D5" w14:textId="2B9AC0DC" w:rsidR="00905D45" w:rsidRPr="00905D45" w:rsidRDefault="00905D45" w:rsidP="006D3975">
      <w:pPr>
        <w:jc w:val="both"/>
        <w:rPr>
          <w:rFonts w:ascii="Arial Narrow" w:hAnsi="Arial Narrow"/>
        </w:rPr>
      </w:pPr>
      <w:r w:rsidRPr="00905D45">
        <w:rPr>
          <w:rFonts w:ascii="Arial Narrow" w:hAnsi="Arial Narrow"/>
        </w:rPr>
        <w:t xml:space="preserve">Con relación con la etapa (3), es la etapa donde posiblemente se encuentre la mayor desconexión de la práctica de la ingeniería con las metodologías de evaluación del riesgo, al menos en los profesionales principiantes. Es común que los ingenieros recién egresados conozcan como realizar y ejecutar diseños de ingeniería geotécnica, pero es infrecuente que éstos reconozcan que cualquier diseño geotécnico esta siempre encaminado al manejo del riesgo. En opinión del autor los y las ingenieras civiles y en especial los geotecnistas involucrados en los análisis de movimientos en masa deben tener claridad que su labor esta siempre encaminada en el manejo del riesgo y que sus decisiones impactan directamente la vida y seguridad de las personas, la economía de los proyectos y el medio ambiente. </w:t>
      </w:r>
    </w:p>
    <w:p w14:paraId="7D616F12" w14:textId="77777777" w:rsidR="00905D45" w:rsidRPr="00905D45" w:rsidRDefault="00905D45" w:rsidP="006D3975">
      <w:pPr>
        <w:jc w:val="both"/>
        <w:rPr>
          <w:rFonts w:ascii="Arial Narrow" w:hAnsi="Arial Narrow"/>
        </w:rPr>
      </w:pPr>
    </w:p>
    <w:p w14:paraId="1DEF019F" w14:textId="77777777" w:rsidR="00905D45" w:rsidRPr="00905D45" w:rsidRDefault="00905D45" w:rsidP="006D3975">
      <w:pPr>
        <w:jc w:val="both"/>
        <w:rPr>
          <w:rFonts w:ascii="Arial Narrow" w:hAnsi="Arial Narrow"/>
        </w:rPr>
      </w:pPr>
      <w:r w:rsidRPr="00905D45">
        <w:rPr>
          <w:rFonts w:ascii="Arial Narrow" w:hAnsi="Arial Narrow"/>
        </w:rPr>
        <w:t>2.</w:t>
      </w:r>
      <w:r w:rsidRPr="00905D45">
        <w:rPr>
          <w:rFonts w:ascii="Arial Narrow" w:hAnsi="Arial Narrow"/>
        </w:rPr>
        <w:tab/>
        <w:t>OBJETIVOS</w:t>
      </w:r>
    </w:p>
    <w:p w14:paraId="1B5E9512" w14:textId="77777777" w:rsidR="00905D45" w:rsidRPr="00905D45" w:rsidRDefault="00905D45" w:rsidP="006D3975">
      <w:pPr>
        <w:jc w:val="both"/>
        <w:rPr>
          <w:rFonts w:ascii="Arial Narrow" w:hAnsi="Arial Narrow"/>
        </w:rPr>
      </w:pPr>
      <w:r w:rsidRPr="00905D45">
        <w:rPr>
          <w:rFonts w:ascii="Arial Narrow" w:hAnsi="Arial Narrow"/>
        </w:rPr>
        <w:t>Con base en lo descrito, el autor propone tres (3) objetivos directamente relacionados con la evaluación del riesgo por movimientos en masa que serán implementados en cada una de las actividades misionales de la Universidad (docencia, investigación, extensión):</w:t>
      </w:r>
    </w:p>
    <w:p w14:paraId="16898D50" w14:textId="4A445945" w:rsidR="00905D45" w:rsidRPr="00905D45" w:rsidRDefault="00905D45" w:rsidP="006D3975">
      <w:pPr>
        <w:jc w:val="both"/>
        <w:rPr>
          <w:rFonts w:ascii="Arial Narrow" w:hAnsi="Arial Narrow"/>
        </w:rPr>
      </w:pPr>
      <w:r w:rsidRPr="00905D45">
        <w:rPr>
          <w:rFonts w:ascii="Arial Narrow" w:hAnsi="Arial Narrow"/>
        </w:rPr>
        <w:t>(i)</w:t>
      </w:r>
      <w:r w:rsidRPr="00905D45">
        <w:rPr>
          <w:rFonts w:ascii="Arial Narrow" w:hAnsi="Arial Narrow"/>
        </w:rPr>
        <w:tab/>
        <w:t>La estimación del riesgo por movimientos en masa desde una perspectiva más cuantitativa que involucre conceptos de probabilidad y confiabilidad en los análisis.  La inclusión de la teoría de la probabilidad permite una evaluación más objetiva del riesgo y su comparación con otros riesgos derivados de actividades de la ingeniería. En este aspecto es importante la aplicación no solo de los conceptos de la estadística y probabilidad clásica, sino la aplicación de herramientas más recientes como redes neuronales y redes bayesianas en las cuales el autor tiene experiencia. Estas herramientas permiten incluso involucrar aspectos geológicos</w:t>
      </w:r>
      <w:r w:rsidR="00931289">
        <w:rPr>
          <w:rFonts w:ascii="Arial Narrow" w:hAnsi="Arial Narrow"/>
        </w:rPr>
        <w:t xml:space="preserve">, </w:t>
      </w:r>
      <w:r w:rsidRPr="00905D45">
        <w:rPr>
          <w:rFonts w:ascii="Arial Narrow" w:hAnsi="Arial Narrow"/>
        </w:rPr>
        <w:t>geomorfológicos</w:t>
      </w:r>
      <w:r w:rsidR="00931289">
        <w:rPr>
          <w:rFonts w:ascii="Arial Narrow" w:hAnsi="Arial Narrow"/>
        </w:rPr>
        <w:t xml:space="preserve"> y de clima</w:t>
      </w:r>
      <w:r w:rsidRPr="00905D45">
        <w:rPr>
          <w:rFonts w:ascii="Arial Narrow" w:hAnsi="Arial Narrow"/>
        </w:rPr>
        <w:t xml:space="preserve"> en la estimación y evaluación del riesgo por movimientos en masa.</w:t>
      </w:r>
    </w:p>
    <w:p w14:paraId="35FEEB43" w14:textId="77777777" w:rsidR="00905D45" w:rsidRPr="00905D45" w:rsidRDefault="00905D45" w:rsidP="006D3975">
      <w:pPr>
        <w:jc w:val="both"/>
        <w:rPr>
          <w:rFonts w:ascii="Arial Narrow" w:hAnsi="Arial Narrow"/>
        </w:rPr>
      </w:pPr>
    </w:p>
    <w:p w14:paraId="0F9441D5" w14:textId="77777777" w:rsidR="00905D45" w:rsidRPr="00905D45" w:rsidRDefault="00905D45" w:rsidP="006D3975">
      <w:pPr>
        <w:jc w:val="both"/>
        <w:rPr>
          <w:rFonts w:ascii="Arial Narrow" w:hAnsi="Arial Narrow"/>
        </w:rPr>
      </w:pPr>
      <w:r w:rsidRPr="00905D45">
        <w:rPr>
          <w:rFonts w:ascii="Arial Narrow" w:hAnsi="Arial Narrow"/>
        </w:rPr>
        <w:t>(ii)</w:t>
      </w:r>
      <w:r w:rsidRPr="00905D45">
        <w:rPr>
          <w:rFonts w:ascii="Arial Narrow" w:hAnsi="Arial Narrow"/>
        </w:rPr>
        <w:tab/>
        <w:t>El reconocimiento de la transversalidad de los conceptos de riesgo en el estudio de los movimientos en masa desde el enfoque geotécnico. Este reconocimiento focaliza la actividad de los diseños geotécnicos y propone un objetivo común que se traduce en la gestión del riesgo. Es decir, se cambia el enfoque de los diseños geotécnicos de cumplir con factores de seguridad mínimos a un enfoque más amplio y racional que involucra la reducción del riesgo de fatalidades, pérdidas económicas y daños ambientales.</w:t>
      </w:r>
    </w:p>
    <w:p w14:paraId="45AE4FB6" w14:textId="77777777" w:rsidR="00905D45" w:rsidRPr="00905D45" w:rsidRDefault="00905D45" w:rsidP="006D3975">
      <w:pPr>
        <w:jc w:val="both"/>
        <w:rPr>
          <w:rFonts w:ascii="Arial Narrow" w:hAnsi="Arial Narrow"/>
        </w:rPr>
      </w:pPr>
    </w:p>
    <w:p w14:paraId="4B34CFF5" w14:textId="21ABAE32" w:rsidR="00905D45" w:rsidRPr="00905D45" w:rsidRDefault="00905D45" w:rsidP="006D3975">
      <w:pPr>
        <w:jc w:val="both"/>
        <w:rPr>
          <w:rFonts w:ascii="Arial Narrow" w:hAnsi="Arial Narrow"/>
        </w:rPr>
      </w:pPr>
      <w:r w:rsidRPr="00905D45">
        <w:rPr>
          <w:rFonts w:ascii="Arial Narrow" w:hAnsi="Arial Narrow"/>
        </w:rPr>
        <w:t>(iii)</w:t>
      </w:r>
      <w:r w:rsidRPr="00905D45">
        <w:rPr>
          <w:rFonts w:ascii="Arial Narrow" w:hAnsi="Arial Narrow"/>
        </w:rPr>
        <w:tab/>
        <w:t>La inclusión e implementación de conceptos de resiliencia, lo cual permit</w:t>
      </w:r>
      <w:r w:rsidR="00616827">
        <w:rPr>
          <w:rFonts w:ascii="Arial Narrow" w:hAnsi="Arial Narrow"/>
        </w:rPr>
        <w:t>e</w:t>
      </w:r>
      <w:r w:rsidRPr="00905D45">
        <w:rPr>
          <w:rFonts w:ascii="Arial Narrow" w:hAnsi="Arial Narrow"/>
        </w:rPr>
        <w:t xml:space="preserve"> entender las estructuras geotécnicas desde una perspectiva dinámica en la que la influencia de factores externos como clima, sismos y otras fuerzas pueden impactar su comportamiento. En especial, los conceptos de resiliencia en sistemas geotécnicos </w:t>
      </w:r>
      <w:r w:rsidR="00827C82">
        <w:rPr>
          <w:rFonts w:ascii="Arial Narrow" w:hAnsi="Arial Narrow"/>
        </w:rPr>
        <w:t xml:space="preserve">se abordarán </w:t>
      </w:r>
      <w:r w:rsidRPr="00905D45">
        <w:rPr>
          <w:rFonts w:ascii="Arial Narrow" w:hAnsi="Arial Narrow"/>
        </w:rPr>
        <w:t xml:space="preserve">desde una perspectiva de </w:t>
      </w:r>
      <w:r w:rsidR="001531D0">
        <w:rPr>
          <w:rFonts w:ascii="Arial Narrow" w:hAnsi="Arial Narrow"/>
        </w:rPr>
        <w:t xml:space="preserve">la </w:t>
      </w:r>
      <w:r w:rsidRPr="00905D45">
        <w:rPr>
          <w:rFonts w:ascii="Arial Narrow" w:hAnsi="Arial Narrow"/>
        </w:rPr>
        <w:t xml:space="preserve">reducción de la vulnerabilidad, </w:t>
      </w:r>
      <w:r w:rsidR="001531D0">
        <w:rPr>
          <w:rFonts w:ascii="Arial Narrow" w:hAnsi="Arial Narrow"/>
        </w:rPr>
        <w:t xml:space="preserve">incremento de la </w:t>
      </w:r>
      <w:r w:rsidRPr="00905D45">
        <w:rPr>
          <w:rFonts w:ascii="Arial Narrow" w:hAnsi="Arial Narrow"/>
        </w:rPr>
        <w:t xml:space="preserve">robustez y capacidad de recuperación del sistema (Kammouh, O. et al, 2020).  </w:t>
      </w:r>
    </w:p>
    <w:p w14:paraId="441AD7D9" w14:textId="77777777" w:rsidR="00905D45" w:rsidRDefault="00905D45" w:rsidP="006D3975">
      <w:pPr>
        <w:jc w:val="both"/>
        <w:rPr>
          <w:rFonts w:ascii="Arial Narrow" w:hAnsi="Arial Narrow"/>
        </w:rPr>
      </w:pPr>
    </w:p>
    <w:p w14:paraId="54D7849C" w14:textId="77777777" w:rsidR="00905D45" w:rsidRPr="00905D45" w:rsidRDefault="00905D45" w:rsidP="006D3975">
      <w:pPr>
        <w:jc w:val="both"/>
        <w:rPr>
          <w:rFonts w:ascii="Arial Narrow" w:hAnsi="Arial Narrow"/>
        </w:rPr>
      </w:pPr>
      <w:r w:rsidRPr="00905D45">
        <w:rPr>
          <w:rFonts w:ascii="Arial Narrow" w:hAnsi="Arial Narrow"/>
        </w:rPr>
        <w:t>3.</w:t>
      </w:r>
      <w:r w:rsidRPr="00905D45">
        <w:rPr>
          <w:rFonts w:ascii="Arial Narrow" w:hAnsi="Arial Narrow"/>
        </w:rPr>
        <w:tab/>
        <w:t>PROPUESTA DEL COMPONENTE DE DOCENCIA</w:t>
      </w:r>
    </w:p>
    <w:p w14:paraId="0F5374F6" w14:textId="09A66D1D" w:rsidR="00905D45" w:rsidRPr="00905D45" w:rsidRDefault="00905D45" w:rsidP="006D3975">
      <w:pPr>
        <w:jc w:val="both"/>
        <w:rPr>
          <w:rFonts w:ascii="Arial Narrow" w:hAnsi="Arial Narrow"/>
        </w:rPr>
      </w:pPr>
      <w:r w:rsidRPr="00905D45">
        <w:rPr>
          <w:rFonts w:ascii="Arial Narrow" w:hAnsi="Arial Narrow"/>
        </w:rPr>
        <w:t xml:space="preserve">La propuesta de la componente de docencia </w:t>
      </w:r>
      <w:r w:rsidRPr="00905D45">
        <w:rPr>
          <w:rFonts w:ascii="Arial Narrow" w:hAnsi="Arial Narrow"/>
        </w:rPr>
        <w:t>está</w:t>
      </w:r>
      <w:r w:rsidRPr="00905D45">
        <w:rPr>
          <w:rFonts w:ascii="Arial Narrow" w:hAnsi="Arial Narrow"/>
        </w:rPr>
        <w:t xml:space="preserve"> enfocada en la conexión de los conceptos básicos y tradicionales de la geotécnica de estabilidad de taludes, fenómenos de remoción en masa y análisis de riesgo con la implementación de herramientas tecnológicas recientes para su evaluación. Por ejemplo, los métodos de análisis de taludes, la evaluación de la amenaza, la vulnerabilidad y el riesgo pueden ser conectados con herramientas de análisis de datos </w:t>
      </w:r>
      <w:r w:rsidRPr="00905D45">
        <w:rPr>
          <w:rFonts w:ascii="Arial Narrow" w:hAnsi="Arial Narrow"/>
        </w:rPr>
        <w:lastRenderedPageBreak/>
        <w:t>y modelos predictivos para la caracterización, predicción y evaluación de fenómenos de remoción en masa. Dicha conexión puede lograrse mediante el aprendizaje basad</w:t>
      </w:r>
      <w:r w:rsidR="00334CF2">
        <w:rPr>
          <w:rFonts w:ascii="Arial Narrow" w:hAnsi="Arial Narrow"/>
        </w:rPr>
        <w:t>o</w:t>
      </w:r>
      <w:r w:rsidRPr="00905D45">
        <w:rPr>
          <w:rFonts w:ascii="Arial Narrow" w:hAnsi="Arial Narrow"/>
        </w:rPr>
        <w:t xml:space="preserve"> en proyectos y el uso de información disponible que permita a los estudiantes analizar, diseñar soluciones y presentar sus hallazgos para fomentar el pensamiento crítico y la apropiación del conocimiento.</w:t>
      </w:r>
    </w:p>
    <w:p w14:paraId="0FBAB9A4" w14:textId="3DE53ABE" w:rsidR="00905D45" w:rsidRPr="00905D45" w:rsidRDefault="00905D45" w:rsidP="006D3975">
      <w:pPr>
        <w:jc w:val="both"/>
        <w:rPr>
          <w:rFonts w:ascii="Arial Narrow" w:hAnsi="Arial Narrow"/>
        </w:rPr>
      </w:pPr>
      <w:r w:rsidRPr="00905D45">
        <w:rPr>
          <w:rFonts w:ascii="Arial Narrow" w:hAnsi="Arial Narrow"/>
        </w:rPr>
        <w:t xml:space="preserve">La conexión descrita anteriormente, permitirá a los estudiantes no solo conocer los métodos de análisis de estabilidad de taludes sino también tener una visión más amplia de la evaluación y gestión del riesgo por fenómenos de remoción en masa. Esta visión permitirá también al estudiante abordar la gestión del riesgo desde una perspectiva dinámica en la que los conceptos de resiliencia pueden ser involucrados. En ultimas, la propuesta de la componente de docencia </w:t>
      </w:r>
      <w:r w:rsidR="00357B23">
        <w:rPr>
          <w:rFonts w:ascii="Arial Narrow" w:hAnsi="Arial Narrow"/>
        </w:rPr>
        <w:t xml:space="preserve">planteada </w:t>
      </w:r>
      <w:r w:rsidRPr="00905D45">
        <w:rPr>
          <w:rFonts w:ascii="Arial Narrow" w:hAnsi="Arial Narrow"/>
        </w:rPr>
        <w:t>por este autor está encaminada a brindar a los estudiantes un enfoque general de la evaluación y gestión del riesgo por rem</w:t>
      </w:r>
      <w:r w:rsidR="003A2EC6">
        <w:rPr>
          <w:rFonts w:ascii="Arial Narrow" w:hAnsi="Arial Narrow"/>
        </w:rPr>
        <w:t xml:space="preserve">oción </w:t>
      </w:r>
      <w:r w:rsidRPr="00905D45">
        <w:rPr>
          <w:rFonts w:ascii="Arial Narrow" w:hAnsi="Arial Narrow"/>
        </w:rPr>
        <w:t xml:space="preserve">en masa basado en la rigurosidad de los métodos de análisis </w:t>
      </w:r>
      <w:r w:rsidR="00933979">
        <w:rPr>
          <w:rFonts w:ascii="Arial Narrow" w:hAnsi="Arial Narrow"/>
        </w:rPr>
        <w:t>abordada desde el uso de herramientas</w:t>
      </w:r>
      <w:r w:rsidR="00517E0B">
        <w:rPr>
          <w:rFonts w:ascii="Arial Narrow" w:hAnsi="Arial Narrow"/>
        </w:rPr>
        <w:t xml:space="preserve"> innovadoras</w:t>
      </w:r>
      <w:r w:rsidRPr="00905D45">
        <w:rPr>
          <w:rFonts w:ascii="Arial Narrow" w:hAnsi="Arial Narrow"/>
        </w:rPr>
        <w:t>.</w:t>
      </w:r>
    </w:p>
    <w:p w14:paraId="09708BDE" w14:textId="4A3EEDF2" w:rsidR="00905D45" w:rsidRPr="00905D45" w:rsidRDefault="00905D45" w:rsidP="006D3975">
      <w:pPr>
        <w:jc w:val="both"/>
        <w:rPr>
          <w:rFonts w:ascii="Arial Narrow" w:hAnsi="Arial Narrow"/>
        </w:rPr>
      </w:pPr>
      <w:r w:rsidRPr="00905D45">
        <w:rPr>
          <w:rFonts w:ascii="Arial Narrow" w:hAnsi="Arial Narrow"/>
        </w:rPr>
        <w:t xml:space="preserve">Para el logro de los objetivos de la propuesta docente se </w:t>
      </w:r>
      <w:r w:rsidR="00767C4D">
        <w:rPr>
          <w:rFonts w:ascii="Arial Narrow" w:hAnsi="Arial Narrow"/>
        </w:rPr>
        <w:t xml:space="preserve">plantea </w:t>
      </w:r>
      <w:r w:rsidRPr="00905D45">
        <w:rPr>
          <w:rFonts w:ascii="Arial Narrow" w:hAnsi="Arial Narrow"/>
        </w:rPr>
        <w:t>el uso de técnicas como el aprendizaje basado en proyecto reales, el uso de base de datos y de herramientas de aprendizaje de máquina y la integración de disciplinas relacionadas con la gestión de riesgo de deslizamientos como geología, clima</w:t>
      </w:r>
      <w:r w:rsidR="00767C4D">
        <w:rPr>
          <w:rFonts w:ascii="Arial Narrow" w:hAnsi="Arial Narrow"/>
        </w:rPr>
        <w:t>,</w:t>
      </w:r>
      <w:r w:rsidRPr="00905D45">
        <w:rPr>
          <w:rFonts w:ascii="Arial Narrow" w:hAnsi="Arial Narrow"/>
        </w:rPr>
        <w:t xml:space="preserve"> sociedad y ambiente.</w:t>
      </w:r>
    </w:p>
    <w:p w14:paraId="3DB27B78" w14:textId="77777777" w:rsidR="00905D45" w:rsidRPr="00905D45" w:rsidRDefault="00905D45" w:rsidP="006D3975">
      <w:pPr>
        <w:jc w:val="both"/>
        <w:rPr>
          <w:rFonts w:ascii="Arial Narrow" w:hAnsi="Arial Narrow"/>
        </w:rPr>
      </w:pPr>
    </w:p>
    <w:p w14:paraId="033790CD" w14:textId="77777777" w:rsidR="00905D45" w:rsidRPr="00905D45" w:rsidRDefault="00905D45" w:rsidP="006D3975">
      <w:pPr>
        <w:jc w:val="both"/>
        <w:rPr>
          <w:rFonts w:ascii="Arial Narrow" w:hAnsi="Arial Narrow"/>
        </w:rPr>
      </w:pPr>
      <w:r w:rsidRPr="00905D45">
        <w:rPr>
          <w:rFonts w:ascii="Arial Narrow" w:hAnsi="Arial Narrow"/>
        </w:rPr>
        <w:t>4.</w:t>
      </w:r>
      <w:r w:rsidRPr="00905D45">
        <w:rPr>
          <w:rFonts w:ascii="Arial Narrow" w:hAnsi="Arial Narrow"/>
        </w:rPr>
        <w:tab/>
        <w:t>PROPUESTA DEL COMPONENTE DE INVESTIGACIÓN</w:t>
      </w:r>
    </w:p>
    <w:p w14:paraId="6664BAFC" w14:textId="77777777" w:rsidR="00905D45" w:rsidRPr="00905D45" w:rsidRDefault="00905D45" w:rsidP="006D3975">
      <w:pPr>
        <w:jc w:val="both"/>
        <w:rPr>
          <w:rFonts w:ascii="Arial Narrow" w:hAnsi="Arial Narrow"/>
        </w:rPr>
      </w:pPr>
      <w:r w:rsidRPr="00905D45">
        <w:rPr>
          <w:rFonts w:ascii="Arial Narrow" w:hAnsi="Arial Narrow"/>
        </w:rPr>
        <w:t xml:space="preserve">La propuesta del componente de investigación planteada está construida a partir de un eje integrador y desarrollada con base en los niveles de estudio que ofrece la facultad (pregrado, maestría, doctorado). El eje integrador corresponde a la inclusión, implementación y apropiación de herramientas de aprendizaje de máquina, inteligencia artificial y resiliencia en los métodos de análisis de estabilidad, evaluación de amenaza, vulnerabilidad y evaluación del riesgo. El autor de esta propuesta tiene experiencia en algunas de estas herramientas, en especial las redes bayesianas que permiten el maneo de la incertidumbre, la predicción y evaluación de hipótesis de comportamiento. </w:t>
      </w:r>
    </w:p>
    <w:p w14:paraId="41665238" w14:textId="77777777" w:rsidR="00905D45" w:rsidRPr="00905D45" w:rsidRDefault="00905D45" w:rsidP="006D3975">
      <w:pPr>
        <w:jc w:val="both"/>
        <w:rPr>
          <w:rFonts w:ascii="Arial Narrow" w:hAnsi="Arial Narrow"/>
        </w:rPr>
      </w:pPr>
      <w:r w:rsidRPr="00905D45">
        <w:rPr>
          <w:rFonts w:ascii="Arial Narrow" w:hAnsi="Arial Narrow"/>
        </w:rPr>
        <w:t>La investigación para los diferentes niveles de estudio se planeta acorde con el nivel de profundización del conocimiento:</w:t>
      </w:r>
    </w:p>
    <w:p w14:paraId="0D6D027E" w14:textId="69D5ACAA" w:rsidR="00905D45" w:rsidRPr="00905D45" w:rsidRDefault="00905D45" w:rsidP="006D3975">
      <w:pPr>
        <w:jc w:val="both"/>
        <w:rPr>
          <w:rFonts w:ascii="Arial Narrow" w:hAnsi="Arial Narrow"/>
        </w:rPr>
      </w:pPr>
      <w:r w:rsidRPr="00905D45">
        <w:rPr>
          <w:rFonts w:ascii="Arial Narrow" w:hAnsi="Arial Narrow"/>
        </w:rPr>
        <w:t>-</w:t>
      </w:r>
      <w:r w:rsidRPr="00905D45">
        <w:rPr>
          <w:rFonts w:ascii="Arial Narrow" w:hAnsi="Arial Narrow"/>
        </w:rPr>
        <w:tab/>
        <w:t>Para el nivel de pregrado los estudiantes podrán abordar temas relacionados con estudios de caso, simulaciones, identificación de patrones a partir del uso de bases de datos y herramientas de aprendizaje de máquina. En general, las investigaciones a nivel de pregrado construirán las bases informativas y estarán conectadas con las investigaciones de maestría y doctorado.</w:t>
      </w:r>
    </w:p>
    <w:p w14:paraId="28A43D16" w14:textId="77777777" w:rsidR="00905D45" w:rsidRPr="00905D45" w:rsidRDefault="00905D45" w:rsidP="006D3975">
      <w:pPr>
        <w:jc w:val="both"/>
        <w:rPr>
          <w:rFonts w:ascii="Arial Narrow" w:hAnsi="Arial Narrow"/>
        </w:rPr>
      </w:pPr>
      <w:r w:rsidRPr="00905D45">
        <w:rPr>
          <w:rFonts w:ascii="Arial Narrow" w:hAnsi="Arial Narrow"/>
        </w:rPr>
        <w:t>-</w:t>
      </w:r>
      <w:r w:rsidRPr="00905D45">
        <w:rPr>
          <w:rFonts w:ascii="Arial Narrow" w:hAnsi="Arial Narrow"/>
        </w:rPr>
        <w:tab/>
        <w:t>Para el nivel de maestría se planeta el desarrollo de modelos predictivos para la evaluación y gestión del riesgo mediante usos de herramientas de aprendizaje de máquina (redes neuronales, redes bayesianas, entre otras). En este nivel los estudiantes recopilarán y analizarán grandes volúmenes de información y aplicarán técnicas de aprendizaje automático y análisis predictivo para identificar patrones y predecir futuros riesgos por remoción en masa. Como resultado se espera la validación de los modelos con casos reales y la publicación de los resultados en conferencias académicas y revistas especializadas.</w:t>
      </w:r>
    </w:p>
    <w:p w14:paraId="0242F608" w14:textId="77777777" w:rsidR="00905D45" w:rsidRPr="00905D45" w:rsidRDefault="00905D45" w:rsidP="006D3975">
      <w:pPr>
        <w:jc w:val="both"/>
        <w:rPr>
          <w:rFonts w:ascii="Arial Narrow" w:hAnsi="Arial Narrow"/>
        </w:rPr>
      </w:pPr>
      <w:r w:rsidRPr="00905D45">
        <w:rPr>
          <w:rFonts w:ascii="Arial Narrow" w:hAnsi="Arial Narrow"/>
        </w:rPr>
        <w:t>-</w:t>
      </w:r>
      <w:r w:rsidRPr="00905D45">
        <w:rPr>
          <w:rFonts w:ascii="Arial Narrow" w:hAnsi="Arial Narrow"/>
        </w:rPr>
        <w:tab/>
        <w:t>Para el nivel de doctorado se espera un desarrollo multidisciplinario que involucre no solo modelos predictivos y su respectiva validación, sino que involucre aspectos sociales, ambientales, geológicos y de clima en la evaluación y manejo del riego con el apoyo de herramientas de aprendizaje de máquina. El resultado esperado es la construcción de una metodología de enfoque multidisciplinario que pueda ser implementado como política y práctica pública, además de su difusión en revistas académicas de alto impacto y presentación en conferencias internacionales.</w:t>
      </w:r>
    </w:p>
    <w:p w14:paraId="5DE52FA0" w14:textId="77777777" w:rsidR="00905D45" w:rsidRDefault="00905D45" w:rsidP="006D3975">
      <w:pPr>
        <w:jc w:val="both"/>
        <w:rPr>
          <w:rFonts w:ascii="Arial Narrow" w:hAnsi="Arial Narrow"/>
        </w:rPr>
      </w:pPr>
    </w:p>
    <w:p w14:paraId="380C8EE1" w14:textId="77777777" w:rsidR="0044354E" w:rsidRPr="00905D45" w:rsidRDefault="0044354E" w:rsidP="006D3975">
      <w:pPr>
        <w:jc w:val="both"/>
        <w:rPr>
          <w:rFonts w:ascii="Arial Narrow" w:hAnsi="Arial Narrow"/>
        </w:rPr>
      </w:pPr>
    </w:p>
    <w:p w14:paraId="3C60F919" w14:textId="77777777" w:rsidR="00905D45" w:rsidRPr="00905D45" w:rsidRDefault="00905D45" w:rsidP="006D3975">
      <w:pPr>
        <w:jc w:val="both"/>
        <w:rPr>
          <w:rFonts w:ascii="Arial Narrow" w:hAnsi="Arial Narrow"/>
        </w:rPr>
      </w:pPr>
      <w:r w:rsidRPr="00905D45">
        <w:rPr>
          <w:rFonts w:ascii="Arial Narrow" w:hAnsi="Arial Narrow"/>
        </w:rPr>
        <w:lastRenderedPageBreak/>
        <w:t>5.</w:t>
      </w:r>
      <w:r w:rsidRPr="00905D45">
        <w:rPr>
          <w:rFonts w:ascii="Arial Narrow" w:hAnsi="Arial Narrow"/>
        </w:rPr>
        <w:tab/>
        <w:t xml:space="preserve">PROPUESTA DEL COMPONENTE DE EXTENSIÓN </w:t>
      </w:r>
    </w:p>
    <w:p w14:paraId="2FB9D1A5" w14:textId="5C546B9F" w:rsidR="00905D45" w:rsidRPr="00905D45" w:rsidRDefault="00905D45" w:rsidP="006D3975">
      <w:pPr>
        <w:jc w:val="both"/>
        <w:rPr>
          <w:rFonts w:ascii="Arial Narrow" w:hAnsi="Arial Narrow"/>
        </w:rPr>
      </w:pPr>
      <w:r w:rsidRPr="00905D45">
        <w:rPr>
          <w:rFonts w:ascii="Arial Narrow" w:hAnsi="Arial Narrow"/>
        </w:rPr>
        <w:t>La propuesta del componente de extensión busca explorar la colaboración con el sector gubernamental, industrial y económico para desarrollar soluciones prácticas de la gestión de riesgos por fenómenos de remoción en masa. Para el sector gubernamental se buscará colaboración para implementar el resultado de las investigaciones desarrolladas a nivel de maestría y doctorado en políticas públicas y prácticas de la evaluación y gestión del riesgo por remoción en masa. En cuanto al sector productivo (industrial y económico) se podrán buscar alianzas para el desarrollo de asesorías de alt</w:t>
      </w:r>
      <w:r w:rsidR="00E203B2">
        <w:rPr>
          <w:rFonts w:ascii="Arial Narrow" w:hAnsi="Arial Narrow"/>
        </w:rPr>
        <w:t>o</w:t>
      </w:r>
      <w:r w:rsidRPr="00905D45">
        <w:rPr>
          <w:rFonts w:ascii="Arial Narrow" w:hAnsi="Arial Narrow"/>
        </w:rPr>
        <w:t xml:space="preserve"> nivel de conocimiento. Se podrá trabajar con la industria para desarrollar y adaptar nuevas tecnologías y herramientas para la evaluación y gestión de riesgos por remoción en masa. Esto podría incluir software, análisis predictivo y sistemas de monitoreo.</w:t>
      </w:r>
    </w:p>
    <w:p w14:paraId="2353C4A4" w14:textId="25FFB6FC" w:rsidR="00905D45" w:rsidRPr="00905D45" w:rsidRDefault="00905D45" w:rsidP="006D3975">
      <w:pPr>
        <w:jc w:val="both"/>
        <w:rPr>
          <w:rFonts w:ascii="Arial Narrow" w:hAnsi="Arial Narrow"/>
        </w:rPr>
      </w:pPr>
      <w:r w:rsidRPr="00905D45">
        <w:rPr>
          <w:rFonts w:ascii="Arial Narrow" w:hAnsi="Arial Narrow"/>
        </w:rPr>
        <w:t>Además, la propuesta de la componente de extensión incluye la transmisión de conocimiento al público especializado interesado en los aspectos de la evaluación y gestión del riesgo por fenómenos de remoción en masa. Dicha transmisión de conocimiento incluye la preparación de seminarios y talleres centrados en la aplicación práctica de los modelos propuestos a partir de resultados de investigación, la colaboración con universidades y centros de investigación y la conformación de portales web y cursos en línea dirigidos a profesionales del sector.</w:t>
      </w:r>
    </w:p>
    <w:p w14:paraId="5FAB8518" w14:textId="77777777" w:rsidR="00905D45" w:rsidRPr="00905D45" w:rsidRDefault="00905D45" w:rsidP="006D3975">
      <w:pPr>
        <w:jc w:val="both"/>
        <w:rPr>
          <w:rFonts w:ascii="Arial Narrow" w:hAnsi="Arial Narrow"/>
        </w:rPr>
      </w:pPr>
    </w:p>
    <w:p w14:paraId="521DC86D" w14:textId="77777777" w:rsidR="00905D45" w:rsidRPr="00905D45" w:rsidRDefault="00905D45" w:rsidP="006D3975">
      <w:pPr>
        <w:jc w:val="both"/>
        <w:rPr>
          <w:rFonts w:ascii="Arial Narrow" w:hAnsi="Arial Narrow"/>
          <w:lang w:val="en-US"/>
        </w:rPr>
      </w:pPr>
      <w:r w:rsidRPr="00905D45">
        <w:rPr>
          <w:rFonts w:ascii="Arial Narrow" w:hAnsi="Arial Narrow"/>
          <w:lang w:val="en-US"/>
        </w:rPr>
        <w:t>6.</w:t>
      </w:r>
      <w:r w:rsidRPr="00905D45">
        <w:rPr>
          <w:rFonts w:ascii="Arial Narrow" w:hAnsi="Arial Narrow"/>
          <w:lang w:val="en-US"/>
        </w:rPr>
        <w:tab/>
        <w:t>BIBLIOGRAFÍA</w:t>
      </w:r>
    </w:p>
    <w:p w14:paraId="5B9EEE37" w14:textId="77777777" w:rsidR="00905D45" w:rsidRPr="00905D45" w:rsidRDefault="00905D45" w:rsidP="006D3975">
      <w:pPr>
        <w:jc w:val="both"/>
        <w:rPr>
          <w:rFonts w:ascii="Arial Narrow" w:hAnsi="Arial Narrow"/>
          <w:lang w:val="en-US"/>
        </w:rPr>
      </w:pPr>
    </w:p>
    <w:p w14:paraId="7B258E0A" w14:textId="77777777" w:rsidR="00905D45" w:rsidRPr="00905D45" w:rsidRDefault="00905D45" w:rsidP="006D3975">
      <w:pPr>
        <w:jc w:val="both"/>
        <w:rPr>
          <w:rFonts w:ascii="Arial Narrow" w:hAnsi="Arial Narrow"/>
          <w:lang w:val="en-US"/>
        </w:rPr>
      </w:pPr>
      <w:r w:rsidRPr="00905D45">
        <w:rPr>
          <w:rFonts w:ascii="Arial Narrow" w:hAnsi="Arial Narrow"/>
          <w:lang w:val="en-US"/>
        </w:rPr>
        <w:t>Fell, R., Ho, K.K.S., Lacasse, S., Leroi, E. (2005). A framework for landslide risk assessment and management. Landslide Risk Management – Hungr, Fell, Couture &amp; Eberhardt (eds) © 2005 Taylor &amp; Francis Group, London, ISBN 04 1538 043 X.</w:t>
      </w:r>
    </w:p>
    <w:p w14:paraId="6AC72292" w14:textId="77777777" w:rsidR="00905D45" w:rsidRPr="00905D45" w:rsidRDefault="00905D45" w:rsidP="006D3975">
      <w:pPr>
        <w:jc w:val="both"/>
        <w:rPr>
          <w:rFonts w:ascii="Arial Narrow" w:hAnsi="Arial Narrow"/>
          <w:lang w:val="en-US"/>
        </w:rPr>
      </w:pPr>
      <w:r w:rsidRPr="00905D45">
        <w:rPr>
          <w:rFonts w:ascii="Arial Narrow" w:hAnsi="Arial Narrow"/>
          <w:lang w:val="en-US"/>
        </w:rPr>
        <w:t>Kammouh, O., Gardoni, P., &amp; Cimellaro, G. P. (2020). Probabilistic framework to evaluate the resilience of engineering systems using Bayesian and dynamic Bayesian networks. Reliability Engineering and System Safety, 198(March 2019), 106813. https://doi.org/10.1016/j.ress.2020.106813</w:t>
      </w:r>
    </w:p>
    <w:p w14:paraId="74862E80" w14:textId="77777777" w:rsidR="00905D45" w:rsidRPr="00905D45" w:rsidRDefault="00905D45" w:rsidP="006D3975">
      <w:pPr>
        <w:jc w:val="both"/>
        <w:rPr>
          <w:rFonts w:ascii="Arial Narrow" w:hAnsi="Arial Narrow"/>
        </w:rPr>
      </w:pPr>
      <w:r w:rsidRPr="00905D45">
        <w:rPr>
          <w:rFonts w:ascii="Arial Narrow" w:hAnsi="Arial Narrow"/>
        </w:rPr>
        <w:t xml:space="preserve">SGC. (2016). Guía Metodológica para Estudios de Amenaza, Vulnerabilidad y Riesgo por Movimientos en Masa. Colección Guías y Manuales. </w:t>
      </w:r>
    </w:p>
    <w:p w14:paraId="6D6A2B8E" w14:textId="5AB2E141" w:rsidR="00E56B92" w:rsidRPr="00905D45" w:rsidRDefault="00905D45" w:rsidP="006D3975">
      <w:pPr>
        <w:jc w:val="both"/>
        <w:rPr>
          <w:rFonts w:ascii="Arial Narrow" w:hAnsi="Arial Narrow"/>
        </w:rPr>
      </w:pPr>
      <w:r w:rsidRPr="00905D45">
        <w:rPr>
          <w:rFonts w:ascii="Arial Narrow" w:hAnsi="Arial Narrow"/>
        </w:rPr>
        <w:t>SGC. (2017). Guía Metodológica para la Zonificación de Amenaza por Movimientos en Masa Escala 1:25.000. Servicio Geológico Colombiano. Dirección de Geoamenazas.</w:t>
      </w:r>
    </w:p>
    <w:sectPr w:rsidR="00E56B92" w:rsidRPr="00905D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C0NDE3NjA1MzGztDBV0lEKTi0uzszPAykwrAUAVF44HSwAAAA="/>
  </w:docVars>
  <w:rsids>
    <w:rsidRoot w:val="00905D45"/>
    <w:rsid w:val="001531D0"/>
    <w:rsid w:val="001E358E"/>
    <w:rsid w:val="00205F87"/>
    <w:rsid w:val="00334CF2"/>
    <w:rsid w:val="00357B23"/>
    <w:rsid w:val="003836DC"/>
    <w:rsid w:val="003A2EC6"/>
    <w:rsid w:val="00403145"/>
    <w:rsid w:val="00406EDE"/>
    <w:rsid w:val="0044354E"/>
    <w:rsid w:val="004462F0"/>
    <w:rsid w:val="00517E0B"/>
    <w:rsid w:val="00616827"/>
    <w:rsid w:val="00626F0D"/>
    <w:rsid w:val="006D3975"/>
    <w:rsid w:val="00736014"/>
    <w:rsid w:val="00750E33"/>
    <w:rsid w:val="00767C4D"/>
    <w:rsid w:val="007A537E"/>
    <w:rsid w:val="00827C82"/>
    <w:rsid w:val="00837434"/>
    <w:rsid w:val="00842DE2"/>
    <w:rsid w:val="00905D45"/>
    <w:rsid w:val="00931289"/>
    <w:rsid w:val="00933979"/>
    <w:rsid w:val="00B44494"/>
    <w:rsid w:val="00BF6281"/>
    <w:rsid w:val="00CC31D5"/>
    <w:rsid w:val="00D64A0E"/>
    <w:rsid w:val="00E203B2"/>
    <w:rsid w:val="00E56B92"/>
    <w:rsid w:val="00F71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6A777"/>
  <w15:chartTrackingRefBased/>
  <w15:docId w15:val="{E38812D5-5988-46B2-9988-FEBAED2DB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Heading1">
    <w:name w:val="heading 1"/>
    <w:basedOn w:val="Normal"/>
    <w:next w:val="Normal"/>
    <w:link w:val="Heading1Char"/>
    <w:uiPriority w:val="9"/>
    <w:qFormat/>
    <w:rsid w:val="00905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D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D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D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D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D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D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D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D45"/>
    <w:rPr>
      <w:rFonts w:asciiTheme="majorHAnsi" w:eastAsiaTheme="majorEastAsia" w:hAnsiTheme="majorHAnsi" w:cstheme="majorBidi"/>
      <w:color w:val="0F4761" w:themeColor="accent1" w:themeShade="BF"/>
      <w:sz w:val="40"/>
      <w:szCs w:val="40"/>
      <w:lang w:val="es-CO"/>
    </w:rPr>
  </w:style>
  <w:style w:type="character" w:customStyle="1" w:styleId="Heading2Char">
    <w:name w:val="Heading 2 Char"/>
    <w:basedOn w:val="DefaultParagraphFont"/>
    <w:link w:val="Heading2"/>
    <w:uiPriority w:val="9"/>
    <w:semiHidden/>
    <w:rsid w:val="00905D45"/>
    <w:rPr>
      <w:rFonts w:asciiTheme="majorHAnsi" w:eastAsiaTheme="majorEastAsia" w:hAnsiTheme="majorHAnsi" w:cstheme="majorBidi"/>
      <w:color w:val="0F4761" w:themeColor="accent1" w:themeShade="BF"/>
      <w:sz w:val="32"/>
      <w:szCs w:val="32"/>
      <w:lang w:val="es-CO"/>
    </w:rPr>
  </w:style>
  <w:style w:type="character" w:customStyle="1" w:styleId="Heading3Char">
    <w:name w:val="Heading 3 Char"/>
    <w:basedOn w:val="DefaultParagraphFont"/>
    <w:link w:val="Heading3"/>
    <w:uiPriority w:val="9"/>
    <w:semiHidden/>
    <w:rsid w:val="00905D45"/>
    <w:rPr>
      <w:rFonts w:eastAsiaTheme="majorEastAsia" w:cstheme="majorBidi"/>
      <w:color w:val="0F4761" w:themeColor="accent1" w:themeShade="BF"/>
      <w:sz w:val="28"/>
      <w:szCs w:val="28"/>
      <w:lang w:val="es-CO"/>
    </w:rPr>
  </w:style>
  <w:style w:type="character" w:customStyle="1" w:styleId="Heading4Char">
    <w:name w:val="Heading 4 Char"/>
    <w:basedOn w:val="DefaultParagraphFont"/>
    <w:link w:val="Heading4"/>
    <w:uiPriority w:val="9"/>
    <w:semiHidden/>
    <w:rsid w:val="00905D45"/>
    <w:rPr>
      <w:rFonts w:eastAsiaTheme="majorEastAsia" w:cstheme="majorBidi"/>
      <w:i/>
      <w:iCs/>
      <w:color w:val="0F4761" w:themeColor="accent1" w:themeShade="BF"/>
      <w:lang w:val="es-CO"/>
    </w:rPr>
  </w:style>
  <w:style w:type="character" w:customStyle="1" w:styleId="Heading5Char">
    <w:name w:val="Heading 5 Char"/>
    <w:basedOn w:val="DefaultParagraphFont"/>
    <w:link w:val="Heading5"/>
    <w:uiPriority w:val="9"/>
    <w:semiHidden/>
    <w:rsid w:val="00905D45"/>
    <w:rPr>
      <w:rFonts w:eastAsiaTheme="majorEastAsia" w:cstheme="majorBidi"/>
      <w:color w:val="0F4761" w:themeColor="accent1" w:themeShade="BF"/>
      <w:lang w:val="es-CO"/>
    </w:rPr>
  </w:style>
  <w:style w:type="character" w:customStyle="1" w:styleId="Heading6Char">
    <w:name w:val="Heading 6 Char"/>
    <w:basedOn w:val="DefaultParagraphFont"/>
    <w:link w:val="Heading6"/>
    <w:uiPriority w:val="9"/>
    <w:semiHidden/>
    <w:rsid w:val="00905D45"/>
    <w:rPr>
      <w:rFonts w:eastAsiaTheme="majorEastAsia" w:cstheme="majorBidi"/>
      <w:i/>
      <w:iCs/>
      <w:color w:val="595959" w:themeColor="text1" w:themeTint="A6"/>
      <w:lang w:val="es-CO"/>
    </w:rPr>
  </w:style>
  <w:style w:type="character" w:customStyle="1" w:styleId="Heading7Char">
    <w:name w:val="Heading 7 Char"/>
    <w:basedOn w:val="DefaultParagraphFont"/>
    <w:link w:val="Heading7"/>
    <w:uiPriority w:val="9"/>
    <w:semiHidden/>
    <w:rsid w:val="00905D45"/>
    <w:rPr>
      <w:rFonts w:eastAsiaTheme="majorEastAsia" w:cstheme="majorBidi"/>
      <w:color w:val="595959" w:themeColor="text1" w:themeTint="A6"/>
      <w:lang w:val="es-CO"/>
    </w:rPr>
  </w:style>
  <w:style w:type="character" w:customStyle="1" w:styleId="Heading8Char">
    <w:name w:val="Heading 8 Char"/>
    <w:basedOn w:val="DefaultParagraphFont"/>
    <w:link w:val="Heading8"/>
    <w:uiPriority w:val="9"/>
    <w:semiHidden/>
    <w:rsid w:val="00905D45"/>
    <w:rPr>
      <w:rFonts w:eastAsiaTheme="majorEastAsia" w:cstheme="majorBidi"/>
      <w:i/>
      <w:iCs/>
      <w:color w:val="272727" w:themeColor="text1" w:themeTint="D8"/>
      <w:lang w:val="es-CO"/>
    </w:rPr>
  </w:style>
  <w:style w:type="character" w:customStyle="1" w:styleId="Heading9Char">
    <w:name w:val="Heading 9 Char"/>
    <w:basedOn w:val="DefaultParagraphFont"/>
    <w:link w:val="Heading9"/>
    <w:uiPriority w:val="9"/>
    <w:semiHidden/>
    <w:rsid w:val="00905D45"/>
    <w:rPr>
      <w:rFonts w:eastAsiaTheme="majorEastAsia" w:cstheme="majorBidi"/>
      <w:color w:val="272727" w:themeColor="text1" w:themeTint="D8"/>
      <w:lang w:val="es-CO"/>
    </w:rPr>
  </w:style>
  <w:style w:type="paragraph" w:styleId="Title">
    <w:name w:val="Title"/>
    <w:basedOn w:val="Normal"/>
    <w:next w:val="Normal"/>
    <w:link w:val="TitleChar"/>
    <w:uiPriority w:val="10"/>
    <w:qFormat/>
    <w:rsid w:val="00905D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D45"/>
    <w:rPr>
      <w:rFonts w:asciiTheme="majorHAnsi" w:eastAsiaTheme="majorEastAsia" w:hAnsiTheme="majorHAnsi" w:cstheme="majorBidi"/>
      <w:spacing w:val="-10"/>
      <w:kern w:val="28"/>
      <w:sz w:val="56"/>
      <w:szCs w:val="56"/>
      <w:lang w:val="es-CO"/>
    </w:rPr>
  </w:style>
  <w:style w:type="paragraph" w:styleId="Subtitle">
    <w:name w:val="Subtitle"/>
    <w:basedOn w:val="Normal"/>
    <w:next w:val="Normal"/>
    <w:link w:val="SubtitleChar"/>
    <w:uiPriority w:val="11"/>
    <w:qFormat/>
    <w:rsid w:val="00905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D45"/>
    <w:rPr>
      <w:rFonts w:eastAsiaTheme="majorEastAsia" w:cstheme="majorBidi"/>
      <w:color w:val="595959" w:themeColor="text1" w:themeTint="A6"/>
      <w:spacing w:val="15"/>
      <w:sz w:val="28"/>
      <w:szCs w:val="28"/>
      <w:lang w:val="es-CO"/>
    </w:rPr>
  </w:style>
  <w:style w:type="paragraph" w:styleId="Quote">
    <w:name w:val="Quote"/>
    <w:basedOn w:val="Normal"/>
    <w:next w:val="Normal"/>
    <w:link w:val="QuoteChar"/>
    <w:uiPriority w:val="29"/>
    <w:qFormat/>
    <w:rsid w:val="00905D45"/>
    <w:pPr>
      <w:spacing w:before="160"/>
      <w:jc w:val="center"/>
    </w:pPr>
    <w:rPr>
      <w:i/>
      <w:iCs/>
      <w:color w:val="404040" w:themeColor="text1" w:themeTint="BF"/>
    </w:rPr>
  </w:style>
  <w:style w:type="character" w:customStyle="1" w:styleId="QuoteChar">
    <w:name w:val="Quote Char"/>
    <w:basedOn w:val="DefaultParagraphFont"/>
    <w:link w:val="Quote"/>
    <w:uiPriority w:val="29"/>
    <w:rsid w:val="00905D45"/>
    <w:rPr>
      <w:i/>
      <w:iCs/>
      <w:color w:val="404040" w:themeColor="text1" w:themeTint="BF"/>
      <w:lang w:val="es-CO"/>
    </w:rPr>
  </w:style>
  <w:style w:type="paragraph" w:styleId="ListParagraph">
    <w:name w:val="List Paragraph"/>
    <w:basedOn w:val="Normal"/>
    <w:uiPriority w:val="34"/>
    <w:qFormat/>
    <w:rsid w:val="00905D45"/>
    <w:pPr>
      <w:ind w:left="720"/>
      <w:contextualSpacing/>
    </w:pPr>
  </w:style>
  <w:style w:type="character" w:styleId="IntenseEmphasis">
    <w:name w:val="Intense Emphasis"/>
    <w:basedOn w:val="DefaultParagraphFont"/>
    <w:uiPriority w:val="21"/>
    <w:qFormat/>
    <w:rsid w:val="00905D45"/>
    <w:rPr>
      <w:i/>
      <w:iCs/>
      <w:color w:val="0F4761" w:themeColor="accent1" w:themeShade="BF"/>
    </w:rPr>
  </w:style>
  <w:style w:type="paragraph" w:styleId="IntenseQuote">
    <w:name w:val="Intense Quote"/>
    <w:basedOn w:val="Normal"/>
    <w:next w:val="Normal"/>
    <w:link w:val="IntenseQuoteChar"/>
    <w:uiPriority w:val="30"/>
    <w:qFormat/>
    <w:rsid w:val="00905D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D45"/>
    <w:rPr>
      <w:i/>
      <w:iCs/>
      <w:color w:val="0F4761" w:themeColor="accent1" w:themeShade="BF"/>
      <w:lang w:val="es-CO"/>
    </w:rPr>
  </w:style>
  <w:style w:type="character" w:styleId="IntenseReference">
    <w:name w:val="Intense Reference"/>
    <w:basedOn w:val="DefaultParagraphFont"/>
    <w:uiPriority w:val="32"/>
    <w:qFormat/>
    <w:rsid w:val="00905D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2046</Words>
  <Characters>11666</Characters>
  <Application>Microsoft Office Word</Application>
  <DocSecurity>0</DocSecurity>
  <Lines>97</Lines>
  <Paragraphs>27</Paragraphs>
  <ScaleCrop>false</ScaleCrop>
  <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Mauricio Garcia Feria</dc:creator>
  <cp:keywords/>
  <dc:description/>
  <cp:lastModifiedBy>William Mauricio Garcia Feria</cp:lastModifiedBy>
  <cp:revision>24</cp:revision>
  <dcterms:created xsi:type="dcterms:W3CDTF">2024-09-16T21:12:00Z</dcterms:created>
  <dcterms:modified xsi:type="dcterms:W3CDTF">2024-09-16T21:31:00Z</dcterms:modified>
</cp:coreProperties>
</file>