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D3C2" w14:textId="3AE68BA6" w:rsidR="00FA439F" w:rsidRPr="00FA439F" w:rsidRDefault="00FA439F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DD6726C" w14:textId="1F58AE0D" w:rsidR="00FA439F" w:rsidRPr="00DA610C" w:rsidRDefault="00FA439F" w:rsidP="00DA610C">
      <w:pPr>
        <w:pStyle w:val="Prrafodelista"/>
        <w:numPr>
          <w:ilvl w:val="0"/>
          <w:numId w:val="4"/>
        </w:numPr>
        <w:tabs>
          <w:tab w:val="left" w:pos="360"/>
        </w:tabs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DA610C">
        <w:rPr>
          <w:rFonts w:ascii="Arial Narrow" w:hAnsi="Arial Narrow"/>
          <w:b/>
          <w:bCs/>
          <w:sz w:val="22"/>
          <w:szCs w:val="22"/>
        </w:rPr>
        <w:t>Justificación</w:t>
      </w:r>
    </w:p>
    <w:p w14:paraId="20A2AE84" w14:textId="5E8640D0" w:rsidR="00135670" w:rsidRPr="00DA610C" w:rsidRDefault="00FA439F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A439F">
        <w:rPr>
          <w:rFonts w:ascii="Arial Narrow" w:hAnsi="Arial Narrow"/>
          <w:sz w:val="22"/>
          <w:szCs w:val="22"/>
        </w:rPr>
        <w:t>La hidráulica</w:t>
      </w:r>
      <w:r w:rsidR="00135670" w:rsidRPr="00DA610C">
        <w:rPr>
          <w:rFonts w:ascii="Arial Narrow" w:hAnsi="Arial Narrow"/>
          <w:sz w:val="22"/>
          <w:szCs w:val="22"/>
        </w:rPr>
        <w:t xml:space="preserve"> general constituye un eje fundamental en la formación de ingenieros civiles, al proporcionar los principios necesarios para comprender el comportamiento del flujo en sistemas naturales y artificiales, así como su interacción con la infraestructura y el territorio. El estudio del flujo en tuberías y cauces, las pérdidas de energía y la relación entre geometría y condiciones hidráulicas son elementos clave para abordar problemas reales de la ingeniería.</w:t>
      </w:r>
    </w:p>
    <w:p w14:paraId="1C0DC390" w14:textId="77777777" w:rsidR="00135670" w:rsidRPr="00135670" w:rsidRDefault="00135670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5670">
        <w:rPr>
          <w:rFonts w:ascii="Arial Narrow" w:hAnsi="Arial Narrow"/>
          <w:sz w:val="22"/>
          <w:szCs w:val="22"/>
        </w:rPr>
        <w:t>En mi experiencia profesional, he participado en estudios hidráulicos aplicados al análisis del comportamiento del flujo en cauces naturales, incluyendo el tránsito de caudales de diseño, la estimación de tirantes hidráulicos y la delimitación de zonas de máxima ordinaria. Estos procesos, desarrollados a partir de la interpretación de secciones transversales y criterios técnicos, permiten establecer zonas de protección hídrica y apoyar la toma de decisiones en la gestión del territorio.</w:t>
      </w:r>
    </w:p>
    <w:p w14:paraId="66F074DF" w14:textId="07A3AA6C" w:rsidR="00135670" w:rsidRPr="00DA610C" w:rsidRDefault="00135670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5670">
        <w:rPr>
          <w:rFonts w:ascii="Arial Narrow" w:hAnsi="Arial Narrow"/>
          <w:sz w:val="22"/>
          <w:szCs w:val="22"/>
        </w:rPr>
        <w:t>Estas experiencias, aunque no centradas en el diseño detallado de infraestructura, me han permitido comprender de manera práctica la relación entre el flujo, la geometría del sistema y las condiciones del entorno, constituyendo una base sólida para la enseñanza de la hidráulica desde un enfoque aplicado.</w:t>
      </w:r>
    </w:p>
    <w:p w14:paraId="7D07D445" w14:textId="670119A0" w:rsidR="00FA439F" w:rsidRPr="00FA439F" w:rsidRDefault="00FA439F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0674551" w14:textId="56F4472E" w:rsidR="00FA439F" w:rsidRPr="00DA610C" w:rsidRDefault="00FA439F" w:rsidP="00DA610C">
      <w:pPr>
        <w:pStyle w:val="Prrafodelista"/>
        <w:numPr>
          <w:ilvl w:val="0"/>
          <w:numId w:val="4"/>
        </w:numPr>
        <w:tabs>
          <w:tab w:val="left" w:pos="567"/>
        </w:tabs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DA610C">
        <w:rPr>
          <w:rFonts w:ascii="Arial Narrow" w:hAnsi="Arial Narrow"/>
          <w:b/>
          <w:bCs/>
          <w:sz w:val="22"/>
          <w:szCs w:val="22"/>
        </w:rPr>
        <w:t>Objetivo general</w:t>
      </w:r>
    </w:p>
    <w:p w14:paraId="6046B4D3" w14:textId="635B0722" w:rsidR="00FA439F" w:rsidRPr="00DA610C" w:rsidRDefault="00FA439F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A439F">
        <w:rPr>
          <w:rFonts w:ascii="Arial Narrow" w:hAnsi="Arial Narrow"/>
          <w:sz w:val="22"/>
          <w:szCs w:val="22"/>
        </w:rPr>
        <w:t>Contribuir a la formación de estudiantes en el área de hidráulica general mediante el fortalecimiento de los fundamentos conceptuales, el análisis de sistemas de flujo y la integración de experiencias aplicadas en contextos reales de la ingeniería.</w:t>
      </w:r>
    </w:p>
    <w:p w14:paraId="0F7DF50C" w14:textId="77777777" w:rsidR="00135670" w:rsidRPr="00FA439F" w:rsidRDefault="00135670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393F452" w14:textId="5B190F56" w:rsidR="00FA439F" w:rsidRPr="00DA610C" w:rsidRDefault="00FA439F" w:rsidP="00DA610C">
      <w:pPr>
        <w:pStyle w:val="Prrafode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DA610C">
        <w:rPr>
          <w:rFonts w:ascii="Arial Narrow" w:hAnsi="Arial Narrow"/>
          <w:b/>
          <w:bCs/>
          <w:sz w:val="22"/>
          <w:szCs w:val="22"/>
        </w:rPr>
        <w:t>Objetivos específicos</w:t>
      </w:r>
    </w:p>
    <w:p w14:paraId="7BF18DCE" w14:textId="6E2E7F69" w:rsidR="00135670" w:rsidRPr="00DA610C" w:rsidRDefault="00FA439F" w:rsidP="00DA610C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A439F">
        <w:rPr>
          <w:rFonts w:ascii="Arial Narrow" w:hAnsi="Arial Narrow"/>
          <w:sz w:val="22"/>
          <w:szCs w:val="22"/>
        </w:rPr>
        <w:t>F</w:t>
      </w:r>
      <w:r w:rsidR="00135670" w:rsidRPr="00DA610C">
        <w:rPr>
          <w:rFonts w:ascii="Arial Narrow" w:hAnsi="Arial Narrow"/>
          <w:sz w:val="22"/>
          <w:szCs w:val="22"/>
        </w:rPr>
        <w:t xml:space="preserve">ortalecer la comprensión de los principios de conservación de masa y energía. </w:t>
      </w:r>
    </w:p>
    <w:p w14:paraId="7CDA20A7" w14:textId="77777777" w:rsidR="00135670" w:rsidRPr="00135670" w:rsidRDefault="00135670" w:rsidP="00DA610C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5670">
        <w:rPr>
          <w:rFonts w:ascii="Arial Narrow" w:hAnsi="Arial Narrow"/>
          <w:sz w:val="22"/>
          <w:szCs w:val="22"/>
        </w:rPr>
        <w:t xml:space="preserve">Promover el análisis del comportamiento del flujo en cauces y sistemas hidráulicos a partir de variables como tirante, velocidad y pérdidas de energía. </w:t>
      </w:r>
    </w:p>
    <w:p w14:paraId="57239A95" w14:textId="77777777" w:rsidR="00135670" w:rsidRPr="00135670" w:rsidRDefault="00135670" w:rsidP="00DA610C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5670">
        <w:rPr>
          <w:rFonts w:ascii="Arial Narrow" w:hAnsi="Arial Narrow"/>
          <w:sz w:val="22"/>
          <w:szCs w:val="22"/>
        </w:rPr>
        <w:t xml:space="preserve">Integrar herramientas de modelación y análisis como apoyo al proceso de enseñanza-aprendizaje. </w:t>
      </w:r>
    </w:p>
    <w:p w14:paraId="5DD6B9FA" w14:textId="74198681" w:rsidR="00FA439F" w:rsidRPr="00DA610C" w:rsidRDefault="00135670" w:rsidP="00DA610C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5670">
        <w:rPr>
          <w:rFonts w:ascii="Arial Narrow" w:hAnsi="Arial Narrow"/>
          <w:sz w:val="22"/>
          <w:szCs w:val="22"/>
        </w:rPr>
        <w:t xml:space="preserve">Fomentar el desarrollo de criterio ingenieril mediante la resolución de problemas basados en casos reales. </w:t>
      </w:r>
    </w:p>
    <w:p w14:paraId="099ACCA8" w14:textId="77777777" w:rsidR="006574FC" w:rsidRPr="00FA439F" w:rsidRDefault="006574FC" w:rsidP="00DA610C">
      <w:p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11A9819E" w14:textId="09AE300E" w:rsidR="00FA439F" w:rsidRPr="00DA610C" w:rsidRDefault="00FA439F" w:rsidP="00DA610C">
      <w:pPr>
        <w:pStyle w:val="Prrafode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DA610C">
        <w:rPr>
          <w:rFonts w:ascii="Arial Narrow" w:hAnsi="Arial Narrow"/>
          <w:b/>
          <w:bCs/>
          <w:sz w:val="22"/>
          <w:szCs w:val="22"/>
        </w:rPr>
        <w:t>Componente de docencia</w:t>
      </w:r>
    </w:p>
    <w:p w14:paraId="597ADB88" w14:textId="20DAAF45" w:rsidR="00EB6A8A" w:rsidRPr="00DA610C" w:rsidRDefault="0052752B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2752B">
        <w:rPr>
          <w:rFonts w:ascii="Arial Narrow" w:hAnsi="Arial Narrow"/>
          <w:sz w:val="22"/>
          <w:szCs w:val="22"/>
        </w:rPr>
        <w:t>E</w:t>
      </w:r>
      <w:r w:rsidR="00EB6A8A" w:rsidRPr="00DA610C">
        <w:rPr>
          <w:rFonts w:ascii="Arial Narrow" w:hAnsi="Arial Narrow"/>
          <w:sz w:val="22"/>
          <w:szCs w:val="22"/>
        </w:rPr>
        <w:t>n el componente de docencia, mi enfoque se orienta a la enseñanza de la hidráulica a partir de la comprensión conceptual y la interpretación física de los fenómenos. Considero fundamental que los estudiantes desarrollen la capacidad de analizar el comportamiento del flujo en distintos sistemas, identificando la relación entre variables hidráulicas y condiciones geométricas.</w:t>
      </w:r>
    </w:p>
    <w:p w14:paraId="5944E930" w14:textId="77777777" w:rsidR="00EB6A8A" w:rsidRPr="00EB6A8A" w:rsidRDefault="00EB6A8A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B6A8A">
        <w:rPr>
          <w:rFonts w:ascii="Arial Narrow" w:hAnsi="Arial Narrow"/>
          <w:sz w:val="22"/>
          <w:szCs w:val="22"/>
        </w:rPr>
        <w:lastRenderedPageBreak/>
        <w:t>Para ello, propongo el uso de metodologías basadas en la resolución de problemas y el análisis de casos aplicados, incorporando ejemplos reales derivados de estudios hidráulicos en cauces naturales. La estimación de tirantes, el análisis de secciones transversales y la interpretación de resultados pueden constituir herramientas didácticas que acerquen al estudiante a situaciones reales de la ingeniería.</w:t>
      </w:r>
    </w:p>
    <w:p w14:paraId="43B2CF26" w14:textId="77777777" w:rsidR="00EB6A8A" w:rsidRPr="00EB6A8A" w:rsidRDefault="00EB6A8A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B6A8A">
        <w:rPr>
          <w:rFonts w:ascii="Arial Narrow" w:hAnsi="Arial Narrow"/>
          <w:sz w:val="22"/>
          <w:szCs w:val="22"/>
        </w:rPr>
        <w:t>Asimismo, se plantea complementar la enseñanza mediante el uso de laboratorios hidráulicos y herramientas computacionales como EPANET, que permiten visualizar el comportamiento de los sistemas y fortalecer la comprensión de los conceptos teóricos a través de su aplicación práctica. En este contexto, el uso de software no se limita a su aplicación operativa, sino que se orienta a desarrollar en los estudiantes la capacidad de interpretar resultados y evaluar el comportamiento hidráulico de los sistemas.</w:t>
      </w:r>
    </w:p>
    <w:p w14:paraId="3DC1B02F" w14:textId="77777777" w:rsidR="00EB6A8A" w:rsidRPr="00EB6A8A" w:rsidRDefault="00EB6A8A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B6A8A">
        <w:rPr>
          <w:rFonts w:ascii="Arial Narrow" w:hAnsi="Arial Narrow"/>
          <w:sz w:val="22"/>
          <w:szCs w:val="22"/>
        </w:rPr>
        <w:t>Adicionalmente, se propone incorporar datos reales de monitoreo hidráulico como insumo para el análisis en el aula, permitiendo a los estudiantes trabajar con información no idealizada y desarrollar criterio ingenieril en contextos reales. De igual forma, se promoverá el uso de problemas abiertos basados en situaciones reales, en los que los estudiantes deban plantear supuestos, analizar escenarios y justificar sus decisiones.</w:t>
      </w:r>
    </w:p>
    <w:p w14:paraId="4A90CA93" w14:textId="77777777" w:rsidR="00EB6A8A" w:rsidRPr="00EB6A8A" w:rsidRDefault="00EB6A8A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B6A8A">
        <w:rPr>
          <w:rFonts w:ascii="Arial Narrow" w:hAnsi="Arial Narrow"/>
          <w:sz w:val="22"/>
          <w:szCs w:val="22"/>
        </w:rPr>
        <w:t>En coherencia con tendencias actuales en la enseñanza de la ingeniería a nivel internacional, esta propuesta integra el uso de herramientas computacionales, el análisis de datos y el trabajo con situaciones reales como elementos clave en la formación en hidráulica, articulando los fundamentos teóricos con enfoques aplicados y contemporáneos.</w:t>
      </w:r>
    </w:p>
    <w:p w14:paraId="76E3486A" w14:textId="491EB5AC" w:rsidR="00EB6A8A" w:rsidRPr="0052752B" w:rsidRDefault="00EB6A8A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B6A8A">
        <w:rPr>
          <w:rFonts w:ascii="Arial Narrow" w:hAnsi="Arial Narrow"/>
          <w:sz w:val="22"/>
          <w:szCs w:val="22"/>
        </w:rPr>
        <w:t>Este enfoque busca fortalecer el aprendizaje significativo, integrando teoría, práctica y análisis aplicado en la formación en hidráulica.</w:t>
      </w:r>
    </w:p>
    <w:p w14:paraId="31C0B184" w14:textId="0E633635" w:rsidR="00FA439F" w:rsidRPr="00DA610C" w:rsidRDefault="00FA439F" w:rsidP="00DA610C">
      <w:pPr>
        <w:pStyle w:val="Prrafode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DA610C">
        <w:rPr>
          <w:rFonts w:ascii="Arial Narrow" w:hAnsi="Arial Narrow"/>
          <w:b/>
          <w:bCs/>
          <w:sz w:val="22"/>
          <w:szCs w:val="22"/>
        </w:rPr>
        <w:t>Componente de investigación</w:t>
      </w:r>
    </w:p>
    <w:p w14:paraId="5C11B174" w14:textId="77777777" w:rsidR="00044F19" w:rsidRPr="00044F19" w:rsidRDefault="00044F19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44F19">
        <w:rPr>
          <w:rFonts w:ascii="Arial Narrow" w:hAnsi="Arial Narrow"/>
          <w:sz w:val="22"/>
          <w:szCs w:val="22"/>
        </w:rPr>
        <w:t>En el componente de investigación, mi interés se orienta al análisis del comportamiento hidráulico en sistemas naturales, particularmente en cauces, a partir del uso de herramientas de modelación y análisis de datos. Las tendencias actuales en hidráulica integran enfoques computacionales, información observacional y análisis de incertidumbre para comprender sistemas cada vez más complejos.</w:t>
      </w:r>
    </w:p>
    <w:p w14:paraId="2DD1A77A" w14:textId="77777777" w:rsidR="00044F19" w:rsidRPr="00044F19" w:rsidRDefault="00044F19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44F19">
        <w:rPr>
          <w:rFonts w:ascii="Arial Narrow" w:hAnsi="Arial Narrow"/>
          <w:sz w:val="22"/>
          <w:szCs w:val="22"/>
        </w:rPr>
        <w:t>En este sentido, propongo desarrollar líneas de trabajo orientadas a la evaluación del flujo en cauces y su interacción con el entorno, incorporando datos reales de monitoreo y herramientas de modelación como soporte para el análisis. Este enfoque permite no solo estimar variables hidráulicas, sino también interpretar su comportamiento en contextos aplicados.</w:t>
      </w:r>
    </w:p>
    <w:p w14:paraId="5F12C238" w14:textId="77777777" w:rsidR="00044F19" w:rsidRPr="00044F19" w:rsidRDefault="00044F19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44F19">
        <w:rPr>
          <w:rFonts w:ascii="Arial Narrow" w:hAnsi="Arial Narrow"/>
          <w:sz w:val="22"/>
          <w:szCs w:val="22"/>
        </w:rPr>
        <w:t>Adicionalmente, se plantea la articulación entre procesos hidrológicos e hidráulicos, reconociendo la continuidad entre la generación de escorrentía y su propagación en sistemas naturales. Esta integración abre oportunidades para el desarrollo de investigaciones aplicadas con impacto en la gestión del territorio y la comprensión de sistemas hídricos.</w:t>
      </w:r>
    </w:p>
    <w:p w14:paraId="6DB1C272" w14:textId="77777777" w:rsidR="00044F19" w:rsidRPr="00044F19" w:rsidRDefault="00044F19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44F19">
        <w:rPr>
          <w:rFonts w:ascii="Arial Narrow" w:hAnsi="Arial Narrow"/>
          <w:sz w:val="22"/>
          <w:szCs w:val="22"/>
        </w:rPr>
        <w:t>Este enfoque busca contribuir al desarrollo de una hidráulica aplicada, basada en datos y orientada a la comprensión de sistemas reales, en coherencia con las tendencias actuales de la ingeniería a nivel internacional.</w:t>
      </w:r>
    </w:p>
    <w:p w14:paraId="1921582C" w14:textId="4D34B953" w:rsidR="00044F19" w:rsidRPr="00044F19" w:rsidRDefault="00044F19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76AFCC5" w14:textId="58EF02C2" w:rsidR="00FA439F" w:rsidRPr="00DA610C" w:rsidRDefault="00FA439F" w:rsidP="00DA610C">
      <w:pPr>
        <w:pStyle w:val="Prrafode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DA610C">
        <w:rPr>
          <w:rFonts w:ascii="Arial Narrow" w:hAnsi="Arial Narrow"/>
          <w:b/>
          <w:bCs/>
          <w:sz w:val="22"/>
          <w:szCs w:val="22"/>
        </w:rPr>
        <w:t>Componente de extensión</w:t>
      </w:r>
    </w:p>
    <w:p w14:paraId="0C638043" w14:textId="15902028" w:rsidR="00044F19" w:rsidRPr="00DA610C" w:rsidRDefault="00044F19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A610C">
        <w:rPr>
          <w:rFonts w:ascii="Arial Narrow" w:hAnsi="Arial Narrow"/>
          <w:sz w:val="22"/>
          <w:szCs w:val="22"/>
        </w:rPr>
        <w:lastRenderedPageBreak/>
        <w:t>Desde el componente de extensión, propongo el desarrollo de actividades orientadas a la aplicación de conceptos básicos de hidráulica en contextos reales, particularmente en el análisis de cauces y la delimitación de zonas asociadas a la dinámica del flujo.</w:t>
      </w:r>
    </w:p>
    <w:p w14:paraId="603C3EB7" w14:textId="77777777" w:rsidR="00044F19" w:rsidRPr="00044F19" w:rsidRDefault="00044F19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44F19">
        <w:rPr>
          <w:rFonts w:ascii="Arial Narrow" w:hAnsi="Arial Narrow"/>
          <w:sz w:val="22"/>
          <w:szCs w:val="22"/>
        </w:rPr>
        <w:t>Estas actividades pueden involucrar la participación de estudiantes en procesos de levantamiento de información, análisis hidráulico y apoyo en la interpretación de resultados, fortaleciendo su formación a través del contacto con problemáticas reales.</w:t>
      </w:r>
    </w:p>
    <w:p w14:paraId="023ECB0D" w14:textId="77777777" w:rsidR="00044F19" w:rsidRPr="00044F19" w:rsidRDefault="00044F19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44F19">
        <w:rPr>
          <w:rFonts w:ascii="Arial Narrow" w:hAnsi="Arial Narrow"/>
          <w:sz w:val="22"/>
          <w:szCs w:val="22"/>
        </w:rPr>
        <w:t>Asimismo, la articulación con entidades y proyectos permite transferir conocimientos técnicos y contribuir a procesos de gestión del recurso hídrico, especialmente en lo relacionado con la interpretación de información hidráulica para la toma de decisiones.</w:t>
      </w:r>
    </w:p>
    <w:p w14:paraId="42765565" w14:textId="3E0059A9" w:rsidR="00FA439F" w:rsidRPr="00FA439F" w:rsidRDefault="00FA439F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B6E612" w14:textId="590C0322" w:rsidR="00FA439F" w:rsidRPr="00DA610C" w:rsidRDefault="00FA439F" w:rsidP="00DA610C">
      <w:pPr>
        <w:pStyle w:val="Prrafode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DA610C">
        <w:rPr>
          <w:rFonts w:ascii="Arial Narrow" w:hAnsi="Arial Narrow"/>
          <w:b/>
          <w:bCs/>
          <w:sz w:val="22"/>
          <w:szCs w:val="22"/>
        </w:rPr>
        <w:t>Alineación con la misión institucional</w:t>
      </w:r>
    </w:p>
    <w:p w14:paraId="13A52D57" w14:textId="77777777" w:rsidR="00FA439F" w:rsidRPr="00FA439F" w:rsidRDefault="00FA439F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A439F">
        <w:rPr>
          <w:rFonts w:ascii="Arial Narrow" w:hAnsi="Arial Narrow"/>
          <w:sz w:val="22"/>
          <w:szCs w:val="22"/>
        </w:rPr>
        <w:t>Esta propuesta se alinea con la misión de la universidad en tanto promueve la formación de profesionales con bases sólidas en ingeniería, capacidad de análisis y criterio para abordar problemáticas reales. El énfasis en la comprensión conceptual, la aplicación práctica y la integración de experiencias contribuye al desarrollo de competencias relevantes para el ejercicio profesional en el campo de la hidráulica</w:t>
      </w:r>
    </w:p>
    <w:p w14:paraId="7A0F7304" w14:textId="77777777" w:rsidR="00BF014F" w:rsidRPr="00DA610C" w:rsidRDefault="00BF014F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1786C82" w14:textId="53656FA9" w:rsidR="002511AE" w:rsidRPr="00DA610C" w:rsidRDefault="002511AE" w:rsidP="00DA610C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A610C">
        <w:rPr>
          <w:rFonts w:ascii="Arial Narrow" w:hAnsi="Arial Narrow"/>
          <w:b/>
          <w:bCs/>
          <w:sz w:val="22"/>
          <w:szCs w:val="22"/>
        </w:rPr>
        <w:t xml:space="preserve">Bibliografía </w:t>
      </w:r>
    </w:p>
    <w:p w14:paraId="5CF60360" w14:textId="77777777" w:rsidR="002511AE" w:rsidRPr="002511AE" w:rsidRDefault="002511AE" w:rsidP="00DA610C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2511AE">
        <w:rPr>
          <w:rFonts w:ascii="Arial Narrow" w:hAnsi="Arial Narrow"/>
          <w:sz w:val="22"/>
          <w:szCs w:val="22"/>
          <w:lang w:val="en-US"/>
        </w:rPr>
        <w:t xml:space="preserve">Chow, V. T. (1959). </w:t>
      </w:r>
      <w:r w:rsidRPr="002511AE">
        <w:rPr>
          <w:rFonts w:ascii="Arial Narrow" w:hAnsi="Arial Narrow"/>
          <w:i/>
          <w:iCs/>
          <w:sz w:val="22"/>
          <w:szCs w:val="22"/>
          <w:lang w:val="en-US"/>
        </w:rPr>
        <w:t>Open-Channel Hydraulics</w:t>
      </w:r>
      <w:r w:rsidRPr="002511AE">
        <w:rPr>
          <w:rFonts w:ascii="Arial Narrow" w:hAnsi="Arial Narrow"/>
          <w:sz w:val="22"/>
          <w:szCs w:val="22"/>
          <w:lang w:val="en-US"/>
        </w:rPr>
        <w:t>. McGraw-Hill.</w:t>
      </w:r>
    </w:p>
    <w:p w14:paraId="64EC719C" w14:textId="77777777" w:rsidR="002511AE" w:rsidRPr="002511AE" w:rsidRDefault="002511AE" w:rsidP="00DA610C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2511AE">
        <w:rPr>
          <w:rFonts w:ascii="Arial Narrow" w:hAnsi="Arial Narrow"/>
          <w:sz w:val="22"/>
          <w:szCs w:val="22"/>
          <w:lang w:val="en-US"/>
        </w:rPr>
        <w:t xml:space="preserve">White, F. M. (2011). </w:t>
      </w:r>
      <w:r w:rsidRPr="002511AE">
        <w:rPr>
          <w:rFonts w:ascii="Arial Narrow" w:hAnsi="Arial Narrow"/>
          <w:i/>
          <w:iCs/>
          <w:sz w:val="22"/>
          <w:szCs w:val="22"/>
          <w:lang w:val="en-US"/>
        </w:rPr>
        <w:t>Fluid Mechanics</w:t>
      </w:r>
      <w:r w:rsidRPr="002511AE">
        <w:rPr>
          <w:rFonts w:ascii="Arial Narrow" w:hAnsi="Arial Narrow"/>
          <w:sz w:val="22"/>
          <w:szCs w:val="22"/>
          <w:lang w:val="en-US"/>
        </w:rPr>
        <w:t xml:space="preserve"> (7th ed.). McGraw-Hill.</w:t>
      </w:r>
    </w:p>
    <w:p w14:paraId="5DCF518D" w14:textId="77777777" w:rsidR="002511AE" w:rsidRPr="002511AE" w:rsidRDefault="002511AE" w:rsidP="00DA610C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2511AE">
        <w:rPr>
          <w:rFonts w:ascii="Arial Narrow" w:hAnsi="Arial Narrow"/>
          <w:sz w:val="22"/>
          <w:szCs w:val="22"/>
          <w:lang w:val="en-US"/>
        </w:rPr>
        <w:t xml:space="preserve">Fox, R. W., Pritchard, P. J., &amp; McDonald, A. T. (2015). </w:t>
      </w:r>
      <w:r w:rsidRPr="002511AE">
        <w:rPr>
          <w:rFonts w:ascii="Arial Narrow" w:hAnsi="Arial Narrow"/>
          <w:i/>
          <w:iCs/>
          <w:sz w:val="22"/>
          <w:szCs w:val="22"/>
          <w:lang w:val="en-US"/>
        </w:rPr>
        <w:t>Introduction to Fluid Mechanics</w:t>
      </w:r>
      <w:r w:rsidRPr="002511AE">
        <w:rPr>
          <w:rFonts w:ascii="Arial Narrow" w:hAnsi="Arial Narrow"/>
          <w:sz w:val="22"/>
          <w:szCs w:val="22"/>
          <w:lang w:val="en-US"/>
        </w:rPr>
        <w:t xml:space="preserve"> (8th ed.). Wiley.</w:t>
      </w:r>
    </w:p>
    <w:p w14:paraId="75786CEE" w14:textId="77777777" w:rsidR="002511AE" w:rsidRPr="002511AE" w:rsidRDefault="002511AE" w:rsidP="00DA610C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proofErr w:type="spellStart"/>
      <w:r w:rsidRPr="002511AE">
        <w:rPr>
          <w:rFonts w:ascii="Arial Narrow" w:hAnsi="Arial Narrow"/>
          <w:sz w:val="22"/>
          <w:szCs w:val="22"/>
          <w:lang w:val="en-US"/>
        </w:rPr>
        <w:t>Cengel</w:t>
      </w:r>
      <w:proofErr w:type="spellEnd"/>
      <w:r w:rsidRPr="002511AE">
        <w:rPr>
          <w:rFonts w:ascii="Arial Narrow" w:hAnsi="Arial Narrow"/>
          <w:sz w:val="22"/>
          <w:szCs w:val="22"/>
          <w:lang w:val="en-US"/>
        </w:rPr>
        <w:t xml:space="preserve">, Y. A., &amp; </w:t>
      </w:r>
      <w:proofErr w:type="spellStart"/>
      <w:r w:rsidRPr="002511AE">
        <w:rPr>
          <w:rFonts w:ascii="Arial Narrow" w:hAnsi="Arial Narrow"/>
          <w:sz w:val="22"/>
          <w:szCs w:val="22"/>
          <w:lang w:val="en-US"/>
        </w:rPr>
        <w:t>Cimbala</w:t>
      </w:r>
      <w:proofErr w:type="spellEnd"/>
      <w:r w:rsidRPr="002511AE">
        <w:rPr>
          <w:rFonts w:ascii="Arial Narrow" w:hAnsi="Arial Narrow"/>
          <w:sz w:val="22"/>
          <w:szCs w:val="22"/>
          <w:lang w:val="en-US"/>
        </w:rPr>
        <w:t xml:space="preserve">, J. M. (2014). </w:t>
      </w:r>
      <w:r w:rsidRPr="002511AE">
        <w:rPr>
          <w:rFonts w:ascii="Arial Narrow" w:hAnsi="Arial Narrow"/>
          <w:i/>
          <w:iCs/>
          <w:sz w:val="22"/>
          <w:szCs w:val="22"/>
          <w:lang w:val="en-US"/>
        </w:rPr>
        <w:t>Fluid Mechanics: Fundamentals and Applications</w:t>
      </w:r>
      <w:r w:rsidRPr="002511AE">
        <w:rPr>
          <w:rFonts w:ascii="Arial Narrow" w:hAnsi="Arial Narrow"/>
          <w:sz w:val="22"/>
          <w:szCs w:val="22"/>
          <w:lang w:val="en-US"/>
        </w:rPr>
        <w:t xml:space="preserve"> (3rd ed.). McGraw-Hill.</w:t>
      </w:r>
    </w:p>
    <w:p w14:paraId="1BD5CA32" w14:textId="77777777" w:rsidR="005924C0" w:rsidRPr="005924C0" w:rsidRDefault="005924C0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924C0">
        <w:rPr>
          <w:rFonts w:ascii="Arial Narrow" w:hAnsi="Arial Narrow"/>
          <w:sz w:val="22"/>
          <w:szCs w:val="22"/>
          <w:lang w:val="en-US"/>
        </w:rPr>
        <w:t xml:space="preserve">Chaudhry, M. H. (2014). </w:t>
      </w:r>
      <w:r w:rsidRPr="005924C0">
        <w:rPr>
          <w:rFonts w:ascii="Arial Narrow" w:hAnsi="Arial Narrow"/>
          <w:i/>
          <w:iCs/>
          <w:sz w:val="22"/>
          <w:szCs w:val="22"/>
          <w:lang w:val="en-US"/>
        </w:rPr>
        <w:t>Open-Channel Flow</w:t>
      </w:r>
      <w:r w:rsidRPr="005924C0">
        <w:rPr>
          <w:rFonts w:ascii="Arial Narrow" w:hAnsi="Arial Narrow"/>
          <w:sz w:val="22"/>
          <w:szCs w:val="22"/>
          <w:lang w:val="en-US"/>
        </w:rPr>
        <w:t xml:space="preserve"> (2nd ed.). </w:t>
      </w:r>
      <w:r w:rsidRPr="005924C0">
        <w:rPr>
          <w:rFonts w:ascii="Arial Narrow" w:hAnsi="Arial Narrow"/>
          <w:sz w:val="22"/>
          <w:szCs w:val="22"/>
        </w:rPr>
        <w:t>Springer.</w:t>
      </w:r>
    </w:p>
    <w:p w14:paraId="52364416" w14:textId="77777777" w:rsidR="002511AE" w:rsidRPr="00DA610C" w:rsidRDefault="002511AE" w:rsidP="00DA610C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sectPr w:rsidR="002511AE" w:rsidRPr="00DA61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B6F0D"/>
    <w:multiLevelType w:val="multilevel"/>
    <w:tmpl w:val="0EA2D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A65515"/>
    <w:multiLevelType w:val="hybridMultilevel"/>
    <w:tmpl w:val="A96072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53E71"/>
    <w:multiLevelType w:val="hybridMultilevel"/>
    <w:tmpl w:val="9D5A0B3E"/>
    <w:lvl w:ilvl="0" w:tplc="852C7CB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34F38"/>
    <w:multiLevelType w:val="multilevel"/>
    <w:tmpl w:val="DB6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136949">
    <w:abstractNumId w:val="3"/>
  </w:num>
  <w:num w:numId="2" w16cid:durableId="1448967961">
    <w:abstractNumId w:val="0"/>
  </w:num>
  <w:num w:numId="3" w16cid:durableId="2139639918">
    <w:abstractNumId w:val="1"/>
  </w:num>
  <w:num w:numId="4" w16cid:durableId="607354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3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39F"/>
    <w:rsid w:val="00044F19"/>
    <w:rsid w:val="00135670"/>
    <w:rsid w:val="001D1B8B"/>
    <w:rsid w:val="002511AE"/>
    <w:rsid w:val="002B2BA3"/>
    <w:rsid w:val="004B3A3B"/>
    <w:rsid w:val="004B69FB"/>
    <w:rsid w:val="0052752B"/>
    <w:rsid w:val="005924C0"/>
    <w:rsid w:val="006574FC"/>
    <w:rsid w:val="008B17C8"/>
    <w:rsid w:val="009651EC"/>
    <w:rsid w:val="00AC1742"/>
    <w:rsid w:val="00BF014F"/>
    <w:rsid w:val="00DA610C"/>
    <w:rsid w:val="00DB5ED0"/>
    <w:rsid w:val="00E234D4"/>
    <w:rsid w:val="00EB6A8A"/>
    <w:rsid w:val="00FA439F"/>
    <w:rsid w:val="00FD50BD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A7EA5"/>
  <w15:chartTrackingRefBased/>
  <w15:docId w15:val="{23648EDD-B691-4D3E-8016-BC5DC256B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A43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43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43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43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43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43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43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43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43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A43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43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43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A43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43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43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43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43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43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A43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43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A43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43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A43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43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A439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43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43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43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A439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3567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1116</Words>
  <Characters>6142</Characters>
  <Application>Microsoft Office Word</Application>
  <DocSecurity>0</DocSecurity>
  <Lines>51</Lines>
  <Paragraphs>14</Paragraphs>
  <ScaleCrop>false</ScaleCrop>
  <Company/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yeraldin serpa usta</dc:creator>
  <cp:keywords/>
  <dc:description/>
  <cp:lastModifiedBy>yeraldin serpa usta</cp:lastModifiedBy>
  <cp:revision>18</cp:revision>
  <dcterms:created xsi:type="dcterms:W3CDTF">2026-03-24T17:20:00Z</dcterms:created>
  <dcterms:modified xsi:type="dcterms:W3CDTF">2026-03-24T18:35:00Z</dcterms:modified>
</cp:coreProperties>
</file>